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3B66A" w14:textId="7EC92B28" w:rsidR="00D5021E" w:rsidRDefault="004C1D20" w:rsidP="004C1D20">
      <w:pPr>
        <w:pStyle w:val="Balk1"/>
      </w:pPr>
      <w:r>
        <w:t>TELEKOM HİZMETLERİNDE MÜŞTERİ KAYIPLARI</w:t>
      </w:r>
    </w:p>
    <w:p w14:paraId="66FF57DB" w14:textId="77777777" w:rsidR="004C1D20" w:rsidRDefault="004C1D20" w:rsidP="004C1D20"/>
    <w:p w14:paraId="35BC4BEA" w14:textId="2D5CA2AD" w:rsidR="004C1D20" w:rsidRPr="00000F39" w:rsidRDefault="004C1D20" w:rsidP="004C1D20">
      <w:r w:rsidRPr="00000F39">
        <w:t>Sürekli olarak müşteri kaybı yaşandığı vakitlerde bu duruma bir son vermek gerekmektedir. Verilen hizmete yeni müşteriler kazanmanın yanına bu müşterileri işletmeye sadık hale getirmek gerekmektedir. İşletmenizin ayakta kalabilmesi için sadık müşterilere ihtiyacı vardır ve bu, müşterilerinizi mutlu tutmak için hizmetinizi sürekli olarak iyileştirmenin yolları aranmalıdır. Bu yapılmadığı taktirde işletme düşüş yaşayacaktır.</w:t>
      </w:r>
    </w:p>
    <w:p w14:paraId="086CFEA7" w14:textId="276589A9" w:rsidR="004C1D20" w:rsidRPr="00000F39" w:rsidRDefault="004C1D20" w:rsidP="004C1D20">
      <w:r w:rsidRPr="00000F39">
        <w:t>Telekomünikasyon sektöründe müşteri kaybına ne sebep olur?</w:t>
      </w:r>
    </w:p>
    <w:p w14:paraId="5DBEA730" w14:textId="77777777" w:rsidR="004C1D20" w:rsidRPr="00000F39" w:rsidRDefault="004C1D20" w:rsidP="004C1D20">
      <w:pPr>
        <w:numPr>
          <w:ilvl w:val="0"/>
          <w:numId w:val="2"/>
        </w:numPr>
      </w:pPr>
      <w:r w:rsidRPr="00000F39">
        <w:t>Kötü hizmet deneyimi</w:t>
      </w:r>
    </w:p>
    <w:p w14:paraId="7620B958" w14:textId="77777777" w:rsidR="004C1D20" w:rsidRPr="00000F39" w:rsidRDefault="004C1D20" w:rsidP="004C1D20">
      <w:pPr>
        <w:numPr>
          <w:ilvl w:val="0"/>
          <w:numId w:val="2"/>
        </w:numPr>
      </w:pPr>
      <w:r w:rsidRPr="00000F39">
        <w:t>Kötü müşteri hizmeti veya deneyimi</w:t>
      </w:r>
    </w:p>
    <w:p w14:paraId="60736E29" w14:textId="77777777" w:rsidR="004C1D20" w:rsidRPr="00000F39" w:rsidRDefault="004C1D20" w:rsidP="004C1D20">
      <w:pPr>
        <w:numPr>
          <w:ilvl w:val="0"/>
          <w:numId w:val="2"/>
        </w:numPr>
      </w:pPr>
      <w:r w:rsidRPr="00000F39">
        <w:t>Sağlayıcıları değiştirmek kolaydır</w:t>
      </w:r>
    </w:p>
    <w:p w14:paraId="0DCD8E41" w14:textId="77777777" w:rsidR="004C1D20" w:rsidRPr="00000F39" w:rsidRDefault="004C1D20" w:rsidP="004C1D20">
      <w:r w:rsidRPr="00000F39">
        <w:t>Telekomünikasyonda müşteri kaybı oranı nasıl azaltılır?</w:t>
      </w:r>
    </w:p>
    <w:p w14:paraId="21D70FC8" w14:textId="77777777" w:rsidR="004C1D20" w:rsidRPr="00000F39" w:rsidRDefault="004C1D20" w:rsidP="004C1D20">
      <w:pPr>
        <w:numPr>
          <w:ilvl w:val="0"/>
          <w:numId w:val="3"/>
        </w:numPr>
      </w:pPr>
      <w:r w:rsidRPr="00000F39">
        <w:t>Müşteri hizmetlerini iyileştirin</w:t>
      </w:r>
    </w:p>
    <w:p w14:paraId="52854006" w14:textId="77777777" w:rsidR="004C1D20" w:rsidRPr="00000F39" w:rsidRDefault="004C1D20" w:rsidP="004C1D20">
      <w:pPr>
        <w:numPr>
          <w:ilvl w:val="0"/>
          <w:numId w:val="3"/>
        </w:numPr>
      </w:pPr>
      <w:r w:rsidRPr="00000F39">
        <w:t>Unutulmaz bir müşteri deneyimi yaratın</w:t>
      </w:r>
    </w:p>
    <w:p w14:paraId="5CF6143F" w14:textId="77777777" w:rsidR="004C1D20" w:rsidRPr="00000F39" w:rsidRDefault="004C1D20" w:rsidP="004C1D20">
      <w:pPr>
        <w:numPr>
          <w:ilvl w:val="0"/>
          <w:numId w:val="3"/>
        </w:numPr>
      </w:pPr>
      <w:r w:rsidRPr="00000F39">
        <w:t>Yeni teknolojilere yatırım yapın</w:t>
      </w:r>
    </w:p>
    <w:p w14:paraId="6773AE91" w14:textId="77777777" w:rsidR="004C1D20" w:rsidRPr="00000F39" w:rsidRDefault="004C1D20" w:rsidP="004C1D20">
      <w:pPr>
        <w:numPr>
          <w:ilvl w:val="0"/>
          <w:numId w:val="3"/>
        </w:numPr>
      </w:pPr>
      <w:r w:rsidRPr="00000F39">
        <w:t>Verileri daha iyi kullanın</w:t>
      </w:r>
    </w:p>
    <w:p w14:paraId="01C4D54C" w14:textId="23381600" w:rsidR="00C21F17" w:rsidRPr="00000F39" w:rsidRDefault="004C1D20" w:rsidP="004C1D20">
      <w:r w:rsidRPr="00000F39">
        <w:t>Bu analizde elimizdeki örnek Telekom müşteri hizmet ve verilen hizmete karşın müşter</w:t>
      </w:r>
      <w:r w:rsidR="00C21F17" w:rsidRPr="00000F39">
        <w:t>i</w:t>
      </w:r>
      <w:r w:rsidRPr="00000F39">
        <w:t xml:space="preserve"> kaybı durumunun bulunduğu veriden bir Telekom şirketinin hangi durumlarda müşteri kaybı yapıp hangi durumlarda müşteri kaybının önüne geçebileceğinin analizini yap</w:t>
      </w:r>
      <w:r w:rsidR="00C21F17" w:rsidRPr="00000F39">
        <w:t>ıldı. Aynı zamanda makine öğrenmesinde sınıflandırma algoritması kullanarak verilen hizmete göre müşteri kaybı olup olmama durumunun tahmini yapılmıştır.</w:t>
      </w:r>
    </w:p>
    <w:p w14:paraId="40B724FF" w14:textId="39184396" w:rsidR="00000F39" w:rsidRPr="00000F39" w:rsidRDefault="00000F39" w:rsidP="00C21F17">
      <w:pPr>
        <w:rPr>
          <w:b/>
          <w:bCs/>
          <w:u w:val="single"/>
        </w:rPr>
      </w:pPr>
      <w:r w:rsidRPr="00000F39">
        <w:rPr>
          <w:b/>
          <w:bCs/>
          <w:u w:val="single"/>
        </w:rPr>
        <w:t>Veri seti hakkında:</w:t>
      </w:r>
    </w:p>
    <w:p w14:paraId="5642243F" w14:textId="71D98458" w:rsidR="00C21F17" w:rsidRPr="00C21F17" w:rsidRDefault="00C21F17" w:rsidP="00C21F17">
      <w:r w:rsidRPr="00C21F17">
        <w:t>Veri seti 20 sütundan ve 7.043 gözlemden oluşuyor.</w:t>
      </w:r>
    </w:p>
    <w:p w14:paraId="42757701" w14:textId="7272A2F4" w:rsidR="00C21F17" w:rsidRPr="00C21F17" w:rsidRDefault="00C21F17" w:rsidP="00C21F17">
      <w:r w:rsidRPr="00C21F17">
        <w:t xml:space="preserve">Bu sütunlardan 4'ü sayısal, geri kalanı ise </w:t>
      </w:r>
      <w:r w:rsidR="00000F39">
        <w:t>kategorik</w:t>
      </w:r>
      <w:r w:rsidRPr="00C21F17">
        <w:t xml:space="preserve"> türünde.</w:t>
      </w:r>
    </w:p>
    <w:p w14:paraId="2F632D58" w14:textId="5048CB67" w:rsidR="00C21F17" w:rsidRPr="00C21F17" w:rsidRDefault="00C21F17" w:rsidP="00C21F17">
      <w:r w:rsidRPr="00C21F17">
        <w:t xml:space="preserve">Eksik değerler yalnızca </w:t>
      </w:r>
      <w:r w:rsidR="00000F39">
        <w:t>Toplam Ücret</w:t>
      </w:r>
      <w:r w:rsidRPr="00C21F17">
        <w:t xml:space="preserve"> sütununda mevcut.</w:t>
      </w:r>
    </w:p>
    <w:p w14:paraId="0ACF437E" w14:textId="11430CF1" w:rsidR="00C21F17" w:rsidRDefault="00C21F17" w:rsidP="00C21F17">
      <w:r w:rsidRPr="00C21F17">
        <w:t xml:space="preserve">Analiz için hedef değişkenimiz </w:t>
      </w:r>
      <w:r w:rsidR="00000F39">
        <w:t>Müşteri Kaybı</w:t>
      </w:r>
      <w:r w:rsidRPr="00C21F17">
        <w:t>.</w:t>
      </w:r>
    </w:p>
    <w:p w14:paraId="3EFC5870" w14:textId="77777777" w:rsidR="00000F39" w:rsidRDefault="00000F39" w:rsidP="00C21F17"/>
    <w:p w14:paraId="7672E802" w14:textId="77777777" w:rsidR="00BF16F3" w:rsidRDefault="00BF16F3" w:rsidP="00C21F17"/>
    <w:p w14:paraId="5593C2CB" w14:textId="77777777" w:rsidR="00BF16F3" w:rsidRDefault="00BF16F3" w:rsidP="00C21F17"/>
    <w:p w14:paraId="6D2B3A15" w14:textId="77777777" w:rsidR="00BF16F3" w:rsidRDefault="00BF16F3" w:rsidP="00C21F17"/>
    <w:p w14:paraId="394B3A95" w14:textId="77777777" w:rsidR="00BF16F3" w:rsidRDefault="00BF16F3" w:rsidP="00C21F17"/>
    <w:p w14:paraId="79A4149E" w14:textId="77777777" w:rsidR="00BF16F3" w:rsidRDefault="00BF16F3" w:rsidP="00C21F17"/>
    <w:p w14:paraId="7A8E492C" w14:textId="77777777" w:rsidR="00BF16F3" w:rsidRDefault="00BF16F3" w:rsidP="00C21F17"/>
    <w:p w14:paraId="17362290" w14:textId="77777777" w:rsidR="00BF16F3" w:rsidRDefault="00BF16F3" w:rsidP="00C21F17"/>
    <w:p w14:paraId="1D75A087" w14:textId="77777777" w:rsidR="00BF16F3" w:rsidRDefault="00BF16F3" w:rsidP="00C21F17"/>
    <w:p w14:paraId="364F832A" w14:textId="77777777" w:rsidR="00BF16F3" w:rsidRDefault="00BF16F3" w:rsidP="00C21F17"/>
    <w:p w14:paraId="5C578BE2" w14:textId="77777777" w:rsidR="00BF16F3" w:rsidRDefault="00BF16F3" w:rsidP="00C21F17"/>
    <w:p w14:paraId="6DC8E018" w14:textId="77777777" w:rsidR="00BF16F3" w:rsidRDefault="00BF16F3" w:rsidP="00C21F17"/>
    <w:p w14:paraId="28D3B837" w14:textId="5CC76462" w:rsidR="00BF16F3" w:rsidRDefault="00BF16F3" w:rsidP="00C21F17">
      <w:r w:rsidRPr="00BF16F3">
        <w:drawing>
          <wp:inline distT="0" distB="0" distL="0" distR="0" wp14:anchorId="6862E2FC" wp14:editId="2F9C7BB3">
            <wp:extent cx="4546141" cy="2646218"/>
            <wp:effectExtent l="0" t="0" r="6985" b="1905"/>
            <wp:docPr id="152341274" name="Resim 1" descr="ekran görüntüsü, diyagram, metin, dair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1274" name="Resim 1" descr="ekran görüntüsü, diyagram, metin, daire içeren bir resim&#10;&#10;Yapay zeka tarafından oluşturulan içerik yanlış olabilir."/>
                    <pic:cNvPicPr/>
                  </pic:nvPicPr>
                  <pic:blipFill>
                    <a:blip r:embed="rId6"/>
                    <a:stretch>
                      <a:fillRect/>
                    </a:stretch>
                  </pic:blipFill>
                  <pic:spPr>
                    <a:xfrm>
                      <a:off x="0" y="0"/>
                      <a:ext cx="4589533" cy="2671476"/>
                    </a:xfrm>
                    <a:prstGeom prst="rect">
                      <a:avLst/>
                    </a:prstGeom>
                  </pic:spPr>
                </pic:pic>
              </a:graphicData>
            </a:graphic>
          </wp:inline>
        </w:drawing>
      </w:r>
    </w:p>
    <w:p w14:paraId="7D065A04" w14:textId="77777777" w:rsidR="000D361D" w:rsidRDefault="00BF16F3" w:rsidP="00C21F17">
      <w:proofErr w:type="gramStart"/>
      <w:r>
        <w:t>Elimizdeki mevcut</w:t>
      </w:r>
      <w:proofErr w:type="gramEnd"/>
      <w:r>
        <w:t xml:space="preserve"> Telekom verisine baktığımızda müşteri kaybındaki oranlar dengesiz dağıldığını, müşteri kaybının %26 oranında yaşandığını görmekteyiz.</w:t>
      </w:r>
    </w:p>
    <w:p w14:paraId="3CF7C7B0" w14:textId="77777777" w:rsidR="000D361D" w:rsidRDefault="000D361D" w:rsidP="00C21F17"/>
    <w:p w14:paraId="10119B12" w14:textId="77777777" w:rsidR="000D361D" w:rsidRDefault="000D361D" w:rsidP="00C21F17"/>
    <w:p w14:paraId="062D9A78" w14:textId="3465B260" w:rsidR="00BF16F3" w:rsidRDefault="000D361D" w:rsidP="00C21F17">
      <w:r>
        <w:t>Değişkenlere ilişkin korelasyon matrisi aşağıdadır;</w:t>
      </w:r>
    </w:p>
    <w:p w14:paraId="0212F05E" w14:textId="77777777" w:rsidR="000D361D" w:rsidRDefault="000D361D" w:rsidP="00C21F17"/>
    <w:p w14:paraId="109DE6A9" w14:textId="20080FEB" w:rsidR="000D361D" w:rsidRDefault="000D361D" w:rsidP="00C21F17">
      <w:r>
        <w:rPr>
          <w:noProof/>
        </w:rPr>
        <w:drawing>
          <wp:inline distT="0" distB="0" distL="0" distR="0" wp14:anchorId="528BFD52" wp14:editId="3477C650">
            <wp:extent cx="5673725" cy="4925060"/>
            <wp:effectExtent l="0" t="0" r="3175" b="8890"/>
            <wp:docPr id="1119246744" name="Resim 1" descr="kare, kalıp, desen, düzen, dikdörtgen,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46744" name="Resim 1" descr="kare, kalıp, desen, düzen, dikdörtgen, ekran görüntüsü içeren bir resim&#10;&#10;Yapay zeka tarafından oluşturulan içerik yanlış olabil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3725" cy="4925060"/>
                    </a:xfrm>
                    <a:prstGeom prst="rect">
                      <a:avLst/>
                    </a:prstGeom>
                    <a:noFill/>
                    <a:ln>
                      <a:noFill/>
                    </a:ln>
                  </pic:spPr>
                </pic:pic>
              </a:graphicData>
            </a:graphic>
          </wp:inline>
        </w:drawing>
      </w:r>
    </w:p>
    <w:p w14:paraId="66475681" w14:textId="77777777" w:rsidR="000D361D" w:rsidRDefault="000D361D" w:rsidP="00C21F17"/>
    <w:p w14:paraId="6789F5BE" w14:textId="5979D86B" w:rsidR="005A50C8" w:rsidRDefault="005A50C8" w:rsidP="00C21F17">
      <w:r>
        <w:lastRenderedPageBreak/>
        <w:t>Müşteri kaybı ile değişkenler arasındaki korelasyonları inceleyecek olursak şu şekildedir;</w:t>
      </w:r>
    </w:p>
    <w:p w14:paraId="1C885BF4" w14:textId="77777777" w:rsidR="005A50C8" w:rsidRDefault="005A50C8" w:rsidP="00C21F17"/>
    <w:p w14:paraId="595AC074" w14:textId="48392A29" w:rsidR="000D361D" w:rsidRDefault="005A50C8" w:rsidP="00C21F17">
      <w:r>
        <w:rPr>
          <w:noProof/>
        </w:rPr>
        <w:drawing>
          <wp:inline distT="0" distB="0" distL="0" distR="0" wp14:anchorId="54133977" wp14:editId="27040416">
            <wp:extent cx="5666740" cy="2812415"/>
            <wp:effectExtent l="0" t="0" r="0" b="6985"/>
            <wp:docPr id="1877994619" name="Resim 2" descr="ekran görüntüsü, çizgi, paralel,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94619" name="Resim 2" descr="ekran görüntüsü, çizgi, paralel, dikdörtgen içeren bir resim&#10;&#10;Yapay zeka tarafından oluşturulan içerik yanlış olabil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6740" cy="2812415"/>
                    </a:xfrm>
                    <a:prstGeom prst="rect">
                      <a:avLst/>
                    </a:prstGeom>
                    <a:noFill/>
                    <a:ln>
                      <a:noFill/>
                    </a:ln>
                  </pic:spPr>
                </pic:pic>
              </a:graphicData>
            </a:graphic>
          </wp:inline>
        </w:drawing>
      </w:r>
    </w:p>
    <w:p w14:paraId="5C82E347" w14:textId="0CF7D423" w:rsidR="005A50C8" w:rsidRDefault="005A50C8" w:rsidP="00C21F17">
      <w:r>
        <w:t>Göründüğü üzere sözleşme en yüksek korelasyona sahiptir. S</w:t>
      </w:r>
      <w:r w:rsidRPr="005A50C8">
        <w:t>özleşmeli müşterilerin ayrılma olasılığı önemli ölçüde daha düşük</w:t>
      </w:r>
      <w:r>
        <w:t xml:space="preserve"> olduğunu sözleşme türünün müşteri kaybını negatif yani şirket adına olumlu ölçüde etkilediğini söyleyebiliriz.</w:t>
      </w:r>
    </w:p>
    <w:p w14:paraId="4624B6DA" w14:textId="7E4E1AA4" w:rsidR="005A50C8" w:rsidRDefault="005A50C8" w:rsidP="00C21F17">
      <w:r>
        <w:t>Aynı zamanda çevrimiçi güvenlik, teknik destek, çevrimiçi yedekleme cihaz koruması gibi hizmetler negatif etkiye sahip yüksek korelasyona sahiptir bu hizmetler de müşteri kaybını azaltmakta yardımcıdır diyebiliriz.</w:t>
      </w:r>
    </w:p>
    <w:p w14:paraId="45EE1DFD" w14:textId="14D85151" w:rsidR="005A50C8" w:rsidRDefault="005A50C8" w:rsidP="00C21F17">
      <w:r>
        <w:t>Kağıtsız fatura, ödeme yöntemi gibi seçenekler hafif pozitif yani olumsuz yönde şirketi etkilemektedir denilebilir.</w:t>
      </w:r>
    </w:p>
    <w:p w14:paraId="22EE6E7B" w14:textId="77777777" w:rsidR="005A50C8" w:rsidRDefault="005A50C8" w:rsidP="00C21F17"/>
    <w:p w14:paraId="7F661620" w14:textId="32DB2431" w:rsidR="00BF16F3" w:rsidRDefault="006304A1" w:rsidP="00C21F17">
      <w:r w:rsidRPr="006304A1">
        <w:drawing>
          <wp:inline distT="0" distB="0" distL="0" distR="0" wp14:anchorId="1C083FB9" wp14:editId="3D079E2B">
            <wp:extent cx="3941618" cy="2273892"/>
            <wp:effectExtent l="0" t="0" r="1905" b="0"/>
            <wp:docPr id="212170744" name="Resim 1" descr="metin, ekran görüntüsü, yazılı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0744" name="Resim 1" descr="metin, ekran görüntüsü, yazılım, öykü gelişim çizgisi; kumpas; grafiğini çıkarma içeren bir resim&#10;&#10;Yapay zeka tarafından oluşturulan içerik yanlış olabilir."/>
                    <pic:cNvPicPr/>
                  </pic:nvPicPr>
                  <pic:blipFill>
                    <a:blip r:embed="rId9"/>
                    <a:stretch>
                      <a:fillRect/>
                    </a:stretch>
                  </pic:blipFill>
                  <pic:spPr>
                    <a:xfrm>
                      <a:off x="0" y="0"/>
                      <a:ext cx="3953986" cy="2281027"/>
                    </a:xfrm>
                    <a:prstGeom prst="rect">
                      <a:avLst/>
                    </a:prstGeom>
                  </pic:spPr>
                </pic:pic>
              </a:graphicData>
            </a:graphic>
          </wp:inline>
        </w:drawing>
      </w:r>
    </w:p>
    <w:p w14:paraId="38B626A1" w14:textId="4D0A1F5F" w:rsidR="006304A1" w:rsidRDefault="006304A1" w:rsidP="00C21F17">
      <w:r>
        <w:t>Müşteri kaybının cinsiyetle de bir ilişkisinin olmadığını görmekteyiz.</w:t>
      </w:r>
    </w:p>
    <w:p w14:paraId="13467E20" w14:textId="607F4A54" w:rsidR="006304A1" w:rsidRDefault="004941D1" w:rsidP="00C21F17">
      <w:r w:rsidRPr="004941D1">
        <w:lastRenderedPageBreak/>
        <w:drawing>
          <wp:inline distT="0" distB="0" distL="0" distR="0" wp14:anchorId="0E536A1C" wp14:editId="5B206AF5">
            <wp:extent cx="3814161" cy="2382982"/>
            <wp:effectExtent l="0" t="0" r="0" b="0"/>
            <wp:docPr id="1988000356" name="Resim 1" descr="metin, ekran görüntüsü,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00356" name="Resim 1" descr="metin, ekran görüntüsü, çizgi, diyagram içeren bir resim&#10;&#10;Yapay zeka tarafından oluşturulan içerik yanlış olabilir."/>
                    <pic:cNvPicPr/>
                  </pic:nvPicPr>
                  <pic:blipFill>
                    <a:blip r:embed="rId10"/>
                    <a:stretch>
                      <a:fillRect/>
                    </a:stretch>
                  </pic:blipFill>
                  <pic:spPr>
                    <a:xfrm>
                      <a:off x="0" y="0"/>
                      <a:ext cx="3837305" cy="2397442"/>
                    </a:xfrm>
                    <a:prstGeom prst="rect">
                      <a:avLst/>
                    </a:prstGeom>
                  </pic:spPr>
                </pic:pic>
              </a:graphicData>
            </a:graphic>
          </wp:inline>
        </w:drawing>
      </w:r>
    </w:p>
    <w:p w14:paraId="6BD2FF87" w14:textId="6F815126" w:rsidR="004941D1" w:rsidRDefault="004941D1" w:rsidP="00C21F17">
      <w:r>
        <w:t>Aydan aya imzalanan sözleşmelerde müşteri kaybının 1 yıl ve 2 yıllık imzalanan sözleşmelere kıyasla daha fazla olduğunu görmekteyiz.</w:t>
      </w:r>
    </w:p>
    <w:p w14:paraId="7CBB8302" w14:textId="56E411AF" w:rsidR="004941D1" w:rsidRDefault="002C5FE3" w:rsidP="00C21F17">
      <w:r w:rsidRPr="002C5FE3">
        <w:drawing>
          <wp:inline distT="0" distB="0" distL="0" distR="0" wp14:anchorId="0687387A" wp14:editId="70E47518">
            <wp:extent cx="5677535" cy="2822575"/>
            <wp:effectExtent l="0" t="0" r="0" b="0"/>
            <wp:docPr id="160197097" name="Resim 1" descr="metin, öykü gelişim çizgisi; kumpas; grafiğini çıkarma, çizgi, diyagram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7097" name="Resim 1" descr="metin, öykü gelişim çizgisi; kumpas; grafiğini çıkarma, çizgi, diyagram içeren bir resim"/>
                    <pic:cNvPicPr/>
                  </pic:nvPicPr>
                  <pic:blipFill>
                    <a:blip r:embed="rId11"/>
                    <a:stretch>
                      <a:fillRect/>
                    </a:stretch>
                  </pic:blipFill>
                  <pic:spPr>
                    <a:xfrm>
                      <a:off x="0" y="0"/>
                      <a:ext cx="5677535" cy="2822575"/>
                    </a:xfrm>
                    <a:prstGeom prst="rect">
                      <a:avLst/>
                    </a:prstGeom>
                  </pic:spPr>
                </pic:pic>
              </a:graphicData>
            </a:graphic>
          </wp:inline>
        </w:drawing>
      </w:r>
    </w:p>
    <w:p w14:paraId="7FEFBFD2" w14:textId="3B3AAEB9" w:rsidR="002C5FE3" w:rsidRDefault="002C5FE3" w:rsidP="00C21F17">
      <w:r>
        <w:t xml:space="preserve">Bu grafikte müşteri kayıplarının kısa süreli aboneliklerde daha fazla olduğu gözlemlenmiştir. </w:t>
      </w:r>
    </w:p>
    <w:p w14:paraId="24042496" w14:textId="6A698F65" w:rsidR="002C5FE3" w:rsidRDefault="002C5FE3" w:rsidP="00C21F17">
      <w:r w:rsidRPr="002C5FE3">
        <w:drawing>
          <wp:inline distT="0" distB="0" distL="0" distR="0" wp14:anchorId="6EAF09D4" wp14:editId="5F588BA5">
            <wp:extent cx="3096491" cy="2237800"/>
            <wp:effectExtent l="0" t="0" r="8890" b="0"/>
            <wp:docPr id="559802292" name="Resim 1" descr="metin, çizgi, diyagram, öykü gelişim çizgisi; kumpas; grafiğini çıkarma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02292" name="Resim 1" descr="metin, çizgi, diyagram, öykü gelişim çizgisi; kumpas; grafiğini çıkarma içeren bir resim"/>
                    <pic:cNvPicPr/>
                  </pic:nvPicPr>
                  <pic:blipFill>
                    <a:blip r:embed="rId12"/>
                    <a:stretch>
                      <a:fillRect/>
                    </a:stretch>
                  </pic:blipFill>
                  <pic:spPr>
                    <a:xfrm>
                      <a:off x="0" y="0"/>
                      <a:ext cx="3105479" cy="2244295"/>
                    </a:xfrm>
                    <a:prstGeom prst="rect">
                      <a:avLst/>
                    </a:prstGeom>
                  </pic:spPr>
                </pic:pic>
              </a:graphicData>
            </a:graphic>
          </wp:inline>
        </w:drawing>
      </w:r>
    </w:p>
    <w:p w14:paraId="3FECD9D6" w14:textId="364E9392" w:rsidR="008F2531" w:rsidRDefault="008F2531" w:rsidP="00C21F17">
      <w:r w:rsidRPr="008F2531">
        <w:lastRenderedPageBreak/>
        <w:drawing>
          <wp:inline distT="0" distB="0" distL="0" distR="0" wp14:anchorId="7F80191C" wp14:editId="6A337CCB">
            <wp:extent cx="5677535" cy="2912745"/>
            <wp:effectExtent l="0" t="0" r="0" b="1905"/>
            <wp:docPr id="633419768" name="Resim 1" descr="metin, ekran görüntüsü,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19768" name="Resim 1" descr="metin, ekran görüntüsü, öykü gelişim çizgisi; kumpas; grafiğini çıkarma, diyagram içeren bir resim&#10;&#10;Yapay zeka tarafından oluşturulan içerik yanlış olabilir."/>
                    <pic:cNvPicPr/>
                  </pic:nvPicPr>
                  <pic:blipFill>
                    <a:blip r:embed="rId13"/>
                    <a:stretch>
                      <a:fillRect/>
                    </a:stretch>
                  </pic:blipFill>
                  <pic:spPr>
                    <a:xfrm>
                      <a:off x="0" y="0"/>
                      <a:ext cx="5677535" cy="2912745"/>
                    </a:xfrm>
                    <a:prstGeom prst="rect">
                      <a:avLst/>
                    </a:prstGeom>
                  </pic:spPr>
                </pic:pic>
              </a:graphicData>
            </a:graphic>
          </wp:inline>
        </w:drawing>
      </w:r>
    </w:p>
    <w:p w14:paraId="67EE1EB1" w14:textId="77777777" w:rsidR="008F2531" w:rsidRDefault="008F2531" w:rsidP="00C21F17">
      <w:r>
        <w:t>Göründüğü üzere aylık ücretlendirmede normal dağılım görülmemektedir. Müşteri kaybı kutu grafiğinde görüldüğü üzere fiyat olarak 60-100 dolar civarında iken görülmektedir. Fakat müşteri kaybının olmadığı skala daha geniş olduğu için bu konuda net bir yorum yapılamaz. Bu durumda verilen hizmetlere karşın verilen fiyatlandırma daha belirleyici olabilir.</w:t>
      </w:r>
    </w:p>
    <w:p w14:paraId="1D05B35A" w14:textId="77777777" w:rsidR="008F2531" w:rsidRDefault="008F2531" w:rsidP="00C21F17"/>
    <w:p w14:paraId="621267C2" w14:textId="77777777" w:rsidR="008F2531" w:rsidRDefault="008F2531" w:rsidP="00C21F17"/>
    <w:p w14:paraId="07ACB54F" w14:textId="07B4458F" w:rsidR="001110B8" w:rsidRDefault="008F2531" w:rsidP="00C21F17">
      <w:r w:rsidRPr="008F2531">
        <w:drawing>
          <wp:inline distT="0" distB="0" distL="0" distR="0" wp14:anchorId="247B5261" wp14:editId="560DF38E">
            <wp:extent cx="5119254" cy="2904022"/>
            <wp:effectExtent l="0" t="0" r="5715" b="0"/>
            <wp:docPr id="250699264" name="Resim 1" descr="metin, ekran görüntüsü, diyagra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99264" name="Resim 1" descr="metin, ekran görüntüsü, diyagram, öykü gelişim çizgisi; kumpas; grafiğini çıkarma içeren bir resim&#10;&#10;Yapay zeka tarafından oluşturulan içerik yanlış olabilir."/>
                    <pic:cNvPicPr/>
                  </pic:nvPicPr>
                  <pic:blipFill>
                    <a:blip r:embed="rId14"/>
                    <a:stretch>
                      <a:fillRect/>
                    </a:stretch>
                  </pic:blipFill>
                  <pic:spPr>
                    <a:xfrm>
                      <a:off x="0" y="0"/>
                      <a:ext cx="5126713" cy="2908253"/>
                    </a:xfrm>
                    <a:prstGeom prst="rect">
                      <a:avLst/>
                    </a:prstGeom>
                  </pic:spPr>
                </pic:pic>
              </a:graphicData>
            </a:graphic>
          </wp:inline>
        </w:drawing>
      </w:r>
    </w:p>
    <w:p w14:paraId="4FBB6889" w14:textId="1F3CB6A1" w:rsidR="008F2531" w:rsidRDefault="00FC5230" w:rsidP="00C21F17">
      <w:r>
        <w:t>Müşteri</w:t>
      </w:r>
      <w:r w:rsidR="008F2531">
        <w:t xml:space="preserve"> kay</w:t>
      </w:r>
      <w:r>
        <w:t xml:space="preserve">bının olduğu durumlarda en çok fiber optik internet hizmeti </w:t>
      </w:r>
      <w:r w:rsidR="008F2531">
        <w:t>görüldüğünü söyleyebiliriz</w:t>
      </w:r>
      <w:r w:rsidR="00652787">
        <w:t>.</w:t>
      </w:r>
      <w:r>
        <w:t xml:space="preserve"> </w:t>
      </w:r>
    </w:p>
    <w:p w14:paraId="11AB4561" w14:textId="028F5DF0" w:rsidR="00FC5230" w:rsidRDefault="001110B8" w:rsidP="00C21F17">
      <w:r w:rsidRPr="001110B8">
        <w:lastRenderedPageBreak/>
        <w:drawing>
          <wp:inline distT="0" distB="0" distL="0" distR="0" wp14:anchorId="51136B0C" wp14:editId="3640A47E">
            <wp:extent cx="6135303" cy="3422073"/>
            <wp:effectExtent l="0" t="0" r="0" b="6985"/>
            <wp:docPr id="1752964201" name="Resim 1" descr="metin, ekran görüntüsü, diyagram, paralel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64201" name="Resim 1" descr="metin, ekran görüntüsü, diyagram, paralel içeren bir resim"/>
                    <pic:cNvPicPr/>
                  </pic:nvPicPr>
                  <pic:blipFill>
                    <a:blip r:embed="rId15"/>
                    <a:stretch>
                      <a:fillRect/>
                    </a:stretch>
                  </pic:blipFill>
                  <pic:spPr>
                    <a:xfrm>
                      <a:off x="0" y="0"/>
                      <a:ext cx="6148400" cy="3429378"/>
                    </a:xfrm>
                    <a:prstGeom prst="rect">
                      <a:avLst/>
                    </a:prstGeom>
                  </pic:spPr>
                </pic:pic>
              </a:graphicData>
            </a:graphic>
          </wp:inline>
        </w:drawing>
      </w:r>
    </w:p>
    <w:p w14:paraId="49D4BD35" w14:textId="302E52AC" w:rsidR="002C0454" w:rsidRDefault="001110B8" w:rsidP="00C21F17">
      <w:r>
        <w:t>Diğer hizmetlere bakıldığında ise müşteri kaybı yaşanan durumlarda; Teknik destek, Çevrimiçi güvenlik ve yedekleme, Cihaz koruması gibi hizmetler verilmediği durumlar fazla görülmüş. TV ve Film yayınlarında müşteri kaybının olduğu durumlarda hizmetin verilip verilmemesine göre yaşandığı durum başa baştır.</w:t>
      </w:r>
    </w:p>
    <w:p w14:paraId="492BDED4" w14:textId="77777777" w:rsidR="002C0454" w:rsidRDefault="002C0454" w:rsidP="00C21F17"/>
    <w:p w14:paraId="131FCC5F" w14:textId="77777777" w:rsidR="002C0454" w:rsidRDefault="002C0454" w:rsidP="00C21F17"/>
    <w:p w14:paraId="24D4FCE9" w14:textId="77777777" w:rsidR="002C0454" w:rsidRDefault="002C0454" w:rsidP="00C21F17"/>
    <w:p w14:paraId="3F647BE4" w14:textId="77777777" w:rsidR="002C0454" w:rsidRDefault="002C0454" w:rsidP="00C21F17"/>
    <w:p w14:paraId="312A25EA" w14:textId="77777777" w:rsidR="002C0454" w:rsidRDefault="002C0454" w:rsidP="00C21F17"/>
    <w:p w14:paraId="66BA138B" w14:textId="77777777" w:rsidR="002C0454" w:rsidRDefault="002C0454" w:rsidP="00C21F17"/>
    <w:p w14:paraId="2C9D06A8" w14:textId="77777777" w:rsidR="002C0454" w:rsidRDefault="002C0454" w:rsidP="00C21F17"/>
    <w:p w14:paraId="0082ACDA" w14:textId="77777777" w:rsidR="002C0454" w:rsidRDefault="002C0454" w:rsidP="00C21F17"/>
    <w:p w14:paraId="1DF4EABF" w14:textId="77777777" w:rsidR="005A50C8" w:rsidRDefault="005A50C8" w:rsidP="00C21F17"/>
    <w:p w14:paraId="08C08492" w14:textId="77777777" w:rsidR="005A50C8" w:rsidRDefault="005A50C8" w:rsidP="00C21F17"/>
    <w:p w14:paraId="1671D40C" w14:textId="77777777" w:rsidR="005A50C8" w:rsidRDefault="005A50C8" w:rsidP="00C21F17"/>
    <w:p w14:paraId="6F41EB77" w14:textId="77777777" w:rsidR="005A50C8" w:rsidRDefault="005A50C8" w:rsidP="00C21F17"/>
    <w:p w14:paraId="6326B862" w14:textId="77777777" w:rsidR="005A50C8" w:rsidRDefault="005A50C8" w:rsidP="00C21F17"/>
    <w:p w14:paraId="437C0929" w14:textId="77777777" w:rsidR="005A50C8" w:rsidRDefault="005A50C8" w:rsidP="00C21F17"/>
    <w:p w14:paraId="08443B0D" w14:textId="77777777" w:rsidR="005A50C8" w:rsidRDefault="005A50C8" w:rsidP="00C21F17"/>
    <w:p w14:paraId="7E62B4BD" w14:textId="77777777" w:rsidR="005A50C8" w:rsidRDefault="005A50C8" w:rsidP="00C21F17"/>
    <w:p w14:paraId="01727174" w14:textId="77777777" w:rsidR="005A50C8" w:rsidRDefault="005A50C8" w:rsidP="00C21F17"/>
    <w:p w14:paraId="5AD40071" w14:textId="77777777" w:rsidR="005A50C8" w:rsidRDefault="005A50C8" w:rsidP="00C21F17"/>
    <w:p w14:paraId="3781B93E" w14:textId="77777777" w:rsidR="005A50C8" w:rsidRDefault="005A50C8" w:rsidP="00C21F17"/>
    <w:p w14:paraId="18D105CB" w14:textId="77777777" w:rsidR="005A50C8" w:rsidRDefault="005A50C8" w:rsidP="00C21F17"/>
    <w:p w14:paraId="25CD18ED" w14:textId="77777777" w:rsidR="001B75FE" w:rsidRDefault="001B75FE" w:rsidP="00C21F17">
      <w:r>
        <w:lastRenderedPageBreak/>
        <w:t xml:space="preserve">Kategorilerin müşteri kaybı durumunu </w:t>
      </w:r>
      <w:proofErr w:type="spellStart"/>
      <w:r>
        <w:t>tablolaştırırsak</w:t>
      </w:r>
      <w:proofErr w:type="spellEnd"/>
      <w:r>
        <w:t xml:space="preserve">; </w:t>
      </w:r>
    </w:p>
    <w:tbl>
      <w:tblPr>
        <w:tblW w:w="8019" w:type="dxa"/>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645"/>
        <w:gridCol w:w="1911"/>
        <w:gridCol w:w="1732"/>
        <w:gridCol w:w="1731"/>
      </w:tblGrid>
      <w:tr w:rsidR="001B75FE" w:rsidRPr="001B75FE" w14:paraId="00E7BF6A" w14:textId="77777777" w:rsidTr="005A50C8">
        <w:trPr>
          <w:trHeight w:val="856"/>
          <w:tblHeader/>
          <w:tblCellSpacing w:w="15" w:type="dxa"/>
        </w:trPr>
        <w:tc>
          <w:tcPr>
            <w:tcW w:w="0" w:type="auto"/>
            <w:vAlign w:val="center"/>
            <w:hideMark/>
          </w:tcPr>
          <w:p w14:paraId="50E6EC42" w14:textId="77777777" w:rsidR="001B75FE" w:rsidRPr="001B75FE" w:rsidRDefault="001B75FE" w:rsidP="001B75FE">
            <w:pPr>
              <w:rPr>
                <w:b/>
                <w:bCs/>
              </w:rPr>
            </w:pPr>
            <w:r w:rsidRPr="001B75FE">
              <w:rPr>
                <w:b/>
                <w:bCs/>
              </w:rPr>
              <w:t>Kategori</w:t>
            </w:r>
          </w:p>
        </w:tc>
        <w:tc>
          <w:tcPr>
            <w:tcW w:w="0" w:type="auto"/>
            <w:vAlign w:val="center"/>
            <w:hideMark/>
          </w:tcPr>
          <w:p w14:paraId="460277DE" w14:textId="77777777" w:rsidR="001B75FE" w:rsidRPr="001B75FE" w:rsidRDefault="001B75FE" w:rsidP="001B75FE">
            <w:pPr>
              <w:rPr>
                <w:b/>
                <w:bCs/>
              </w:rPr>
            </w:pPr>
            <w:r w:rsidRPr="001B75FE">
              <w:rPr>
                <w:b/>
                <w:bCs/>
              </w:rPr>
              <w:t>Alt Kategori / Değer</w:t>
            </w:r>
          </w:p>
        </w:tc>
        <w:tc>
          <w:tcPr>
            <w:tcW w:w="0" w:type="auto"/>
            <w:vAlign w:val="center"/>
            <w:hideMark/>
          </w:tcPr>
          <w:p w14:paraId="07CC2E2F" w14:textId="1DC9763B" w:rsidR="001B75FE" w:rsidRDefault="001B75FE" w:rsidP="001B75FE">
            <w:pPr>
              <w:rPr>
                <w:b/>
                <w:bCs/>
              </w:rPr>
            </w:pPr>
            <w:r>
              <w:rPr>
                <w:b/>
                <w:bCs/>
              </w:rPr>
              <w:t>Müşteri Kaybı Yok</w:t>
            </w:r>
          </w:p>
          <w:p w14:paraId="67BD5BF5" w14:textId="6D36CB5F" w:rsidR="001B75FE" w:rsidRPr="001B75FE" w:rsidRDefault="001B75FE" w:rsidP="001B75FE">
            <w:pPr>
              <w:rPr>
                <w:b/>
                <w:bCs/>
              </w:rPr>
            </w:pPr>
            <w:r w:rsidRPr="001B75FE">
              <w:rPr>
                <w:b/>
                <w:bCs/>
              </w:rPr>
              <w:t xml:space="preserve"> (%) / Değer</w:t>
            </w:r>
          </w:p>
        </w:tc>
        <w:tc>
          <w:tcPr>
            <w:tcW w:w="0" w:type="auto"/>
            <w:vAlign w:val="center"/>
            <w:hideMark/>
          </w:tcPr>
          <w:p w14:paraId="51F7D435" w14:textId="06EA0295" w:rsidR="001B75FE" w:rsidRDefault="001B75FE" w:rsidP="001B75FE">
            <w:pPr>
              <w:rPr>
                <w:b/>
                <w:bCs/>
              </w:rPr>
            </w:pPr>
            <w:r>
              <w:rPr>
                <w:b/>
                <w:bCs/>
              </w:rPr>
              <w:t>Müşteri Kaybı Var</w:t>
            </w:r>
          </w:p>
          <w:p w14:paraId="667DBDD0" w14:textId="5A71C01B" w:rsidR="001B75FE" w:rsidRPr="001B75FE" w:rsidRDefault="001B75FE" w:rsidP="001B75FE">
            <w:pPr>
              <w:rPr>
                <w:b/>
                <w:bCs/>
              </w:rPr>
            </w:pPr>
            <w:r w:rsidRPr="001B75FE">
              <w:rPr>
                <w:b/>
                <w:bCs/>
              </w:rPr>
              <w:t xml:space="preserve"> (%) / Değer</w:t>
            </w:r>
          </w:p>
        </w:tc>
      </w:tr>
      <w:tr w:rsidR="001B75FE" w:rsidRPr="001B75FE" w14:paraId="23B0C266" w14:textId="77777777" w:rsidTr="005A50C8">
        <w:trPr>
          <w:trHeight w:val="417"/>
          <w:tblCellSpacing w:w="15" w:type="dxa"/>
        </w:trPr>
        <w:tc>
          <w:tcPr>
            <w:tcW w:w="0" w:type="auto"/>
            <w:vAlign w:val="center"/>
            <w:hideMark/>
          </w:tcPr>
          <w:p w14:paraId="55A6F9BB" w14:textId="77777777" w:rsidR="001B75FE" w:rsidRPr="001B75FE" w:rsidRDefault="001B75FE" w:rsidP="001B75FE">
            <w:r w:rsidRPr="001B75FE">
              <w:rPr>
                <w:b/>
                <w:bCs/>
              </w:rPr>
              <w:t>1. Genel Müşteri Kaybı</w:t>
            </w:r>
          </w:p>
        </w:tc>
        <w:tc>
          <w:tcPr>
            <w:tcW w:w="0" w:type="auto"/>
            <w:vAlign w:val="center"/>
            <w:hideMark/>
          </w:tcPr>
          <w:p w14:paraId="01C76BEE" w14:textId="77777777" w:rsidR="001B75FE" w:rsidRPr="001B75FE" w:rsidRDefault="001B75FE" w:rsidP="001B75FE">
            <w:r w:rsidRPr="001B75FE">
              <w:t>-</w:t>
            </w:r>
          </w:p>
        </w:tc>
        <w:tc>
          <w:tcPr>
            <w:tcW w:w="0" w:type="auto"/>
            <w:shd w:val="clear" w:color="auto" w:fill="00B050"/>
            <w:vAlign w:val="center"/>
            <w:hideMark/>
          </w:tcPr>
          <w:p w14:paraId="5A84451A" w14:textId="78F4BE91" w:rsidR="001B75FE" w:rsidRPr="001B75FE" w:rsidRDefault="001B75FE" w:rsidP="001B75FE">
            <w:r w:rsidRPr="001B75FE">
              <w:t>73.4</w:t>
            </w:r>
            <w:r>
              <w:t xml:space="preserve"> %</w:t>
            </w:r>
          </w:p>
        </w:tc>
        <w:tc>
          <w:tcPr>
            <w:tcW w:w="0" w:type="auto"/>
            <w:shd w:val="clear" w:color="auto" w:fill="FF0000"/>
            <w:vAlign w:val="center"/>
            <w:hideMark/>
          </w:tcPr>
          <w:p w14:paraId="1F5BE6C4" w14:textId="1C47464A" w:rsidR="001B75FE" w:rsidRPr="001B75FE" w:rsidRDefault="001B75FE" w:rsidP="001B75FE">
            <w:r w:rsidRPr="001B75FE">
              <w:t>26.6</w:t>
            </w:r>
            <w:r>
              <w:t xml:space="preserve"> %</w:t>
            </w:r>
          </w:p>
        </w:tc>
      </w:tr>
      <w:tr w:rsidR="001B75FE" w:rsidRPr="001B75FE" w14:paraId="45E619FD" w14:textId="77777777" w:rsidTr="005A50C8">
        <w:trPr>
          <w:trHeight w:val="417"/>
          <w:tblCellSpacing w:w="15" w:type="dxa"/>
        </w:trPr>
        <w:tc>
          <w:tcPr>
            <w:tcW w:w="0" w:type="auto"/>
            <w:vAlign w:val="center"/>
            <w:hideMark/>
          </w:tcPr>
          <w:p w14:paraId="4F1E8AAF" w14:textId="77777777" w:rsidR="001B75FE" w:rsidRPr="001B75FE" w:rsidRDefault="001B75FE" w:rsidP="001B75FE">
            <w:r w:rsidRPr="001B75FE">
              <w:rPr>
                <w:b/>
                <w:bCs/>
              </w:rPr>
              <w:t>2. Sözleşme Türü</w:t>
            </w:r>
          </w:p>
        </w:tc>
        <w:tc>
          <w:tcPr>
            <w:tcW w:w="0" w:type="auto"/>
            <w:vAlign w:val="center"/>
            <w:hideMark/>
          </w:tcPr>
          <w:p w14:paraId="61BB4E4A" w14:textId="77777777" w:rsidR="001B75FE" w:rsidRPr="001B75FE" w:rsidRDefault="001B75FE" w:rsidP="001B75FE">
            <w:r w:rsidRPr="001B75FE">
              <w:t>Aydan aya</w:t>
            </w:r>
          </w:p>
        </w:tc>
        <w:tc>
          <w:tcPr>
            <w:tcW w:w="0" w:type="auto"/>
            <w:shd w:val="clear" w:color="auto" w:fill="00B050"/>
            <w:vAlign w:val="center"/>
            <w:hideMark/>
          </w:tcPr>
          <w:p w14:paraId="69B74A3E" w14:textId="09196697" w:rsidR="001B75FE" w:rsidRPr="001B75FE" w:rsidRDefault="001B75FE" w:rsidP="001B75FE">
            <w:r w:rsidRPr="001B75FE">
              <w:t>57.3</w:t>
            </w:r>
            <w:r>
              <w:t xml:space="preserve"> %</w:t>
            </w:r>
          </w:p>
        </w:tc>
        <w:tc>
          <w:tcPr>
            <w:tcW w:w="0" w:type="auto"/>
            <w:shd w:val="clear" w:color="auto" w:fill="FF0000"/>
            <w:vAlign w:val="center"/>
            <w:hideMark/>
          </w:tcPr>
          <w:p w14:paraId="37A812CD" w14:textId="1A8ACB93" w:rsidR="001B75FE" w:rsidRPr="001B75FE" w:rsidRDefault="001B75FE" w:rsidP="001B75FE">
            <w:r w:rsidRPr="001B75FE">
              <w:t>42.7</w:t>
            </w:r>
            <w:r>
              <w:t xml:space="preserve"> % </w:t>
            </w:r>
          </w:p>
        </w:tc>
      </w:tr>
      <w:tr w:rsidR="001B75FE" w:rsidRPr="001B75FE" w14:paraId="5A2FB0D6" w14:textId="77777777" w:rsidTr="005A50C8">
        <w:trPr>
          <w:trHeight w:val="417"/>
          <w:tblCellSpacing w:w="15" w:type="dxa"/>
        </w:trPr>
        <w:tc>
          <w:tcPr>
            <w:tcW w:w="0" w:type="auto"/>
            <w:vAlign w:val="center"/>
            <w:hideMark/>
          </w:tcPr>
          <w:p w14:paraId="277FDEBF" w14:textId="77777777" w:rsidR="001B75FE" w:rsidRPr="001B75FE" w:rsidRDefault="001B75FE" w:rsidP="001B75FE"/>
        </w:tc>
        <w:tc>
          <w:tcPr>
            <w:tcW w:w="0" w:type="auto"/>
            <w:vAlign w:val="center"/>
            <w:hideMark/>
          </w:tcPr>
          <w:p w14:paraId="6F910513" w14:textId="77777777" w:rsidR="001B75FE" w:rsidRPr="001B75FE" w:rsidRDefault="001B75FE" w:rsidP="001B75FE">
            <w:r w:rsidRPr="001B75FE">
              <w:t>Bir yıllık</w:t>
            </w:r>
          </w:p>
        </w:tc>
        <w:tc>
          <w:tcPr>
            <w:tcW w:w="0" w:type="auto"/>
            <w:shd w:val="clear" w:color="auto" w:fill="00B050"/>
            <w:vAlign w:val="center"/>
            <w:hideMark/>
          </w:tcPr>
          <w:p w14:paraId="297C92E1" w14:textId="33F6D071" w:rsidR="001B75FE" w:rsidRPr="001B75FE" w:rsidRDefault="001B75FE" w:rsidP="001B75FE">
            <w:r w:rsidRPr="001B75FE">
              <w:t>88.7</w:t>
            </w:r>
            <w:r>
              <w:t xml:space="preserve"> %</w:t>
            </w:r>
          </w:p>
        </w:tc>
        <w:tc>
          <w:tcPr>
            <w:tcW w:w="0" w:type="auto"/>
            <w:shd w:val="clear" w:color="auto" w:fill="FF0000"/>
            <w:vAlign w:val="center"/>
            <w:hideMark/>
          </w:tcPr>
          <w:p w14:paraId="2B1B87A6" w14:textId="6F83AC9F" w:rsidR="001B75FE" w:rsidRPr="001B75FE" w:rsidRDefault="001B75FE" w:rsidP="001B75FE">
            <w:r w:rsidRPr="001B75FE">
              <w:t>11.3</w:t>
            </w:r>
            <w:r>
              <w:t xml:space="preserve"> % </w:t>
            </w:r>
          </w:p>
        </w:tc>
      </w:tr>
      <w:tr w:rsidR="001B75FE" w:rsidRPr="001B75FE" w14:paraId="0CD18445" w14:textId="77777777" w:rsidTr="005A50C8">
        <w:trPr>
          <w:trHeight w:val="427"/>
          <w:tblCellSpacing w:w="15" w:type="dxa"/>
        </w:trPr>
        <w:tc>
          <w:tcPr>
            <w:tcW w:w="0" w:type="auto"/>
            <w:vAlign w:val="center"/>
            <w:hideMark/>
          </w:tcPr>
          <w:p w14:paraId="729FF128" w14:textId="77777777" w:rsidR="001B75FE" w:rsidRPr="001B75FE" w:rsidRDefault="001B75FE" w:rsidP="001B75FE"/>
        </w:tc>
        <w:tc>
          <w:tcPr>
            <w:tcW w:w="0" w:type="auto"/>
            <w:vAlign w:val="center"/>
            <w:hideMark/>
          </w:tcPr>
          <w:p w14:paraId="7CF38F8D" w14:textId="77777777" w:rsidR="001B75FE" w:rsidRPr="001B75FE" w:rsidRDefault="001B75FE" w:rsidP="001B75FE">
            <w:r w:rsidRPr="001B75FE">
              <w:t>İki yıllık</w:t>
            </w:r>
          </w:p>
        </w:tc>
        <w:tc>
          <w:tcPr>
            <w:tcW w:w="0" w:type="auto"/>
            <w:shd w:val="clear" w:color="auto" w:fill="00B050"/>
            <w:vAlign w:val="center"/>
            <w:hideMark/>
          </w:tcPr>
          <w:p w14:paraId="26D71686" w14:textId="126672E5" w:rsidR="001B75FE" w:rsidRPr="001B75FE" w:rsidRDefault="001B75FE" w:rsidP="001B75FE">
            <w:r w:rsidRPr="001B75FE">
              <w:t>97.2</w:t>
            </w:r>
            <w:r>
              <w:t xml:space="preserve"> %</w:t>
            </w:r>
          </w:p>
        </w:tc>
        <w:tc>
          <w:tcPr>
            <w:tcW w:w="0" w:type="auto"/>
            <w:shd w:val="clear" w:color="auto" w:fill="FF0000"/>
            <w:vAlign w:val="center"/>
            <w:hideMark/>
          </w:tcPr>
          <w:p w14:paraId="2487E7BA" w14:textId="5CA459E0" w:rsidR="001B75FE" w:rsidRPr="001B75FE" w:rsidRDefault="001B75FE" w:rsidP="001B75FE">
            <w:r w:rsidRPr="001B75FE">
              <w:t>2.8</w:t>
            </w:r>
            <w:r>
              <w:t xml:space="preserve"> %</w:t>
            </w:r>
          </w:p>
        </w:tc>
      </w:tr>
      <w:tr w:rsidR="001B75FE" w:rsidRPr="001B75FE" w14:paraId="452E2759" w14:textId="77777777" w:rsidTr="005A50C8">
        <w:trPr>
          <w:trHeight w:val="417"/>
          <w:tblCellSpacing w:w="15" w:type="dxa"/>
        </w:trPr>
        <w:tc>
          <w:tcPr>
            <w:tcW w:w="0" w:type="auto"/>
            <w:vAlign w:val="center"/>
            <w:hideMark/>
          </w:tcPr>
          <w:p w14:paraId="5CCBF94C" w14:textId="5671B54D" w:rsidR="001B75FE" w:rsidRPr="001B75FE" w:rsidRDefault="001B75FE" w:rsidP="001B75FE">
            <w:r w:rsidRPr="001B75FE">
              <w:rPr>
                <w:b/>
                <w:bCs/>
              </w:rPr>
              <w:t>3. Ortalama Aylık Ücret ($)</w:t>
            </w:r>
          </w:p>
        </w:tc>
        <w:tc>
          <w:tcPr>
            <w:tcW w:w="0" w:type="auto"/>
            <w:vAlign w:val="center"/>
            <w:hideMark/>
          </w:tcPr>
          <w:p w14:paraId="1827B539" w14:textId="77777777" w:rsidR="001B75FE" w:rsidRPr="001B75FE" w:rsidRDefault="001B75FE" w:rsidP="001B75FE">
            <w:r w:rsidRPr="001B75FE">
              <w:t>-</w:t>
            </w:r>
          </w:p>
        </w:tc>
        <w:tc>
          <w:tcPr>
            <w:tcW w:w="0" w:type="auto"/>
            <w:shd w:val="clear" w:color="auto" w:fill="00B050"/>
            <w:vAlign w:val="center"/>
            <w:hideMark/>
          </w:tcPr>
          <w:p w14:paraId="466012AA" w14:textId="6243B1B3" w:rsidR="001B75FE" w:rsidRPr="001B75FE" w:rsidRDefault="001B75FE" w:rsidP="001B75FE">
            <w:r w:rsidRPr="001B75FE">
              <w:t>61.31</w:t>
            </w:r>
            <w:r>
              <w:t xml:space="preserve"> </w:t>
            </w:r>
            <w:r w:rsidRPr="001B75FE">
              <w:t>$</w:t>
            </w:r>
          </w:p>
        </w:tc>
        <w:tc>
          <w:tcPr>
            <w:tcW w:w="0" w:type="auto"/>
            <w:shd w:val="clear" w:color="auto" w:fill="FF0000"/>
            <w:vAlign w:val="center"/>
            <w:hideMark/>
          </w:tcPr>
          <w:p w14:paraId="6EB8DE1E" w14:textId="17AB8D72" w:rsidR="001B75FE" w:rsidRPr="001B75FE" w:rsidRDefault="001B75FE" w:rsidP="001B75FE">
            <w:r w:rsidRPr="001B75FE">
              <w:t>74.44</w:t>
            </w:r>
            <w:r>
              <w:t xml:space="preserve"> </w:t>
            </w:r>
            <w:r w:rsidRPr="001B75FE">
              <w:t>$</w:t>
            </w:r>
          </w:p>
        </w:tc>
      </w:tr>
      <w:tr w:rsidR="001B75FE" w:rsidRPr="001B75FE" w14:paraId="209C14A4" w14:textId="77777777" w:rsidTr="005A50C8">
        <w:trPr>
          <w:trHeight w:val="417"/>
          <w:tblCellSpacing w:w="15" w:type="dxa"/>
        </w:trPr>
        <w:tc>
          <w:tcPr>
            <w:tcW w:w="0" w:type="auto"/>
            <w:vAlign w:val="center"/>
            <w:hideMark/>
          </w:tcPr>
          <w:p w14:paraId="16A86451" w14:textId="77777777" w:rsidR="001B75FE" w:rsidRPr="001B75FE" w:rsidRDefault="001B75FE" w:rsidP="001B75FE">
            <w:r w:rsidRPr="001B75FE">
              <w:rPr>
                <w:b/>
                <w:bCs/>
              </w:rPr>
              <w:t>4. Ortalama Abonelik Süresi</w:t>
            </w:r>
          </w:p>
        </w:tc>
        <w:tc>
          <w:tcPr>
            <w:tcW w:w="0" w:type="auto"/>
            <w:vAlign w:val="center"/>
            <w:hideMark/>
          </w:tcPr>
          <w:p w14:paraId="551D28E1" w14:textId="77777777" w:rsidR="001B75FE" w:rsidRPr="001B75FE" w:rsidRDefault="001B75FE" w:rsidP="001B75FE">
            <w:r w:rsidRPr="001B75FE">
              <w:t>(Ay cinsinden)</w:t>
            </w:r>
          </w:p>
        </w:tc>
        <w:tc>
          <w:tcPr>
            <w:tcW w:w="0" w:type="auto"/>
            <w:shd w:val="clear" w:color="auto" w:fill="00B050"/>
            <w:vAlign w:val="center"/>
            <w:hideMark/>
          </w:tcPr>
          <w:p w14:paraId="5AB61515" w14:textId="0771AD02" w:rsidR="001B75FE" w:rsidRPr="001B75FE" w:rsidRDefault="001B75FE" w:rsidP="001B75FE">
            <w:r w:rsidRPr="001B75FE">
              <w:t>37.65</w:t>
            </w:r>
            <w:r>
              <w:t xml:space="preserve"> Ay</w:t>
            </w:r>
          </w:p>
        </w:tc>
        <w:tc>
          <w:tcPr>
            <w:tcW w:w="0" w:type="auto"/>
            <w:shd w:val="clear" w:color="auto" w:fill="FF0000"/>
            <w:vAlign w:val="center"/>
            <w:hideMark/>
          </w:tcPr>
          <w:p w14:paraId="16539C33" w14:textId="7E147A99" w:rsidR="001B75FE" w:rsidRPr="001B75FE" w:rsidRDefault="001B75FE" w:rsidP="001B75FE">
            <w:r w:rsidRPr="001B75FE">
              <w:t>17.98</w:t>
            </w:r>
            <w:r>
              <w:t xml:space="preserve"> Ay</w:t>
            </w:r>
          </w:p>
        </w:tc>
      </w:tr>
      <w:tr w:rsidR="001B75FE" w:rsidRPr="001B75FE" w14:paraId="63186B29" w14:textId="77777777" w:rsidTr="005A50C8">
        <w:trPr>
          <w:trHeight w:val="417"/>
          <w:tblCellSpacing w:w="15" w:type="dxa"/>
        </w:trPr>
        <w:tc>
          <w:tcPr>
            <w:tcW w:w="0" w:type="auto"/>
            <w:vAlign w:val="center"/>
            <w:hideMark/>
          </w:tcPr>
          <w:p w14:paraId="1ED08F54" w14:textId="77777777" w:rsidR="001B75FE" w:rsidRPr="001B75FE" w:rsidRDefault="001B75FE" w:rsidP="001B75FE">
            <w:r w:rsidRPr="001B75FE">
              <w:rPr>
                <w:b/>
                <w:bCs/>
              </w:rPr>
              <w:t>5. İnternet Hizmeti</w:t>
            </w:r>
          </w:p>
        </w:tc>
        <w:tc>
          <w:tcPr>
            <w:tcW w:w="0" w:type="auto"/>
            <w:vAlign w:val="center"/>
            <w:hideMark/>
          </w:tcPr>
          <w:p w14:paraId="42174263" w14:textId="77777777" w:rsidR="001B75FE" w:rsidRPr="001B75FE" w:rsidRDefault="001B75FE" w:rsidP="001B75FE">
            <w:r w:rsidRPr="001B75FE">
              <w:t>DSL</w:t>
            </w:r>
          </w:p>
        </w:tc>
        <w:tc>
          <w:tcPr>
            <w:tcW w:w="0" w:type="auto"/>
            <w:shd w:val="clear" w:color="auto" w:fill="00B050"/>
            <w:vAlign w:val="center"/>
            <w:hideMark/>
          </w:tcPr>
          <w:p w14:paraId="115AA4A3" w14:textId="77777777" w:rsidR="001B75FE" w:rsidRPr="001B75FE" w:rsidRDefault="001B75FE" w:rsidP="001B75FE">
            <w:r w:rsidRPr="001B75FE">
              <w:t>81.0</w:t>
            </w:r>
          </w:p>
        </w:tc>
        <w:tc>
          <w:tcPr>
            <w:tcW w:w="0" w:type="auto"/>
            <w:shd w:val="clear" w:color="auto" w:fill="FF0000"/>
            <w:vAlign w:val="center"/>
            <w:hideMark/>
          </w:tcPr>
          <w:p w14:paraId="5D6ABE6E" w14:textId="6F57EAA8" w:rsidR="001B75FE" w:rsidRPr="001B75FE" w:rsidRDefault="001B75FE" w:rsidP="001B75FE">
            <w:r w:rsidRPr="001B75FE">
              <w:t>19.0</w:t>
            </w:r>
            <w:r>
              <w:t xml:space="preserve"> %</w:t>
            </w:r>
          </w:p>
        </w:tc>
      </w:tr>
      <w:tr w:rsidR="001B75FE" w:rsidRPr="001B75FE" w14:paraId="6A8FF17B" w14:textId="77777777" w:rsidTr="005A50C8">
        <w:trPr>
          <w:trHeight w:val="417"/>
          <w:tblCellSpacing w:w="15" w:type="dxa"/>
        </w:trPr>
        <w:tc>
          <w:tcPr>
            <w:tcW w:w="0" w:type="auto"/>
            <w:vAlign w:val="center"/>
            <w:hideMark/>
          </w:tcPr>
          <w:p w14:paraId="3AD3DEA2" w14:textId="77777777" w:rsidR="001B75FE" w:rsidRPr="001B75FE" w:rsidRDefault="001B75FE" w:rsidP="001B75FE"/>
        </w:tc>
        <w:tc>
          <w:tcPr>
            <w:tcW w:w="0" w:type="auto"/>
            <w:vAlign w:val="center"/>
            <w:hideMark/>
          </w:tcPr>
          <w:p w14:paraId="6D10C56A" w14:textId="77777777" w:rsidR="001B75FE" w:rsidRPr="001B75FE" w:rsidRDefault="001B75FE" w:rsidP="001B75FE">
            <w:r w:rsidRPr="001B75FE">
              <w:t>Fiber Optik</w:t>
            </w:r>
          </w:p>
        </w:tc>
        <w:tc>
          <w:tcPr>
            <w:tcW w:w="0" w:type="auto"/>
            <w:shd w:val="clear" w:color="auto" w:fill="00B050"/>
            <w:vAlign w:val="center"/>
            <w:hideMark/>
          </w:tcPr>
          <w:p w14:paraId="3772682C" w14:textId="77777777" w:rsidR="001B75FE" w:rsidRPr="001B75FE" w:rsidRDefault="001B75FE" w:rsidP="001B75FE">
            <w:r w:rsidRPr="001B75FE">
              <w:t>58.1</w:t>
            </w:r>
          </w:p>
        </w:tc>
        <w:tc>
          <w:tcPr>
            <w:tcW w:w="0" w:type="auto"/>
            <w:shd w:val="clear" w:color="auto" w:fill="FF0000"/>
            <w:vAlign w:val="center"/>
            <w:hideMark/>
          </w:tcPr>
          <w:p w14:paraId="3B1332C8" w14:textId="0AD874A7" w:rsidR="001B75FE" w:rsidRPr="001B75FE" w:rsidRDefault="001B75FE" w:rsidP="001B75FE">
            <w:r w:rsidRPr="001B75FE">
              <w:t>41.9</w:t>
            </w:r>
            <w:r>
              <w:t xml:space="preserve"> %</w:t>
            </w:r>
          </w:p>
        </w:tc>
      </w:tr>
      <w:tr w:rsidR="001B75FE" w:rsidRPr="001B75FE" w14:paraId="0CAF8F56" w14:textId="77777777" w:rsidTr="005A50C8">
        <w:trPr>
          <w:trHeight w:val="427"/>
          <w:tblCellSpacing w:w="15" w:type="dxa"/>
        </w:trPr>
        <w:tc>
          <w:tcPr>
            <w:tcW w:w="0" w:type="auto"/>
            <w:vAlign w:val="center"/>
            <w:hideMark/>
          </w:tcPr>
          <w:p w14:paraId="2F2FD8D2" w14:textId="77777777" w:rsidR="001B75FE" w:rsidRPr="001B75FE" w:rsidRDefault="001B75FE" w:rsidP="001B75FE"/>
        </w:tc>
        <w:tc>
          <w:tcPr>
            <w:tcW w:w="0" w:type="auto"/>
            <w:vAlign w:val="center"/>
            <w:hideMark/>
          </w:tcPr>
          <w:p w14:paraId="599DC1A9" w14:textId="77777777" w:rsidR="001B75FE" w:rsidRPr="001B75FE" w:rsidRDefault="001B75FE" w:rsidP="001B75FE">
            <w:r w:rsidRPr="001B75FE">
              <w:t>Yok</w:t>
            </w:r>
          </w:p>
        </w:tc>
        <w:tc>
          <w:tcPr>
            <w:tcW w:w="0" w:type="auto"/>
            <w:shd w:val="clear" w:color="auto" w:fill="00B050"/>
            <w:vAlign w:val="center"/>
            <w:hideMark/>
          </w:tcPr>
          <w:p w14:paraId="141B5447" w14:textId="5A6BEF17" w:rsidR="001B75FE" w:rsidRPr="001B75FE" w:rsidRDefault="001B75FE" w:rsidP="001B75FE">
            <w:r w:rsidRPr="001B75FE">
              <w:t>92.6</w:t>
            </w:r>
            <w:r>
              <w:t xml:space="preserve"> %</w:t>
            </w:r>
          </w:p>
        </w:tc>
        <w:tc>
          <w:tcPr>
            <w:tcW w:w="0" w:type="auto"/>
            <w:shd w:val="clear" w:color="auto" w:fill="FF0000"/>
            <w:vAlign w:val="center"/>
            <w:hideMark/>
          </w:tcPr>
          <w:p w14:paraId="777CE023" w14:textId="702D9546" w:rsidR="001B75FE" w:rsidRPr="001B75FE" w:rsidRDefault="001B75FE" w:rsidP="001B75FE">
            <w:r w:rsidRPr="001B75FE">
              <w:t>7.4</w:t>
            </w:r>
            <w:r>
              <w:t xml:space="preserve"> %</w:t>
            </w:r>
          </w:p>
        </w:tc>
      </w:tr>
      <w:tr w:rsidR="001B75FE" w:rsidRPr="001B75FE" w14:paraId="76EB3A62" w14:textId="77777777" w:rsidTr="005A50C8">
        <w:trPr>
          <w:trHeight w:val="417"/>
          <w:tblCellSpacing w:w="15" w:type="dxa"/>
        </w:trPr>
        <w:tc>
          <w:tcPr>
            <w:tcW w:w="0" w:type="auto"/>
            <w:vAlign w:val="center"/>
            <w:hideMark/>
          </w:tcPr>
          <w:p w14:paraId="461A8A05" w14:textId="77777777" w:rsidR="001B75FE" w:rsidRPr="001B75FE" w:rsidRDefault="001B75FE" w:rsidP="001B75FE">
            <w:r w:rsidRPr="001B75FE">
              <w:rPr>
                <w:b/>
                <w:bCs/>
              </w:rPr>
              <w:t>6. Çevrimiçi Güvenlik</w:t>
            </w:r>
          </w:p>
        </w:tc>
        <w:tc>
          <w:tcPr>
            <w:tcW w:w="0" w:type="auto"/>
            <w:vAlign w:val="center"/>
            <w:hideMark/>
          </w:tcPr>
          <w:p w14:paraId="032DA901" w14:textId="77777777" w:rsidR="001B75FE" w:rsidRPr="001B75FE" w:rsidRDefault="001B75FE" w:rsidP="001B75FE">
            <w:r w:rsidRPr="001B75FE">
              <w:t>Hayır</w:t>
            </w:r>
          </w:p>
        </w:tc>
        <w:tc>
          <w:tcPr>
            <w:tcW w:w="0" w:type="auto"/>
            <w:shd w:val="clear" w:color="auto" w:fill="00B050"/>
            <w:vAlign w:val="center"/>
            <w:hideMark/>
          </w:tcPr>
          <w:p w14:paraId="09B92DE9" w14:textId="1C026CBA" w:rsidR="001B75FE" w:rsidRPr="001B75FE" w:rsidRDefault="001B75FE" w:rsidP="001B75FE">
            <w:r w:rsidRPr="001B75FE">
              <w:t>58.22</w:t>
            </w:r>
            <w:r>
              <w:t xml:space="preserve"> %</w:t>
            </w:r>
          </w:p>
        </w:tc>
        <w:tc>
          <w:tcPr>
            <w:tcW w:w="0" w:type="auto"/>
            <w:shd w:val="clear" w:color="auto" w:fill="FF0000"/>
            <w:vAlign w:val="center"/>
            <w:hideMark/>
          </w:tcPr>
          <w:p w14:paraId="2022ED02" w14:textId="521E0005" w:rsidR="001B75FE" w:rsidRPr="001B75FE" w:rsidRDefault="001B75FE" w:rsidP="001B75FE">
            <w:r w:rsidRPr="001B75FE">
              <w:t>41.78</w:t>
            </w:r>
            <w:r>
              <w:t xml:space="preserve"> %</w:t>
            </w:r>
          </w:p>
        </w:tc>
      </w:tr>
      <w:tr w:rsidR="001B75FE" w:rsidRPr="001B75FE" w14:paraId="333FBC6F" w14:textId="77777777" w:rsidTr="005A50C8">
        <w:trPr>
          <w:trHeight w:val="417"/>
          <w:tblCellSpacing w:w="15" w:type="dxa"/>
        </w:trPr>
        <w:tc>
          <w:tcPr>
            <w:tcW w:w="0" w:type="auto"/>
            <w:vAlign w:val="center"/>
            <w:hideMark/>
          </w:tcPr>
          <w:p w14:paraId="392BBC4C" w14:textId="77777777" w:rsidR="001B75FE" w:rsidRPr="001B75FE" w:rsidRDefault="001B75FE" w:rsidP="001B75FE"/>
        </w:tc>
        <w:tc>
          <w:tcPr>
            <w:tcW w:w="0" w:type="auto"/>
            <w:vAlign w:val="center"/>
            <w:hideMark/>
          </w:tcPr>
          <w:p w14:paraId="5DE3870D" w14:textId="77777777" w:rsidR="001B75FE" w:rsidRPr="001B75FE" w:rsidRDefault="001B75FE" w:rsidP="001B75FE">
            <w:r w:rsidRPr="001B75FE">
              <w:t>Var</w:t>
            </w:r>
          </w:p>
        </w:tc>
        <w:tc>
          <w:tcPr>
            <w:tcW w:w="0" w:type="auto"/>
            <w:shd w:val="clear" w:color="auto" w:fill="00B050"/>
            <w:vAlign w:val="center"/>
            <w:hideMark/>
          </w:tcPr>
          <w:p w14:paraId="7CC0D696" w14:textId="6A5CCFFA" w:rsidR="001B75FE" w:rsidRPr="001B75FE" w:rsidRDefault="001B75FE" w:rsidP="001B75FE">
            <w:r w:rsidRPr="001B75FE">
              <w:t>85.36</w:t>
            </w:r>
            <w:r>
              <w:t xml:space="preserve"> %</w:t>
            </w:r>
          </w:p>
        </w:tc>
        <w:tc>
          <w:tcPr>
            <w:tcW w:w="0" w:type="auto"/>
            <w:shd w:val="clear" w:color="auto" w:fill="FF0000"/>
            <w:vAlign w:val="center"/>
            <w:hideMark/>
          </w:tcPr>
          <w:p w14:paraId="0CF522AB" w14:textId="1243C040" w:rsidR="001B75FE" w:rsidRPr="001B75FE" w:rsidRDefault="001B75FE" w:rsidP="001B75FE">
            <w:r w:rsidRPr="001B75FE">
              <w:t>14.64</w:t>
            </w:r>
            <w:r>
              <w:t xml:space="preserve"> %</w:t>
            </w:r>
          </w:p>
        </w:tc>
      </w:tr>
      <w:tr w:rsidR="001B75FE" w:rsidRPr="001B75FE" w14:paraId="68E1C71F" w14:textId="77777777" w:rsidTr="005A50C8">
        <w:trPr>
          <w:trHeight w:val="417"/>
          <w:tblCellSpacing w:w="15" w:type="dxa"/>
        </w:trPr>
        <w:tc>
          <w:tcPr>
            <w:tcW w:w="0" w:type="auto"/>
            <w:vAlign w:val="center"/>
            <w:hideMark/>
          </w:tcPr>
          <w:p w14:paraId="2F2CBEA6" w14:textId="77777777" w:rsidR="001B75FE" w:rsidRPr="001B75FE" w:rsidRDefault="001B75FE" w:rsidP="001B75FE"/>
        </w:tc>
        <w:tc>
          <w:tcPr>
            <w:tcW w:w="0" w:type="auto"/>
            <w:vAlign w:val="center"/>
            <w:hideMark/>
          </w:tcPr>
          <w:p w14:paraId="629AB55A" w14:textId="77777777" w:rsidR="001B75FE" w:rsidRPr="001B75FE" w:rsidRDefault="001B75FE" w:rsidP="001B75FE">
            <w:r w:rsidRPr="001B75FE">
              <w:t xml:space="preserve">İnternet </w:t>
            </w:r>
            <w:proofErr w:type="gramStart"/>
            <w:r w:rsidRPr="001B75FE">
              <w:t>Yok</w:t>
            </w:r>
            <w:proofErr w:type="gramEnd"/>
          </w:p>
        </w:tc>
        <w:tc>
          <w:tcPr>
            <w:tcW w:w="0" w:type="auto"/>
            <w:shd w:val="clear" w:color="auto" w:fill="00B050"/>
            <w:vAlign w:val="center"/>
            <w:hideMark/>
          </w:tcPr>
          <w:p w14:paraId="642C2FBC" w14:textId="562D8894" w:rsidR="001B75FE" w:rsidRPr="001B75FE" w:rsidRDefault="001B75FE" w:rsidP="001B75FE">
            <w:r w:rsidRPr="001B75FE">
              <w:t>92.57</w:t>
            </w:r>
            <w:r>
              <w:t xml:space="preserve"> %</w:t>
            </w:r>
          </w:p>
        </w:tc>
        <w:tc>
          <w:tcPr>
            <w:tcW w:w="0" w:type="auto"/>
            <w:shd w:val="clear" w:color="auto" w:fill="FF0000"/>
            <w:vAlign w:val="center"/>
            <w:hideMark/>
          </w:tcPr>
          <w:p w14:paraId="0E302AAC" w14:textId="5F881836" w:rsidR="001B75FE" w:rsidRPr="001B75FE" w:rsidRDefault="001B75FE" w:rsidP="001B75FE">
            <w:r w:rsidRPr="001B75FE">
              <w:t>7.43</w:t>
            </w:r>
            <w:r>
              <w:t xml:space="preserve"> %</w:t>
            </w:r>
          </w:p>
        </w:tc>
      </w:tr>
      <w:tr w:rsidR="001B75FE" w:rsidRPr="001B75FE" w14:paraId="171890CF" w14:textId="77777777" w:rsidTr="005A50C8">
        <w:trPr>
          <w:trHeight w:val="427"/>
          <w:tblCellSpacing w:w="15" w:type="dxa"/>
        </w:trPr>
        <w:tc>
          <w:tcPr>
            <w:tcW w:w="0" w:type="auto"/>
            <w:vAlign w:val="center"/>
            <w:hideMark/>
          </w:tcPr>
          <w:p w14:paraId="38A0EAC5" w14:textId="77777777" w:rsidR="001B75FE" w:rsidRPr="001B75FE" w:rsidRDefault="001B75FE" w:rsidP="001B75FE">
            <w:r w:rsidRPr="001B75FE">
              <w:rPr>
                <w:b/>
                <w:bCs/>
              </w:rPr>
              <w:t>7. Teknik Destek</w:t>
            </w:r>
          </w:p>
        </w:tc>
        <w:tc>
          <w:tcPr>
            <w:tcW w:w="0" w:type="auto"/>
            <w:vAlign w:val="center"/>
            <w:hideMark/>
          </w:tcPr>
          <w:p w14:paraId="105B60BC" w14:textId="77777777" w:rsidR="001B75FE" w:rsidRPr="001B75FE" w:rsidRDefault="001B75FE" w:rsidP="001B75FE">
            <w:r w:rsidRPr="001B75FE">
              <w:t>Hayır</w:t>
            </w:r>
          </w:p>
        </w:tc>
        <w:tc>
          <w:tcPr>
            <w:tcW w:w="0" w:type="auto"/>
            <w:shd w:val="clear" w:color="auto" w:fill="00B050"/>
            <w:vAlign w:val="center"/>
            <w:hideMark/>
          </w:tcPr>
          <w:p w14:paraId="1C9AC59F" w14:textId="67601AC7" w:rsidR="001B75FE" w:rsidRPr="001B75FE" w:rsidRDefault="001B75FE" w:rsidP="001B75FE">
            <w:r w:rsidRPr="001B75FE">
              <w:t>58.35</w:t>
            </w:r>
            <w:r>
              <w:t xml:space="preserve"> %</w:t>
            </w:r>
          </w:p>
        </w:tc>
        <w:tc>
          <w:tcPr>
            <w:tcW w:w="0" w:type="auto"/>
            <w:shd w:val="clear" w:color="auto" w:fill="FF0000"/>
            <w:vAlign w:val="center"/>
            <w:hideMark/>
          </w:tcPr>
          <w:p w14:paraId="789C1683" w14:textId="046631BA" w:rsidR="001B75FE" w:rsidRPr="001B75FE" w:rsidRDefault="001B75FE" w:rsidP="001B75FE">
            <w:r w:rsidRPr="001B75FE">
              <w:t>41.65</w:t>
            </w:r>
            <w:r>
              <w:t xml:space="preserve"> %</w:t>
            </w:r>
          </w:p>
        </w:tc>
      </w:tr>
      <w:tr w:rsidR="001B75FE" w:rsidRPr="001B75FE" w14:paraId="72378A04" w14:textId="77777777" w:rsidTr="005A50C8">
        <w:trPr>
          <w:trHeight w:val="417"/>
          <w:tblCellSpacing w:w="15" w:type="dxa"/>
        </w:trPr>
        <w:tc>
          <w:tcPr>
            <w:tcW w:w="0" w:type="auto"/>
            <w:vAlign w:val="center"/>
            <w:hideMark/>
          </w:tcPr>
          <w:p w14:paraId="24781A5C" w14:textId="77777777" w:rsidR="001B75FE" w:rsidRPr="001B75FE" w:rsidRDefault="001B75FE" w:rsidP="001B75FE"/>
        </w:tc>
        <w:tc>
          <w:tcPr>
            <w:tcW w:w="0" w:type="auto"/>
            <w:vAlign w:val="center"/>
            <w:hideMark/>
          </w:tcPr>
          <w:p w14:paraId="2E980800" w14:textId="77777777" w:rsidR="001B75FE" w:rsidRPr="001B75FE" w:rsidRDefault="001B75FE" w:rsidP="001B75FE">
            <w:r w:rsidRPr="001B75FE">
              <w:t>Var</w:t>
            </w:r>
          </w:p>
        </w:tc>
        <w:tc>
          <w:tcPr>
            <w:tcW w:w="0" w:type="auto"/>
            <w:shd w:val="clear" w:color="auto" w:fill="00B050"/>
            <w:vAlign w:val="center"/>
            <w:hideMark/>
          </w:tcPr>
          <w:p w14:paraId="1977B3E8" w14:textId="3F1F36A4" w:rsidR="001B75FE" w:rsidRPr="001B75FE" w:rsidRDefault="001B75FE" w:rsidP="001B75FE">
            <w:r w:rsidRPr="001B75FE">
              <w:t>84.80</w:t>
            </w:r>
            <w:r>
              <w:t xml:space="preserve"> %</w:t>
            </w:r>
          </w:p>
        </w:tc>
        <w:tc>
          <w:tcPr>
            <w:tcW w:w="0" w:type="auto"/>
            <w:shd w:val="clear" w:color="auto" w:fill="FF0000"/>
            <w:vAlign w:val="center"/>
            <w:hideMark/>
          </w:tcPr>
          <w:p w14:paraId="203D7ED6" w14:textId="75F5E7C9" w:rsidR="001B75FE" w:rsidRPr="001B75FE" w:rsidRDefault="001B75FE" w:rsidP="001B75FE">
            <w:r w:rsidRPr="001B75FE">
              <w:t>15.20</w:t>
            </w:r>
            <w:r>
              <w:t xml:space="preserve"> %</w:t>
            </w:r>
          </w:p>
        </w:tc>
      </w:tr>
      <w:tr w:rsidR="001B75FE" w:rsidRPr="001B75FE" w14:paraId="3D4969C0" w14:textId="77777777" w:rsidTr="005A50C8">
        <w:trPr>
          <w:trHeight w:val="417"/>
          <w:tblCellSpacing w:w="15" w:type="dxa"/>
        </w:trPr>
        <w:tc>
          <w:tcPr>
            <w:tcW w:w="0" w:type="auto"/>
            <w:vAlign w:val="center"/>
            <w:hideMark/>
          </w:tcPr>
          <w:p w14:paraId="57B6B715" w14:textId="77777777" w:rsidR="001B75FE" w:rsidRPr="001B75FE" w:rsidRDefault="001B75FE" w:rsidP="001B75FE"/>
        </w:tc>
        <w:tc>
          <w:tcPr>
            <w:tcW w:w="0" w:type="auto"/>
            <w:vAlign w:val="center"/>
            <w:hideMark/>
          </w:tcPr>
          <w:p w14:paraId="179A95BF" w14:textId="77777777" w:rsidR="001B75FE" w:rsidRPr="001B75FE" w:rsidRDefault="001B75FE" w:rsidP="001B75FE">
            <w:r w:rsidRPr="001B75FE">
              <w:t xml:space="preserve">İnternet </w:t>
            </w:r>
            <w:proofErr w:type="gramStart"/>
            <w:r w:rsidRPr="001B75FE">
              <w:t>Yok</w:t>
            </w:r>
            <w:proofErr w:type="gramEnd"/>
          </w:p>
        </w:tc>
        <w:tc>
          <w:tcPr>
            <w:tcW w:w="0" w:type="auto"/>
            <w:shd w:val="clear" w:color="auto" w:fill="00B050"/>
            <w:vAlign w:val="center"/>
            <w:hideMark/>
          </w:tcPr>
          <w:p w14:paraId="206F7031" w14:textId="7B089087" w:rsidR="001B75FE" w:rsidRPr="001B75FE" w:rsidRDefault="001B75FE" w:rsidP="001B75FE">
            <w:r w:rsidRPr="001B75FE">
              <w:t>92.57</w:t>
            </w:r>
            <w:r>
              <w:t xml:space="preserve"> %</w:t>
            </w:r>
          </w:p>
        </w:tc>
        <w:tc>
          <w:tcPr>
            <w:tcW w:w="0" w:type="auto"/>
            <w:shd w:val="clear" w:color="auto" w:fill="FF0000"/>
            <w:vAlign w:val="center"/>
            <w:hideMark/>
          </w:tcPr>
          <w:p w14:paraId="6E2FDD4B" w14:textId="60285EC9" w:rsidR="001B75FE" w:rsidRPr="001B75FE" w:rsidRDefault="001B75FE" w:rsidP="001B75FE">
            <w:r w:rsidRPr="001B75FE">
              <w:t>7.43</w:t>
            </w:r>
            <w:r>
              <w:t xml:space="preserve"> %</w:t>
            </w:r>
          </w:p>
        </w:tc>
      </w:tr>
      <w:tr w:rsidR="001B75FE" w:rsidRPr="001B75FE" w14:paraId="5D55C84D" w14:textId="77777777" w:rsidTr="005A50C8">
        <w:trPr>
          <w:trHeight w:val="417"/>
          <w:tblCellSpacing w:w="15" w:type="dxa"/>
        </w:trPr>
        <w:tc>
          <w:tcPr>
            <w:tcW w:w="0" w:type="auto"/>
            <w:vAlign w:val="center"/>
            <w:hideMark/>
          </w:tcPr>
          <w:p w14:paraId="446ACCFB" w14:textId="77777777" w:rsidR="001B75FE" w:rsidRPr="001B75FE" w:rsidRDefault="001B75FE" w:rsidP="001B75FE">
            <w:r w:rsidRPr="001B75FE">
              <w:rPr>
                <w:b/>
                <w:bCs/>
              </w:rPr>
              <w:t>8. Cihaz Koruması</w:t>
            </w:r>
          </w:p>
        </w:tc>
        <w:tc>
          <w:tcPr>
            <w:tcW w:w="0" w:type="auto"/>
            <w:vAlign w:val="center"/>
            <w:hideMark/>
          </w:tcPr>
          <w:p w14:paraId="5046980B" w14:textId="77777777" w:rsidR="001B75FE" w:rsidRPr="001B75FE" w:rsidRDefault="001B75FE" w:rsidP="001B75FE">
            <w:r w:rsidRPr="001B75FE">
              <w:t>Hayır</w:t>
            </w:r>
          </w:p>
        </w:tc>
        <w:tc>
          <w:tcPr>
            <w:tcW w:w="0" w:type="auto"/>
            <w:shd w:val="clear" w:color="auto" w:fill="00B050"/>
            <w:vAlign w:val="center"/>
            <w:hideMark/>
          </w:tcPr>
          <w:p w14:paraId="3F43B630" w14:textId="3CE82EB6" w:rsidR="001B75FE" w:rsidRPr="001B75FE" w:rsidRDefault="001B75FE" w:rsidP="001B75FE">
            <w:r w:rsidRPr="001B75FE">
              <w:t>60.86</w:t>
            </w:r>
            <w:r>
              <w:t xml:space="preserve"> %</w:t>
            </w:r>
          </w:p>
        </w:tc>
        <w:tc>
          <w:tcPr>
            <w:tcW w:w="0" w:type="auto"/>
            <w:shd w:val="clear" w:color="auto" w:fill="FF0000"/>
            <w:vAlign w:val="center"/>
            <w:hideMark/>
          </w:tcPr>
          <w:p w14:paraId="23B12143" w14:textId="49D9EDC8" w:rsidR="001B75FE" w:rsidRPr="001B75FE" w:rsidRDefault="001B75FE" w:rsidP="001B75FE">
            <w:r w:rsidRPr="001B75FE">
              <w:t>39.14</w:t>
            </w:r>
            <w:r>
              <w:t xml:space="preserve"> %</w:t>
            </w:r>
          </w:p>
        </w:tc>
      </w:tr>
      <w:tr w:rsidR="001B75FE" w:rsidRPr="001B75FE" w14:paraId="2DE06FA7" w14:textId="77777777" w:rsidTr="005A50C8">
        <w:trPr>
          <w:trHeight w:val="427"/>
          <w:tblCellSpacing w:w="15" w:type="dxa"/>
        </w:trPr>
        <w:tc>
          <w:tcPr>
            <w:tcW w:w="0" w:type="auto"/>
            <w:vAlign w:val="center"/>
            <w:hideMark/>
          </w:tcPr>
          <w:p w14:paraId="3EF21E52" w14:textId="77777777" w:rsidR="001B75FE" w:rsidRPr="001B75FE" w:rsidRDefault="001B75FE" w:rsidP="001B75FE"/>
        </w:tc>
        <w:tc>
          <w:tcPr>
            <w:tcW w:w="0" w:type="auto"/>
            <w:vAlign w:val="center"/>
            <w:hideMark/>
          </w:tcPr>
          <w:p w14:paraId="6981FC4A" w14:textId="77777777" w:rsidR="001B75FE" w:rsidRPr="001B75FE" w:rsidRDefault="001B75FE" w:rsidP="001B75FE">
            <w:r w:rsidRPr="001B75FE">
              <w:t>Var</w:t>
            </w:r>
          </w:p>
        </w:tc>
        <w:tc>
          <w:tcPr>
            <w:tcW w:w="0" w:type="auto"/>
            <w:shd w:val="clear" w:color="auto" w:fill="00B050"/>
            <w:vAlign w:val="center"/>
            <w:hideMark/>
          </w:tcPr>
          <w:p w14:paraId="3AB88E2E" w14:textId="52DF2342" w:rsidR="001B75FE" w:rsidRPr="001B75FE" w:rsidRDefault="001B75FE" w:rsidP="001B75FE">
            <w:r w:rsidRPr="001B75FE">
              <w:t>77.46</w:t>
            </w:r>
            <w:r>
              <w:t xml:space="preserve"> %</w:t>
            </w:r>
          </w:p>
        </w:tc>
        <w:tc>
          <w:tcPr>
            <w:tcW w:w="0" w:type="auto"/>
            <w:shd w:val="clear" w:color="auto" w:fill="FF0000"/>
            <w:vAlign w:val="center"/>
            <w:hideMark/>
          </w:tcPr>
          <w:p w14:paraId="553358BF" w14:textId="32976FFF" w:rsidR="001B75FE" w:rsidRPr="001B75FE" w:rsidRDefault="001B75FE" w:rsidP="001B75FE">
            <w:r w:rsidRPr="001B75FE">
              <w:t>22.54</w:t>
            </w:r>
            <w:r>
              <w:t xml:space="preserve"> % </w:t>
            </w:r>
          </w:p>
        </w:tc>
      </w:tr>
      <w:tr w:rsidR="001B75FE" w:rsidRPr="001B75FE" w14:paraId="6853E2AA" w14:textId="77777777" w:rsidTr="005A50C8">
        <w:trPr>
          <w:trHeight w:val="417"/>
          <w:tblCellSpacing w:w="15" w:type="dxa"/>
        </w:trPr>
        <w:tc>
          <w:tcPr>
            <w:tcW w:w="0" w:type="auto"/>
            <w:vAlign w:val="center"/>
            <w:hideMark/>
          </w:tcPr>
          <w:p w14:paraId="16283276" w14:textId="77777777" w:rsidR="001B75FE" w:rsidRPr="001B75FE" w:rsidRDefault="001B75FE" w:rsidP="001B75FE"/>
        </w:tc>
        <w:tc>
          <w:tcPr>
            <w:tcW w:w="0" w:type="auto"/>
            <w:vAlign w:val="center"/>
            <w:hideMark/>
          </w:tcPr>
          <w:p w14:paraId="1F2495B6" w14:textId="77777777" w:rsidR="001B75FE" w:rsidRPr="001B75FE" w:rsidRDefault="001B75FE" w:rsidP="001B75FE">
            <w:r w:rsidRPr="001B75FE">
              <w:t xml:space="preserve">İnternet </w:t>
            </w:r>
            <w:proofErr w:type="gramStart"/>
            <w:r w:rsidRPr="001B75FE">
              <w:t>Yok</w:t>
            </w:r>
            <w:proofErr w:type="gramEnd"/>
          </w:p>
        </w:tc>
        <w:tc>
          <w:tcPr>
            <w:tcW w:w="0" w:type="auto"/>
            <w:shd w:val="clear" w:color="auto" w:fill="00B050"/>
            <w:vAlign w:val="center"/>
            <w:hideMark/>
          </w:tcPr>
          <w:p w14:paraId="59902D79" w14:textId="577AAE81" w:rsidR="001B75FE" w:rsidRPr="001B75FE" w:rsidRDefault="001B75FE" w:rsidP="001B75FE">
            <w:r w:rsidRPr="001B75FE">
              <w:t>92.57</w:t>
            </w:r>
            <w:r>
              <w:t xml:space="preserve"> %</w:t>
            </w:r>
          </w:p>
        </w:tc>
        <w:tc>
          <w:tcPr>
            <w:tcW w:w="0" w:type="auto"/>
            <w:shd w:val="clear" w:color="auto" w:fill="FF0000"/>
            <w:vAlign w:val="center"/>
            <w:hideMark/>
          </w:tcPr>
          <w:p w14:paraId="0B2D6A4E" w14:textId="660DA633" w:rsidR="001B75FE" w:rsidRPr="001B75FE" w:rsidRDefault="001B75FE" w:rsidP="001B75FE">
            <w:r w:rsidRPr="001B75FE">
              <w:t>7.43</w:t>
            </w:r>
            <w:r>
              <w:t xml:space="preserve"> %</w:t>
            </w:r>
          </w:p>
        </w:tc>
      </w:tr>
      <w:tr w:rsidR="001B75FE" w:rsidRPr="001B75FE" w14:paraId="20ABE664" w14:textId="77777777" w:rsidTr="005A50C8">
        <w:trPr>
          <w:trHeight w:val="417"/>
          <w:tblCellSpacing w:w="15" w:type="dxa"/>
        </w:trPr>
        <w:tc>
          <w:tcPr>
            <w:tcW w:w="0" w:type="auto"/>
            <w:vAlign w:val="center"/>
            <w:hideMark/>
          </w:tcPr>
          <w:p w14:paraId="752B73AA" w14:textId="77777777" w:rsidR="001B75FE" w:rsidRPr="001B75FE" w:rsidRDefault="001B75FE" w:rsidP="001B75FE">
            <w:r w:rsidRPr="001B75FE">
              <w:rPr>
                <w:b/>
                <w:bCs/>
              </w:rPr>
              <w:t>9. Çevrimiçi Yedekleme</w:t>
            </w:r>
          </w:p>
        </w:tc>
        <w:tc>
          <w:tcPr>
            <w:tcW w:w="0" w:type="auto"/>
            <w:vAlign w:val="center"/>
            <w:hideMark/>
          </w:tcPr>
          <w:p w14:paraId="1F012DC8" w14:textId="77777777" w:rsidR="001B75FE" w:rsidRPr="001B75FE" w:rsidRDefault="001B75FE" w:rsidP="001B75FE">
            <w:r w:rsidRPr="001B75FE">
              <w:t>Hayır</w:t>
            </w:r>
          </w:p>
        </w:tc>
        <w:tc>
          <w:tcPr>
            <w:tcW w:w="0" w:type="auto"/>
            <w:shd w:val="clear" w:color="auto" w:fill="00B050"/>
            <w:vAlign w:val="center"/>
            <w:hideMark/>
          </w:tcPr>
          <w:p w14:paraId="0B46103A" w14:textId="755DE54A" w:rsidR="001B75FE" w:rsidRPr="001B75FE" w:rsidRDefault="001B75FE" w:rsidP="001B75FE">
            <w:r w:rsidRPr="001B75FE">
              <w:t>60.06</w:t>
            </w:r>
            <w:r>
              <w:t xml:space="preserve"> %</w:t>
            </w:r>
          </w:p>
        </w:tc>
        <w:tc>
          <w:tcPr>
            <w:tcW w:w="0" w:type="auto"/>
            <w:shd w:val="clear" w:color="auto" w:fill="FF0000"/>
            <w:vAlign w:val="center"/>
            <w:hideMark/>
          </w:tcPr>
          <w:p w14:paraId="19E927E3" w14:textId="0E06DB79" w:rsidR="001B75FE" w:rsidRPr="001B75FE" w:rsidRDefault="001B75FE" w:rsidP="001B75FE">
            <w:r w:rsidRPr="001B75FE">
              <w:t>39.94</w:t>
            </w:r>
            <w:r>
              <w:t xml:space="preserve"> %</w:t>
            </w:r>
          </w:p>
        </w:tc>
      </w:tr>
      <w:tr w:rsidR="001B75FE" w:rsidRPr="001B75FE" w14:paraId="389A79B5" w14:textId="77777777" w:rsidTr="005A50C8">
        <w:trPr>
          <w:trHeight w:val="417"/>
          <w:tblCellSpacing w:w="15" w:type="dxa"/>
        </w:trPr>
        <w:tc>
          <w:tcPr>
            <w:tcW w:w="0" w:type="auto"/>
            <w:vAlign w:val="center"/>
            <w:hideMark/>
          </w:tcPr>
          <w:p w14:paraId="7DB24345" w14:textId="77777777" w:rsidR="001B75FE" w:rsidRPr="001B75FE" w:rsidRDefault="001B75FE" w:rsidP="001B75FE"/>
        </w:tc>
        <w:tc>
          <w:tcPr>
            <w:tcW w:w="0" w:type="auto"/>
            <w:vAlign w:val="center"/>
            <w:hideMark/>
          </w:tcPr>
          <w:p w14:paraId="3ACBB011" w14:textId="77777777" w:rsidR="001B75FE" w:rsidRPr="001B75FE" w:rsidRDefault="001B75FE" w:rsidP="001B75FE">
            <w:r w:rsidRPr="001B75FE">
              <w:t>Var</w:t>
            </w:r>
          </w:p>
        </w:tc>
        <w:tc>
          <w:tcPr>
            <w:tcW w:w="0" w:type="auto"/>
            <w:shd w:val="clear" w:color="auto" w:fill="00B050"/>
            <w:vAlign w:val="center"/>
            <w:hideMark/>
          </w:tcPr>
          <w:p w14:paraId="332E5BB6" w14:textId="69AF32C7" w:rsidR="001B75FE" w:rsidRPr="001B75FE" w:rsidRDefault="001B75FE" w:rsidP="001B75FE">
            <w:r w:rsidRPr="001B75FE">
              <w:t>78.43</w:t>
            </w:r>
            <w:r>
              <w:t xml:space="preserve"> %</w:t>
            </w:r>
          </w:p>
        </w:tc>
        <w:tc>
          <w:tcPr>
            <w:tcW w:w="0" w:type="auto"/>
            <w:shd w:val="clear" w:color="auto" w:fill="FF0000"/>
            <w:vAlign w:val="center"/>
            <w:hideMark/>
          </w:tcPr>
          <w:p w14:paraId="14811F4D" w14:textId="03B768B4" w:rsidR="001B75FE" w:rsidRPr="001B75FE" w:rsidRDefault="001B75FE" w:rsidP="001B75FE">
            <w:r w:rsidRPr="001B75FE">
              <w:t>21.57</w:t>
            </w:r>
            <w:r>
              <w:t xml:space="preserve"> %</w:t>
            </w:r>
          </w:p>
        </w:tc>
      </w:tr>
      <w:tr w:rsidR="001B75FE" w:rsidRPr="001B75FE" w14:paraId="47EFCDE4" w14:textId="77777777" w:rsidTr="005A50C8">
        <w:trPr>
          <w:trHeight w:val="427"/>
          <w:tblCellSpacing w:w="15" w:type="dxa"/>
        </w:trPr>
        <w:tc>
          <w:tcPr>
            <w:tcW w:w="0" w:type="auto"/>
            <w:vAlign w:val="center"/>
            <w:hideMark/>
          </w:tcPr>
          <w:p w14:paraId="193BD917" w14:textId="77777777" w:rsidR="001B75FE" w:rsidRPr="001B75FE" w:rsidRDefault="001B75FE" w:rsidP="001B75FE"/>
        </w:tc>
        <w:tc>
          <w:tcPr>
            <w:tcW w:w="0" w:type="auto"/>
            <w:vAlign w:val="center"/>
            <w:hideMark/>
          </w:tcPr>
          <w:p w14:paraId="28041402" w14:textId="77777777" w:rsidR="001B75FE" w:rsidRPr="001B75FE" w:rsidRDefault="001B75FE" w:rsidP="001B75FE">
            <w:r w:rsidRPr="001B75FE">
              <w:t xml:space="preserve">İnternet </w:t>
            </w:r>
            <w:proofErr w:type="gramStart"/>
            <w:r w:rsidRPr="001B75FE">
              <w:t>Yok</w:t>
            </w:r>
            <w:proofErr w:type="gramEnd"/>
          </w:p>
        </w:tc>
        <w:tc>
          <w:tcPr>
            <w:tcW w:w="0" w:type="auto"/>
            <w:shd w:val="clear" w:color="auto" w:fill="00B050"/>
            <w:vAlign w:val="center"/>
            <w:hideMark/>
          </w:tcPr>
          <w:p w14:paraId="3F806399" w14:textId="4FAE032C" w:rsidR="001B75FE" w:rsidRPr="001B75FE" w:rsidRDefault="001B75FE" w:rsidP="001B75FE">
            <w:r w:rsidRPr="001B75FE">
              <w:t>92.57</w:t>
            </w:r>
            <w:r>
              <w:t xml:space="preserve"> %</w:t>
            </w:r>
          </w:p>
        </w:tc>
        <w:tc>
          <w:tcPr>
            <w:tcW w:w="0" w:type="auto"/>
            <w:shd w:val="clear" w:color="auto" w:fill="FF0000"/>
            <w:vAlign w:val="center"/>
            <w:hideMark/>
          </w:tcPr>
          <w:p w14:paraId="3B79BA60" w14:textId="616391EC" w:rsidR="001B75FE" w:rsidRPr="001B75FE" w:rsidRDefault="001B75FE" w:rsidP="001B75FE">
            <w:r w:rsidRPr="001B75FE">
              <w:t>7.43</w:t>
            </w:r>
            <w:r>
              <w:t xml:space="preserve"> %</w:t>
            </w:r>
          </w:p>
        </w:tc>
      </w:tr>
    </w:tbl>
    <w:p w14:paraId="6811CC19" w14:textId="7F5CCA62" w:rsidR="002C0454" w:rsidRDefault="002C0454" w:rsidP="00C21F17">
      <w:r>
        <w:t xml:space="preserve"> </w:t>
      </w:r>
    </w:p>
    <w:p w14:paraId="4956EA59" w14:textId="5D9E8DF0" w:rsidR="001B75FE" w:rsidRDefault="001B75FE" w:rsidP="00C21F17">
      <w:r>
        <w:t xml:space="preserve">Analize göre </w:t>
      </w:r>
      <w:r w:rsidRPr="001B75FE">
        <w:t>müşteri kaybı, kısa süreli sözleşme yapan, yüksek ücret ödeyen ve ek hizmet kullanmayan müşterilerde daha yüksek. Uzun vadeli sözleşme, düşük ücret ve çevrimiçi güvenlik gibi hizmetler müşteri sadakatini artırıyor.</w:t>
      </w:r>
    </w:p>
    <w:p w14:paraId="23CC6F5E" w14:textId="5C4CED5A" w:rsidR="001B75FE" w:rsidRPr="005A50C8" w:rsidRDefault="005A50C8" w:rsidP="00C21F17">
      <w:pPr>
        <w:rPr>
          <w:b/>
          <w:bCs/>
        </w:rPr>
      </w:pPr>
      <w:r w:rsidRPr="005A50C8">
        <w:rPr>
          <w:b/>
          <w:bCs/>
        </w:rPr>
        <w:lastRenderedPageBreak/>
        <w:t>ÖNERİLER</w:t>
      </w:r>
    </w:p>
    <w:p w14:paraId="0A9C5719" w14:textId="77777777" w:rsidR="005A50C8" w:rsidRPr="005A50C8" w:rsidRDefault="005A50C8" w:rsidP="005A50C8">
      <w:r w:rsidRPr="005A50C8">
        <w:t>Yapılan analizler doğrultusunda müşteri kaybını azaltmak ve müşteri memnuniyetini artırmak amacıyla aşağıdaki öneriler sunulmaktadır:</w:t>
      </w:r>
    </w:p>
    <w:p w14:paraId="2AC60850" w14:textId="77777777" w:rsidR="005A50C8" w:rsidRPr="005A50C8" w:rsidRDefault="005A50C8" w:rsidP="005A50C8">
      <w:pPr>
        <w:rPr>
          <w:b/>
          <w:bCs/>
        </w:rPr>
      </w:pPr>
      <w:r w:rsidRPr="005A50C8">
        <w:rPr>
          <w:b/>
          <w:bCs/>
        </w:rPr>
        <w:t>1. Uzun Vadeli Sözleşmelerin Teşviki</w:t>
      </w:r>
    </w:p>
    <w:p w14:paraId="0A39C1AD" w14:textId="77777777" w:rsidR="005A50C8" w:rsidRPr="005A50C8" w:rsidRDefault="005A50C8" w:rsidP="005A50C8">
      <w:r w:rsidRPr="005A50C8">
        <w:t>Müşteri kaybı oranı, özellikle iki yıllık sözleşmelerde oldukça düşüktür. Uzun vadeli sözleşmelere geçişi teşvik eden indirimler veya özel kampanyalar, müşteri sadakatini artırmada etkili olacaktır.</w:t>
      </w:r>
    </w:p>
    <w:p w14:paraId="64C7D0CE" w14:textId="77777777" w:rsidR="005A50C8" w:rsidRPr="005A50C8" w:rsidRDefault="005A50C8" w:rsidP="005A50C8">
      <w:pPr>
        <w:rPr>
          <w:b/>
          <w:bCs/>
        </w:rPr>
      </w:pPr>
      <w:r w:rsidRPr="005A50C8">
        <w:rPr>
          <w:b/>
          <w:bCs/>
        </w:rPr>
        <w:t>2. Yüksek Ücretli Müşterilere Değer Odaklı Hizmet</w:t>
      </w:r>
    </w:p>
    <w:p w14:paraId="60A24933" w14:textId="6C5C23ED" w:rsidR="005A50C8" w:rsidRPr="005A50C8" w:rsidRDefault="005A50C8" w:rsidP="005A50C8">
      <w:r w:rsidRPr="005A50C8">
        <w:t>Aylık ücret ortalaması yüksek olan müşterilerde kayıp oranı artmaktadır. Bu müşterilere yönelik özel içerikler, ayrıcalıklı destek hizmetleri sunulmalıdır.</w:t>
      </w:r>
    </w:p>
    <w:p w14:paraId="4CDF059D" w14:textId="77777777" w:rsidR="005A50C8" w:rsidRPr="005A50C8" w:rsidRDefault="005A50C8" w:rsidP="005A50C8">
      <w:pPr>
        <w:rPr>
          <w:b/>
          <w:bCs/>
        </w:rPr>
      </w:pPr>
      <w:r w:rsidRPr="005A50C8">
        <w:rPr>
          <w:b/>
          <w:bCs/>
        </w:rPr>
        <w:t>3. Ek Hizmetlerin Paketlenmesi ve Yaygınlaştırılması</w:t>
      </w:r>
    </w:p>
    <w:p w14:paraId="22E73AF1" w14:textId="77777777" w:rsidR="005A50C8" w:rsidRPr="005A50C8" w:rsidRDefault="005A50C8" w:rsidP="005A50C8">
      <w:r w:rsidRPr="005A50C8">
        <w:t>Çevrimiçi güvenlik, teknik destek ve benzeri ek hizmetleri kullanan müşterilerde kayıp oranı belirgin şekilde düşüktür. Bu hizmetlerin daha cazip hale getirilerek paketlerde standart olarak sunulması önerilir.</w:t>
      </w:r>
    </w:p>
    <w:p w14:paraId="1BCD0067" w14:textId="77777777" w:rsidR="005A50C8" w:rsidRPr="005A50C8" w:rsidRDefault="005A50C8" w:rsidP="005A50C8">
      <w:pPr>
        <w:rPr>
          <w:b/>
          <w:bCs/>
        </w:rPr>
      </w:pPr>
      <w:r w:rsidRPr="005A50C8">
        <w:rPr>
          <w:b/>
          <w:bCs/>
        </w:rPr>
        <w:t>4. Erken Dönem Müşteri Desteği</w:t>
      </w:r>
    </w:p>
    <w:p w14:paraId="22952285" w14:textId="77777777" w:rsidR="005A50C8" w:rsidRPr="005A50C8" w:rsidRDefault="005A50C8" w:rsidP="005A50C8">
      <w:r w:rsidRPr="005A50C8">
        <w:t>Abonelik süresi kısa olan müşterilerde kayıp oranı yüksektir. Bu nedenle, ilk 6 ayda özel müşteri destek süreçleri uygulanmalı ve memnuniyet odaklı hizmet anlayışı benimsenmelidir.</w:t>
      </w:r>
    </w:p>
    <w:p w14:paraId="4E5A1D82" w14:textId="77777777" w:rsidR="005A50C8" w:rsidRPr="005A50C8" w:rsidRDefault="005A50C8" w:rsidP="005A50C8">
      <w:pPr>
        <w:rPr>
          <w:b/>
          <w:bCs/>
        </w:rPr>
      </w:pPr>
      <w:r w:rsidRPr="005A50C8">
        <w:rPr>
          <w:b/>
          <w:bCs/>
        </w:rPr>
        <w:t>5. Fiber Optik Müşterilere Özel Geri Bildirim Süreci</w:t>
      </w:r>
    </w:p>
    <w:p w14:paraId="722AF238" w14:textId="77777777" w:rsidR="005A50C8" w:rsidRDefault="005A50C8" w:rsidP="005A50C8">
      <w:r w:rsidRPr="005A50C8">
        <w:t>Fiber optik hizmet kullanan müşteriler arasında kayıp oranı yüksektir. Bu nedenle, bu kullanıcı grubuna özel anketler ve kalite ölçümleriyle geri bildirim toplanmalı; hizmet iyileştirmeleri buna göre yapılmalıdır.</w:t>
      </w:r>
    </w:p>
    <w:p w14:paraId="272090B8" w14:textId="77777777" w:rsidR="00D16BD9" w:rsidRDefault="00D16BD9" w:rsidP="005A50C8"/>
    <w:p w14:paraId="2B607B84" w14:textId="77777777" w:rsidR="00D16BD9" w:rsidRDefault="00D16BD9" w:rsidP="005A50C8"/>
    <w:p w14:paraId="64405E4C" w14:textId="62B1BFC5" w:rsidR="00D16BD9" w:rsidRDefault="00D16BD9" w:rsidP="00D16BD9">
      <w:pPr>
        <w:pStyle w:val="Balk2"/>
      </w:pPr>
      <w:r>
        <w:t xml:space="preserve"> MAKİNE ÖĞRENMESİ</w:t>
      </w:r>
    </w:p>
    <w:p w14:paraId="013D4722" w14:textId="5DACF096" w:rsidR="00D16BD9" w:rsidRDefault="00D16BD9" w:rsidP="00D16BD9">
      <w:r>
        <w:t xml:space="preserve">Çalışmaya makine öğrenmesinde sınıflandırma algoritmaları uygulayarak devam ediyoruz. Hedef </w:t>
      </w:r>
      <w:proofErr w:type="gramStart"/>
      <w:r>
        <w:t>değişken(</w:t>
      </w:r>
      <w:proofErr w:type="gramEnd"/>
      <w:r>
        <w:t>müşteri kaybı) orantılı dağılmadığı için makine öğrenmesi algoritması çok iyi performans veremeyeceğini öngörüyorum.</w:t>
      </w:r>
    </w:p>
    <w:p w14:paraId="527C86B1" w14:textId="667E3127" w:rsidR="00D16BD9" w:rsidRDefault="00D16BD9" w:rsidP="00D16BD9">
      <w:r>
        <w:t xml:space="preserve">Öncelikle Python ile kategorik değişkenleri </w:t>
      </w:r>
      <w:proofErr w:type="spellStart"/>
      <w:r>
        <w:t>numeric</w:t>
      </w:r>
      <w:proofErr w:type="spellEnd"/>
      <w:r>
        <w:t xml:space="preserve"> değerlere çevirerek modellemeye uygun bir hale getirdik ve </w:t>
      </w:r>
      <w:proofErr w:type="spellStart"/>
      <w:r>
        <w:t>sklearn</w:t>
      </w:r>
      <w:proofErr w:type="spellEnd"/>
      <w:r>
        <w:t xml:space="preserve"> kütüphanesi ile lojistik regresyon, karar ağaçları rastgele orman, SVM ve KNN algoritmaları ile modeller kurduk doğruluklarını </w:t>
      </w:r>
      <w:proofErr w:type="spellStart"/>
      <w:r>
        <w:t>accuary</w:t>
      </w:r>
      <w:proofErr w:type="spellEnd"/>
      <w:r>
        <w:t xml:space="preserve"> </w:t>
      </w:r>
      <w:proofErr w:type="spellStart"/>
      <w:r>
        <w:t>score</w:t>
      </w:r>
      <w:proofErr w:type="spellEnd"/>
      <w:r>
        <w:t xml:space="preserve"> ile test ettik sonuçlar;</w:t>
      </w:r>
    </w:p>
    <w:p w14:paraId="10A30C3B" w14:textId="07E0A9DF" w:rsidR="00D16BD9" w:rsidRPr="00D16BD9" w:rsidRDefault="00D16BD9" w:rsidP="00D16BD9">
      <w:proofErr w:type="spellStart"/>
      <w:r>
        <w:t>Logistic</w:t>
      </w:r>
      <w:proofErr w:type="spellEnd"/>
      <w:r>
        <w:t xml:space="preserve"> </w:t>
      </w:r>
      <w:proofErr w:type="spellStart"/>
      <w:r>
        <w:t>Regression</w:t>
      </w:r>
      <w:proofErr w:type="spellEnd"/>
      <w:r w:rsidRPr="00D16BD9">
        <w:t xml:space="preserve"> doğruluk: </w:t>
      </w:r>
      <w:proofErr w:type="gramStart"/>
      <w:r w:rsidRPr="00D16BD9">
        <w:t>%78.25</w:t>
      </w:r>
      <w:proofErr w:type="gramEnd"/>
    </w:p>
    <w:p w14:paraId="6FCE6498" w14:textId="77777777" w:rsidR="00D16BD9" w:rsidRPr="00D16BD9" w:rsidRDefault="00D16BD9" w:rsidP="00D16BD9">
      <w:proofErr w:type="spellStart"/>
      <w:r w:rsidRPr="00D16BD9">
        <w:t>Decision</w:t>
      </w:r>
      <w:proofErr w:type="spellEnd"/>
      <w:r w:rsidRPr="00D16BD9">
        <w:t xml:space="preserve"> </w:t>
      </w:r>
      <w:proofErr w:type="spellStart"/>
      <w:r w:rsidRPr="00D16BD9">
        <w:t>Tree</w:t>
      </w:r>
      <w:proofErr w:type="spellEnd"/>
      <w:r w:rsidRPr="00D16BD9">
        <w:t xml:space="preserve"> doğruluk: </w:t>
      </w:r>
      <w:proofErr w:type="gramStart"/>
      <w:r w:rsidRPr="00D16BD9">
        <w:t>%72.49</w:t>
      </w:r>
      <w:proofErr w:type="gramEnd"/>
    </w:p>
    <w:p w14:paraId="5BF60EE8" w14:textId="77777777" w:rsidR="00D16BD9" w:rsidRPr="00D16BD9" w:rsidRDefault="00D16BD9" w:rsidP="00D16BD9">
      <w:proofErr w:type="spellStart"/>
      <w:r w:rsidRPr="00D16BD9">
        <w:t>Random</w:t>
      </w:r>
      <w:proofErr w:type="spellEnd"/>
      <w:r w:rsidRPr="00D16BD9">
        <w:t xml:space="preserve"> </w:t>
      </w:r>
      <w:proofErr w:type="spellStart"/>
      <w:r w:rsidRPr="00D16BD9">
        <w:t>Forest</w:t>
      </w:r>
      <w:proofErr w:type="spellEnd"/>
      <w:r w:rsidRPr="00D16BD9">
        <w:t xml:space="preserve"> doğruluk: </w:t>
      </w:r>
      <w:proofErr w:type="gramStart"/>
      <w:r w:rsidRPr="00D16BD9">
        <w:t>%79.25</w:t>
      </w:r>
      <w:proofErr w:type="gramEnd"/>
    </w:p>
    <w:p w14:paraId="09A6C582" w14:textId="77777777" w:rsidR="00D16BD9" w:rsidRPr="00D16BD9" w:rsidRDefault="00D16BD9" w:rsidP="00D16BD9">
      <w:r w:rsidRPr="00D16BD9">
        <w:t xml:space="preserve">SVM doğruluk: </w:t>
      </w:r>
      <w:proofErr w:type="gramStart"/>
      <w:r w:rsidRPr="00D16BD9">
        <w:t>%73.42</w:t>
      </w:r>
      <w:proofErr w:type="gramEnd"/>
    </w:p>
    <w:p w14:paraId="051DA5C9" w14:textId="5DF3BCEE" w:rsidR="003D5795" w:rsidRDefault="00D16BD9" w:rsidP="00D16BD9">
      <w:r w:rsidRPr="00D16BD9">
        <w:t xml:space="preserve">KNN doğruluk: </w:t>
      </w:r>
      <w:proofErr w:type="gramStart"/>
      <w:r w:rsidRPr="00D16BD9">
        <w:t>%77.33</w:t>
      </w:r>
      <w:proofErr w:type="gramEnd"/>
    </w:p>
    <w:p w14:paraId="75AF2D64" w14:textId="6CBE2B9A" w:rsidR="00D16BD9" w:rsidRDefault="00D16BD9" w:rsidP="00D16BD9">
      <w:r>
        <w:t xml:space="preserve">Sonuçlara göre </w:t>
      </w:r>
      <w:proofErr w:type="spellStart"/>
      <w:r>
        <w:t>random</w:t>
      </w:r>
      <w:proofErr w:type="spellEnd"/>
      <w:r>
        <w:t xml:space="preserve"> </w:t>
      </w:r>
      <w:proofErr w:type="spellStart"/>
      <w:r>
        <w:t>forest</w:t>
      </w:r>
      <w:proofErr w:type="spellEnd"/>
      <w:r>
        <w:t xml:space="preserve"> (Rastgele orman) algoritması (</w:t>
      </w:r>
      <w:proofErr w:type="gramStart"/>
      <w:r>
        <w:t>%79.25</w:t>
      </w:r>
      <w:proofErr w:type="gramEnd"/>
      <w:r>
        <w:t>) daha iyi performans vermiştir.</w:t>
      </w:r>
    </w:p>
    <w:p w14:paraId="45D827BE" w14:textId="77777777" w:rsidR="00D16BD9" w:rsidRDefault="00D16BD9" w:rsidP="00D16BD9"/>
    <w:p w14:paraId="2D76D317" w14:textId="0FF6FC65" w:rsidR="00D16BD9" w:rsidRDefault="00D16BD9" w:rsidP="00D16BD9">
      <w:r>
        <w:t xml:space="preserve">Bu modellemenin ardından değişkenlere değerler girilerek (yeni müşterilere verilecek hizmetler durumu) müşteri kaybı yaşanıp yaşanmama durumunu tahmin ettiren fonksiyonu yazdım bu kodlara </w:t>
      </w:r>
      <w:proofErr w:type="spellStart"/>
      <w:r>
        <w:t>GitHub</w:t>
      </w:r>
      <w:proofErr w:type="spellEnd"/>
      <w:r>
        <w:t xml:space="preserve"> linkim üzerinden ulaşabilirsiniz.</w:t>
      </w:r>
    </w:p>
    <w:p w14:paraId="78FD7389" w14:textId="77777777" w:rsidR="00D16BD9" w:rsidRPr="004C1D20" w:rsidRDefault="00D16BD9" w:rsidP="00D16BD9"/>
    <w:sectPr w:rsidR="00D16BD9" w:rsidRPr="004C1D20" w:rsidSect="00DE7D75">
      <w:pgSz w:w="11900" w:h="16840" w:code="9"/>
      <w:pgMar w:top="641" w:right="1678" w:bottom="482" w:left="1281" w:header="272" w:footer="28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A6716"/>
    <w:multiLevelType w:val="multilevel"/>
    <w:tmpl w:val="EB9E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B55B30"/>
    <w:multiLevelType w:val="multilevel"/>
    <w:tmpl w:val="224C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091078"/>
    <w:multiLevelType w:val="multilevel"/>
    <w:tmpl w:val="129C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433098">
    <w:abstractNumId w:val="1"/>
  </w:num>
  <w:num w:numId="2" w16cid:durableId="1164007606">
    <w:abstractNumId w:val="2"/>
  </w:num>
  <w:num w:numId="3" w16cid:durableId="1796172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C0"/>
    <w:rsid w:val="00000F39"/>
    <w:rsid w:val="000D361D"/>
    <w:rsid w:val="001110B8"/>
    <w:rsid w:val="001B75FE"/>
    <w:rsid w:val="002C0454"/>
    <w:rsid w:val="002C5FE3"/>
    <w:rsid w:val="002E63C0"/>
    <w:rsid w:val="003D5795"/>
    <w:rsid w:val="00492BC0"/>
    <w:rsid w:val="004941D1"/>
    <w:rsid w:val="004C1D20"/>
    <w:rsid w:val="005A50C8"/>
    <w:rsid w:val="006304A1"/>
    <w:rsid w:val="00652787"/>
    <w:rsid w:val="008343E0"/>
    <w:rsid w:val="008C1CA9"/>
    <w:rsid w:val="008F2531"/>
    <w:rsid w:val="009F57B0"/>
    <w:rsid w:val="00AF7D28"/>
    <w:rsid w:val="00B270CE"/>
    <w:rsid w:val="00BF16F3"/>
    <w:rsid w:val="00C21F17"/>
    <w:rsid w:val="00D16BD9"/>
    <w:rsid w:val="00D5021E"/>
    <w:rsid w:val="00DE7D75"/>
    <w:rsid w:val="00FC52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B4C1"/>
  <w15:chartTrackingRefBased/>
  <w15:docId w15:val="{D2789288-371E-42D0-BED6-ECFC8F2B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92B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492B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492BC0"/>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492BC0"/>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492BC0"/>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492BC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92BC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92BC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92BC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92BC0"/>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492BC0"/>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492BC0"/>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492BC0"/>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492BC0"/>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492BC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92BC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92BC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92BC0"/>
    <w:rPr>
      <w:rFonts w:eastAsiaTheme="majorEastAsia" w:cstheme="majorBidi"/>
      <w:color w:val="272727" w:themeColor="text1" w:themeTint="D8"/>
    </w:rPr>
  </w:style>
  <w:style w:type="paragraph" w:styleId="KonuBal">
    <w:name w:val="Title"/>
    <w:basedOn w:val="Normal"/>
    <w:next w:val="Normal"/>
    <w:link w:val="KonuBalChar"/>
    <w:uiPriority w:val="10"/>
    <w:qFormat/>
    <w:rsid w:val="00492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92BC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92BC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92BC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92BC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92BC0"/>
    <w:rPr>
      <w:i/>
      <w:iCs/>
      <w:color w:val="404040" w:themeColor="text1" w:themeTint="BF"/>
    </w:rPr>
  </w:style>
  <w:style w:type="paragraph" w:styleId="ListeParagraf">
    <w:name w:val="List Paragraph"/>
    <w:basedOn w:val="Normal"/>
    <w:uiPriority w:val="34"/>
    <w:qFormat/>
    <w:rsid w:val="00492BC0"/>
    <w:pPr>
      <w:ind w:left="720"/>
      <w:contextualSpacing/>
    </w:pPr>
  </w:style>
  <w:style w:type="character" w:styleId="GlVurgulama">
    <w:name w:val="Intense Emphasis"/>
    <w:basedOn w:val="VarsaylanParagrafYazTipi"/>
    <w:uiPriority w:val="21"/>
    <w:qFormat/>
    <w:rsid w:val="00492BC0"/>
    <w:rPr>
      <w:i/>
      <w:iCs/>
      <w:color w:val="2F5496" w:themeColor="accent1" w:themeShade="BF"/>
    </w:rPr>
  </w:style>
  <w:style w:type="paragraph" w:styleId="GlAlnt">
    <w:name w:val="Intense Quote"/>
    <w:basedOn w:val="Normal"/>
    <w:next w:val="Normal"/>
    <w:link w:val="GlAlntChar"/>
    <w:uiPriority w:val="30"/>
    <w:qFormat/>
    <w:rsid w:val="00492B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492BC0"/>
    <w:rPr>
      <w:i/>
      <w:iCs/>
      <w:color w:val="2F5496" w:themeColor="accent1" w:themeShade="BF"/>
    </w:rPr>
  </w:style>
  <w:style w:type="character" w:styleId="GlBavuru">
    <w:name w:val="Intense Reference"/>
    <w:basedOn w:val="VarsaylanParagrafYazTipi"/>
    <w:uiPriority w:val="32"/>
    <w:qFormat/>
    <w:rsid w:val="00492B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8461">
      <w:bodyDiv w:val="1"/>
      <w:marLeft w:val="0"/>
      <w:marRight w:val="0"/>
      <w:marTop w:val="0"/>
      <w:marBottom w:val="0"/>
      <w:divBdr>
        <w:top w:val="none" w:sz="0" w:space="0" w:color="auto"/>
        <w:left w:val="none" w:sz="0" w:space="0" w:color="auto"/>
        <w:bottom w:val="none" w:sz="0" w:space="0" w:color="auto"/>
        <w:right w:val="none" w:sz="0" w:space="0" w:color="auto"/>
      </w:divBdr>
    </w:div>
    <w:div w:id="114718174">
      <w:bodyDiv w:val="1"/>
      <w:marLeft w:val="0"/>
      <w:marRight w:val="0"/>
      <w:marTop w:val="0"/>
      <w:marBottom w:val="0"/>
      <w:divBdr>
        <w:top w:val="none" w:sz="0" w:space="0" w:color="auto"/>
        <w:left w:val="none" w:sz="0" w:space="0" w:color="auto"/>
        <w:bottom w:val="none" w:sz="0" w:space="0" w:color="auto"/>
        <w:right w:val="none" w:sz="0" w:space="0" w:color="auto"/>
      </w:divBdr>
    </w:div>
    <w:div w:id="119806810">
      <w:bodyDiv w:val="1"/>
      <w:marLeft w:val="0"/>
      <w:marRight w:val="0"/>
      <w:marTop w:val="0"/>
      <w:marBottom w:val="0"/>
      <w:divBdr>
        <w:top w:val="none" w:sz="0" w:space="0" w:color="auto"/>
        <w:left w:val="none" w:sz="0" w:space="0" w:color="auto"/>
        <w:bottom w:val="none" w:sz="0" w:space="0" w:color="auto"/>
        <w:right w:val="none" w:sz="0" w:space="0" w:color="auto"/>
      </w:divBdr>
    </w:div>
    <w:div w:id="153764709">
      <w:bodyDiv w:val="1"/>
      <w:marLeft w:val="0"/>
      <w:marRight w:val="0"/>
      <w:marTop w:val="0"/>
      <w:marBottom w:val="0"/>
      <w:divBdr>
        <w:top w:val="none" w:sz="0" w:space="0" w:color="auto"/>
        <w:left w:val="none" w:sz="0" w:space="0" w:color="auto"/>
        <w:bottom w:val="none" w:sz="0" w:space="0" w:color="auto"/>
        <w:right w:val="none" w:sz="0" w:space="0" w:color="auto"/>
      </w:divBdr>
    </w:div>
    <w:div w:id="158737976">
      <w:bodyDiv w:val="1"/>
      <w:marLeft w:val="0"/>
      <w:marRight w:val="0"/>
      <w:marTop w:val="0"/>
      <w:marBottom w:val="0"/>
      <w:divBdr>
        <w:top w:val="none" w:sz="0" w:space="0" w:color="auto"/>
        <w:left w:val="none" w:sz="0" w:space="0" w:color="auto"/>
        <w:bottom w:val="none" w:sz="0" w:space="0" w:color="auto"/>
        <w:right w:val="none" w:sz="0" w:space="0" w:color="auto"/>
      </w:divBdr>
    </w:div>
    <w:div w:id="183397226">
      <w:bodyDiv w:val="1"/>
      <w:marLeft w:val="0"/>
      <w:marRight w:val="0"/>
      <w:marTop w:val="0"/>
      <w:marBottom w:val="0"/>
      <w:divBdr>
        <w:top w:val="none" w:sz="0" w:space="0" w:color="auto"/>
        <w:left w:val="none" w:sz="0" w:space="0" w:color="auto"/>
        <w:bottom w:val="none" w:sz="0" w:space="0" w:color="auto"/>
        <w:right w:val="none" w:sz="0" w:space="0" w:color="auto"/>
      </w:divBdr>
    </w:div>
    <w:div w:id="264270673">
      <w:bodyDiv w:val="1"/>
      <w:marLeft w:val="0"/>
      <w:marRight w:val="0"/>
      <w:marTop w:val="0"/>
      <w:marBottom w:val="0"/>
      <w:divBdr>
        <w:top w:val="none" w:sz="0" w:space="0" w:color="auto"/>
        <w:left w:val="none" w:sz="0" w:space="0" w:color="auto"/>
        <w:bottom w:val="none" w:sz="0" w:space="0" w:color="auto"/>
        <w:right w:val="none" w:sz="0" w:space="0" w:color="auto"/>
      </w:divBdr>
    </w:div>
    <w:div w:id="470437803">
      <w:bodyDiv w:val="1"/>
      <w:marLeft w:val="0"/>
      <w:marRight w:val="0"/>
      <w:marTop w:val="0"/>
      <w:marBottom w:val="0"/>
      <w:divBdr>
        <w:top w:val="none" w:sz="0" w:space="0" w:color="auto"/>
        <w:left w:val="none" w:sz="0" w:space="0" w:color="auto"/>
        <w:bottom w:val="none" w:sz="0" w:space="0" w:color="auto"/>
        <w:right w:val="none" w:sz="0" w:space="0" w:color="auto"/>
      </w:divBdr>
    </w:div>
    <w:div w:id="620961597">
      <w:bodyDiv w:val="1"/>
      <w:marLeft w:val="0"/>
      <w:marRight w:val="0"/>
      <w:marTop w:val="0"/>
      <w:marBottom w:val="0"/>
      <w:divBdr>
        <w:top w:val="none" w:sz="0" w:space="0" w:color="auto"/>
        <w:left w:val="none" w:sz="0" w:space="0" w:color="auto"/>
        <w:bottom w:val="none" w:sz="0" w:space="0" w:color="auto"/>
        <w:right w:val="none" w:sz="0" w:space="0" w:color="auto"/>
      </w:divBdr>
    </w:div>
    <w:div w:id="660810740">
      <w:bodyDiv w:val="1"/>
      <w:marLeft w:val="0"/>
      <w:marRight w:val="0"/>
      <w:marTop w:val="0"/>
      <w:marBottom w:val="0"/>
      <w:divBdr>
        <w:top w:val="none" w:sz="0" w:space="0" w:color="auto"/>
        <w:left w:val="none" w:sz="0" w:space="0" w:color="auto"/>
        <w:bottom w:val="none" w:sz="0" w:space="0" w:color="auto"/>
        <w:right w:val="none" w:sz="0" w:space="0" w:color="auto"/>
      </w:divBdr>
    </w:div>
    <w:div w:id="785854029">
      <w:bodyDiv w:val="1"/>
      <w:marLeft w:val="0"/>
      <w:marRight w:val="0"/>
      <w:marTop w:val="0"/>
      <w:marBottom w:val="0"/>
      <w:divBdr>
        <w:top w:val="none" w:sz="0" w:space="0" w:color="auto"/>
        <w:left w:val="none" w:sz="0" w:space="0" w:color="auto"/>
        <w:bottom w:val="none" w:sz="0" w:space="0" w:color="auto"/>
        <w:right w:val="none" w:sz="0" w:space="0" w:color="auto"/>
      </w:divBdr>
    </w:div>
    <w:div w:id="881668145">
      <w:bodyDiv w:val="1"/>
      <w:marLeft w:val="0"/>
      <w:marRight w:val="0"/>
      <w:marTop w:val="0"/>
      <w:marBottom w:val="0"/>
      <w:divBdr>
        <w:top w:val="none" w:sz="0" w:space="0" w:color="auto"/>
        <w:left w:val="none" w:sz="0" w:space="0" w:color="auto"/>
        <w:bottom w:val="none" w:sz="0" w:space="0" w:color="auto"/>
        <w:right w:val="none" w:sz="0" w:space="0" w:color="auto"/>
      </w:divBdr>
    </w:div>
    <w:div w:id="952593669">
      <w:bodyDiv w:val="1"/>
      <w:marLeft w:val="0"/>
      <w:marRight w:val="0"/>
      <w:marTop w:val="0"/>
      <w:marBottom w:val="0"/>
      <w:divBdr>
        <w:top w:val="none" w:sz="0" w:space="0" w:color="auto"/>
        <w:left w:val="none" w:sz="0" w:space="0" w:color="auto"/>
        <w:bottom w:val="none" w:sz="0" w:space="0" w:color="auto"/>
        <w:right w:val="none" w:sz="0" w:space="0" w:color="auto"/>
      </w:divBdr>
    </w:div>
    <w:div w:id="996227831">
      <w:bodyDiv w:val="1"/>
      <w:marLeft w:val="0"/>
      <w:marRight w:val="0"/>
      <w:marTop w:val="0"/>
      <w:marBottom w:val="0"/>
      <w:divBdr>
        <w:top w:val="none" w:sz="0" w:space="0" w:color="auto"/>
        <w:left w:val="none" w:sz="0" w:space="0" w:color="auto"/>
        <w:bottom w:val="none" w:sz="0" w:space="0" w:color="auto"/>
        <w:right w:val="none" w:sz="0" w:space="0" w:color="auto"/>
      </w:divBdr>
    </w:div>
    <w:div w:id="1060985068">
      <w:bodyDiv w:val="1"/>
      <w:marLeft w:val="0"/>
      <w:marRight w:val="0"/>
      <w:marTop w:val="0"/>
      <w:marBottom w:val="0"/>
      <w:divBdr>
        <w:top w:val="none" w:sz="0" w:space="0" w:color="auto"/>
        <w:left w:val="none" w:sz="0" w:space="0" w:color="auto"/>
        <w:bottom w:val="none" w:sz="0" w:space="0" w:color="auto"/>
        <w:right w:val="none" w:sz="0" w:space="0" w:color="auto"/>
      </w:divBdr>
    </w:div>
    <w:div w:id="1133907908">
      <w:bodyDiv w:val="1"/>
      <w:marLeft w:val="0"/>
      <w:marRight w:val="0"/>
      <w:marTop w:val="0"/>
      <w:marBottom w:val="0"/>
      <w:divBdr>
        <w:top w:val="none" w:sz="0" w:space="0" w:color="auto"/>
        <w:left w:val="none" w:sz="0" w:space="0" w:color="auto"/>
        <w:bottom w:val="none" w:sz="0" w:space="0" w:color="auto"/>
        <w:right w:val="none" w:sz="0" w:space="0" w:color="auto"/>
      </w:divBdr>
    </w:div>
    <w:div w:id="1222012518">
      <w:bodyDiv w:val="1"/>
      <w:marLeft w:val="0"/>
      <w:marRight w:val="0"/>
      <w:marTop w:val="0"/>
      <w:marBottom w:val="0"/>
      <w:divBdr>
        <w:top w:val="none" w:sz="0" w:space="0" w:color="auto"/>
        <w:left w:val="none" w:sz="0" w:space="0" w:color="auto"/>
        <w:bottom w:val="none" w:sz="0" w:space="0" w:color="auto"/>
        <w:right w:val="none" w:sz="0" w:space="0" w:color="auto"/>
      </w:divBdr>
    </w:div>
    <w:div w:id="1231234614">
      <w:bodyDiv w:val="1"/>
      <w:marLeft w:val="0"/>
      <w:marRight w:val="0"/>
      <w:marTop w:val="0"/>
      <w:marBottom w:val="0"/>
      <w:divBdr>
        <w:top w:val="none" w:sz="0" w:space="0" w:color="auto"/>
        <w:left w:val="none" w:sz="0" w:space="0" w:color="auto"/>
        <w:bottom w:val="none" w:sz="0" w:space="0" w:color="auto"/>
        <w:right w:val="none" w:sz="0" w:space="0" w:color="auto"/>
      </w:divBdr>
    </w:div>
    <w:div w:id="1264535164">
      <w:bodyDiv w:val="1"/>
      <w:marLeft w:val="0"/>
      <w:marRight w:val="0"/>
      <w:marTop w:val="0"/>
      <w:marBottom w:val="0"/>
      <w:divBdr>
        <w:top w:val="none" w:sz="0" w:space="0" w:color="auto"/>
        <w:left w:val="none" w:sz="0" w:space="0" w:color="auto"/>
        <w:bottom w:val="none" w:sz="0" w:space="0" w:color="auto"/>
        <w:right w:val="none" w:sz="0" w:space="0" w:color="auto"/>
      </w:divBdr>
    </w:div>
    <w:div w:id="1387874911">
      <w:bodyDiv w:val="1"/>
      <w:marLeft w:val="0"/>
      <w:marRight w:val="0"/>
      <w:marTop w:val="0"/>
      <w:marBottom w:val="0"/>
      <w:divBdr>
        <w:top w:val="none" w:sz="0" w:space="0" w:color="auto"/>
        <w:left w:val="none" w:sz="0" w:space="0" w:color="auto"/>
        <w:bottom w:val="none" w:sz="0" w:space="0" w:color="auto"/>
        <w:right w:val="none" w:sz="0" w:space="0" w:color="auto"/>
      </w:divBdr>
    </w:div>
    <w:div w:id="1507355423">
      <w:bodyDiv w:val="1"/>
      <w:marLeft w:val="0"/>
      <w:marRight w:val="0"/>
      <w:marTop w:val="0"/>
      <w:marBottom w:val="0"/>
      <w:divBdr>
        <w:top w:val="none" w:sz="0" w:space="0" w:color="auto"/>
        <w:left w:val="none" w:sz="0" w:space="0" w:color="auto"/>
        <w:bottom w:val="none" w:sz="0" w:space="0" w:color="auto"/>
        <w:right w:val="none" w:sz="0" w:space="0" w:color="auto"/>
      </w:divBdr>
      <w:divsChild>
        <w:div w:id="1436825586">
          <w:marLeft w:val="0"/>
          <w:marRight w:val="0"/>
          <w:marTop w:val="0"/>
          <w:marBottom w:val="0"/>
          <w:divBdr>
            <w:top w:val="none" w:sz="0" w:space="0" w:color="auto"/>
            <w:left w:val="none" w:sz="0" w:space="0" w:color="auto"/>
            <w:bottom w:val="none" w:sz="0" w:space="0" w:color="auto"/>
            <w:right w:val="none" w:sz="0" w:space="0" w:color="auto"/>
          </w:divBdr>
          <w:divsChild>
            <w:div w:id="1864510576">
              <w:marLeft w:val="0"/>
              <w:marRight w:val="0"/>
              <w:marTop w:val="0"/>
              <w:marBottom w:val="0"/>
              <w:divBdr>
                <w:top w:val="none" w:sz="0" w:space="0" w:color="auto"/>
                <w:left w:val="none" w:sz="0" w:space="0" w:color="auto"/>
                <w:bottom w:val="none" w:sz="0" w:space="0" w:color="auto"/>
                <w:right w:val="none" w:sz="0" w:space="0" w:color="auto"/>
              </w:divBdr>
              <w:divsChild>
                <w:div w:id="534342870">
                  <w:marLeft w:val="0"/>
                  <w:marRight w:val="0"/>
                  <w:marTop w:val="0"/>
                  <w:marBottom w:val="0"/>
                  <w:divBdr>
                    <w:top w:val="none" w:sz="0" w:space="0" w:color="auto"/>
                    <w:left w:val="none" w:sz="0" w:space="0" w:color="auto"/>
                    <w:bottom w:val="none" w:sz="0" w:space="0" w:color="auto"/>
                    <w:right w:val="none" w:sz="0" w:space="0" w:color="auto"/>
                  </w:divBdr>
                  <w:divsChild>
                    <w:div w:id="1205484179">
                      <w:marLeft w:val="0"/>
                      <w:marRight w:val="0"/>
                      <w:marTop w:val="0"/>
                      <w:marBottom w:val="0"/>
                      <w:divBdr>
                        <w:top w:val="none" w:sz="0" w:space="0" w:color="auto"/>
                        <w:left w:val="none" w:sz="0" w:space="0" w:color="auto"/>
                        <w:bottom w:val="none" w:sz="0" w:space="0" w:color="auto"/>
                        <w:right w:val="none" w:sz="0" w:space="0" w:color="auto"/>
                      </w:divBdr>
                      <w:divsChild>
                        <w:div w:id="318120342">
                          <w:marLeft w:val="0"/>
                          <w:marRight w:val="0"/>
                          <w:marTop w:val="0"/>
                          <w:marBottom w:val="0"/>
                          <w:divBdr>
                            <w:top w:val="none" w:sz="0" w:space="0" w:color="auto"/>
                            <w:left w:val="none" w:sz="0" w:space="0" w:color="auto"/>
                            <w:bottom w:val="none" w:sz="0" w:space="0" w:color="auto"/>
                            <w:right w:val="none" w:sz="0" w:space="0" w:color="auto"/>
                          </w:divBdr>
                          <w:divsChild>
                            <w:div w:id="985276582">
                              <w:marLeft w:val="0"/>
                              <w:marRight w:val="0"/>
                              <w:marTop w:val="0"/>
                              <w:marBottom w:val="0"/>
                              <w:divBdr>
                                <w:top w:val="none" w:sz="0" w:space="0" w:color="auto"/>
                                <w:left w:val="none" w:sz="0" w:space="0" w:color="auto"/>
                                <w:bottom w:val="none" w:sz="0" w:space="0" w:color="auto"/>
                                <w:right w:val="none" w:sz="0" w:space="0" w:color="auto"/>
                              </w:divBdr>
                              <w:divsChild>
                                <w:div w:id="389381170">
                                  <w:marLeft w:val="0"/>
                                  <w:marRight w:val="0"/>
                                  <w:marTop w:val="0"/>
                                  <w:marBottom w:val="0"/>
                                  <w:divBdr>
                                    <w:top w:val="none" w:sz="0" w:space="0" w:color="auto"/>
                                    <w:left w:val="none" w:sz="0" w:space="0" w:color="auto"/>
                                    <w:bottom w:val="none" w:sz="0" w:space="0" w:color="auto"/>
                                    <w:right w:val="none" w:sz="0" w:space="0" w:color="auto"/>
                                  </w:divBdr>
                                  <w:divsChild>
                                    <w:div w:id="37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30264">
                          <w:marLeft w:val="0"/>
                          <w:marRight w:val="0"/>
                          <w:marTop w:val="0"/>
                          <w:marBottom w:val="0"/>
                          <w:divBdr>
                            <w:top w:val="none" w:sz="0" w:space="0" w:color="auto"/>
                            <w:left w:val="none" w:sz="0" w:space="0" w:color="auto"/>
                            <w:bottom w:val="none" w:sz="0" w:space="0" w:color="auto"/>
                            <w:right w:val="none" w:sz="0" w:space="0" w:color="auto"/>
                          </w:divBdr>
                          <w:divsChild>
                            <w:div w:id="427770545">
                              <w:marLeft w:val="0"/>
                              <w:marRight w:val="0"/>
                              <w:marTop w:val="0"/>
                              <w:marBottom w:val="0"/>
                              <w:divBdr>
                                <w:top w:val="none" w:sz="0" w:space="0" w:color="auto"/>
                                <w:left w:val="none" w:sz="0" w:space="0" w:color="auto"/>
                                <w:bottom w:val="none" w:sz="0" w:space="0" w:color="auto"/>
                                <w:right w:val="none" w:sz="0" w:space="0" w:color="auto"/>
                              </w:divBdr>
                              <w:divsChild>
                                <w:div w:id="3107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667286">
      <w:bodyDiv w:val="1"/>
      <w:marLeft w:val="0"/>
      <w:marRight w:val="0"/>
      <w:marTop w:val="0"/>
      <w:marBottom w:val="0"/>
      <w:divBdr>
        <w:top w:val="none" w:sz="0" w:space="0" w:color="auto"/>
        <w:left w:val="none" w:sz="0" w:space="0" w:color="auto"/>
        <w:bottom w:val="none" w:sz="0" w:space="0" w:color="auto"/>
        <w:right w:val="none" w:sz="0" w:space="0" w:color="auto"/>
      </w:divBdr>
    </w:div>
    <w:div w:id="1605186631">
      <w:bodyDiv w:val="1"/>
      <w:marLeft w:val="0"/>
      <w:marRight w:val="0"/>
      <w:marTop w:val="0"/>
      <w:marBottom w:val="0"/>
      <w:divBdr>
        <w:top w:val="none" w:sz="0" w:space="0" w:color="auto"/>
        <w:left w:val="none" w:sz="0" w:space="0" w:color="auto"/>
        <w:bottom w:val="none" w:sz="0" w:space="0" w:color="auto"/>
        <w:right w:val="none" w:sz="0" w:space="0" w:color="auto"/>
      </w:divBdr>
      <w:divsChild>
        <w:div w:id="1852912166">
          <w:marLeft w:val="0"/>
          <w:marRight w:val="0"/>
          <w:marTop w:val="0"/>
          <w:marBottom w:val="0"/>
          <w:divBdr>
            <w:top w:val="none" w:sz="0" w:space="0" w:color="auto"/>
            <w:left w:val="none" w:sz="0" w:space="0" w:color="auto"/>
            <w:bottom w:val="none" w:sz="0" w:space="0" w:color="auto"/>
            <w:right w:val="none" w:sz="0" w:space="0" w:color="auto"/>
          </w:divBdr>
          <w:divsChild>
            <w:div w:id="1586840006">
              <w:marLeft w:val="0"/>
              <w:marRight w:val="0"/>
              <w:marTop w:val="0"/>
              <w:marBottom w:val="0"/>
              <w:divBdr>
                <w:top w:val="none" w:sz="0" w:space="0" w:color="auto"/>
                <w:left w:val="none" w:sz="0" w:space="0" w:color="auto"/>
                <w:bottom w:val="none" w:sz="0" w:space="0" w:color="auto"/>
                <w:right w:val="none" w:sz="0" w:space="0" w:color="auto"/>
              </w:divBdr>
              <w:divsChild>
                <w:div w:id="833493336">
                  <w:marLeft w:val="0"/>
                  <w:marRight w:val="0"/>
                  <w:marTop w:val="0"/>
                  <w:marBottom w:val="0"/>
                  <w:divBdr>
                    <w:top w:val="none" w:sz="0" w:space="0" w:color="auto"/>
                    <w:left w:val="none" w:sz="0" w:space="0" w:color="auto"/>
                    <w:bottom w:val="none" w:sz="0" w:space="0" w:color="auto"/>
                    <w:right w:val="none" w:sz="0" w:space="0" w:color="auto"/>
                  </w:divBdr>
                  <w:divsChild>
                    <w:div w:id="1698115695">
                      <w:marLeft w:val="0"/>
                      <w:marRight w:val="0"/>
                      <w:marTop w:val="0"/>
                      <w:marBottom w:val="0"/>
                      <w:divBdr>
                        <w:top w:val="none" w:sz="0" w:space="0" w:color="auto"/>
                        <w:left w:val="none" w:sz="0" w:space="0" w:color="auto"/>
                        <w:bottom w:val="none" w:sz="0" w:space="0" w:color="auto"/>
                        <w:right w:val="none" w:sz="0" w:space="0" w:color="auto"/>
                      </w:divBdr>
                      <w:divsChild>
                        <w:div w:id="601687962">
                          <w:marLeft w:val="0"/>
                          <w:marRight w:val="0"/>
                          <w:marTop w:val="0"/>
                          <w:marBottom w:val="0"/>
                          <w:divBdr>
                            <w:top w:val="none" w:sz="0" w:space="0" w:color="auto"/>
                            <w:left w:val="none" w:sz="0" w:space="0" w:color="auto"/>
                            <w:bottom w:val="none" w:sz="0" w:space="0" w:color="auto"/>
                            <w:right w:val="none" w:sz="0" w:space="0" w:color="auto"/>
                          </w:divBdr>
                          <w:divsChild>
                            <w:div w:id="746802539">
                              <w:marLeft w:val="0"/>
                              <w:marRight w:val="0"/>
                              <w:marTop w:val="0"/>
                              <w:marBottom w:val="0"/>
                              <w:divBdr>
                                <w:top w:val="none" w:sz="0" w:space="0" w:color="auto"/>
                                <w:left w:val="none" w:sz="0" w:space="0" w:color="auto"/>
                                <w:bottom w:val="none" w:sz="0" w:space="0" w:color="auto"/>
                                <w:right w:val="none" w:sz="0" w:space="0" w:color="auto"/>
                              </w:divBdr>
                              <w:divsChild>
                                <w:div w:id="37825650">
                                  <w:marLeft w:val="0"/>
                                  <w:marRight w:val="0"/>
                                  <w:marTop w:val="0"/>
                                  <w:marBottom w:val="0"/>
                                  <w:divBdr>
                                    <w:top w:val="none" w:sz="0" w:space="0" w:color="auto"/>
                                    <w:left w:val="none" w:sz="0" w:space="0" w:color="auto"/>
                                    <w:bottom w:val="none" w:sz="0" w:space="0" w:color="auto"/>
                                    <w:right w:val="none" w:sz="0" w:space="0" w:color="auto"/>
                                  </w:divBdr>
                                  <w:divsChild>
                                    <w:div w:id="7261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99056">
                          <w:marLeft w:val="0"/>
                          <w:marRight w:val="0"/>
                          <w:marTop w:val="0"/>
                          <w:marBottom w:val="0"/>
                          <w:divBdr>
                            <w:top w:val="none" w:sz="0" w:space="0" w:color="auto"/>
                            <w:left w:val="none" w:sz="0" w:space="0" w:color="auto"/>
                            <w:bottom w:val="none" w:sz="0" w:space="0" w:color="auto"/>
                            <w:right w:val="none" w:sz="0" w:space="0" w:color="auto"/>
                          </w:divBdr>
                          <w:divsChild>
                            <w:div w:id="1196381509">
                              <w:marLeft w:val="0"/>
                              <w:marRight w:val="0"/>
                              <w:marTop w:val="0"/>
                              <w:marBottom w:val="0"/>
                              <w:divBdr>
                                <w:top w:val="none" w:sz="0" w:space="0" w:color="auto"/>
                                <w:left w:val="none" w:sz="0" w:space="0" w:color="auto"/>
                                <w:bottom w:val="none" w:sz="0" w:space="0" w:color="auto"/>
                                <w:right w:val="none" w:sz="0" w:space="0" w:color="auto"/>
                              </w:divBdr>
                              <w:divsChild>
                                <w:div w:id="6334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552668">
      <w:bodyDiv w:val="1"/>
      <w:marLeft w:val="0"/>
      <w:marRight w:val="0"/>
      <w:marTop w:val="0"/>
      <w:marBottom w:val="0"/>
      <w:divBdr>
        <w:top w:val="none" w:sz="0" w:space="0" w:color="auto"/>
        <w:left w:val="none" w:sz="0" w:space="0" w:color="auto"/>
        <w:bottom w:val="none" w:sz="0" w:space="0" w:color="auto"/>
        <w:right w:val="none" w:sz="0" w:space="0" w:color="auto"/>
      </w:divBdr>
      <w:divsChild>
        <w:div w:id="287125870">
          <w:marLeft w:val="0"/>
          <w:marRight w:val="0"/>
          <w:marTop w:val="0"/>
          <w:marBottom w:val="0"/>
          <w:divBdr>
            <w:top w:val="none" w:sz="0" w:space="0" w:color="auto"/>
            <w:left w:val="none" w:sz="0" w:space="0" w:color="auto"/>
            <w:bottom w:val="none" w:sz="0" w:space="0" w:color="auto"/>
            <w:right w:val="none" w:sz="0" w:space="0" w:color="auto"/>
          </w:divBdr>
          <w:divsChild>
            <w:div w:id="960258088">
              <w:marLeft w:val="0"/>
              <w:marRight w:val="0"/>
              <w:marTop w:val="0"/>
              <w:marBottom w:val="0"/>
              <w:divBdr>
                <w:top w:val="none" w:sz="0" w:space="0" w:color="auto"/>
                <w:left w:val="none" w:sz="0" w:space="0" w:color="auto"/>
                <w:bottom w:val="none" w:sz="0" w:space="0" w:color="auto"/>
                <w:right w:val="none" w:sz="0" w:space="0" w:color="auto"/>
              </w:divBdr>
              <w:divsChild>
                <w:div w:id="1815684994">
                  <w:marLeft w:val="0"/>
                  <w:marRight w:val="0"/>
                  <w:marTop w:val="0"/>
                  <w:marBottom w:val="0"/>
                  <w:divBdr>
                    <w:top w:val="none" w:sz="0" w:space="0" w:color="auto"/>
                    <w:left w:val="none" w:sz="0" w:space="0" w:color="auto"/>
                    <w:bottom w:val="none" w:sz="0" w:space="0" w:color="auto"/>
                    <w:right w:val="none" w:sz="0" w:space="0" w:color="auto"/>
                  </w:divBdr>
                  <w:divsChild>
                    <w:div w:id="1802265773">
                      <w:marLeft w:val="0"/>
                      <w:marRight w:val="0"/>
                      <w:marTop w:val="0"/>
                      <w:marBottom w:val="0"/>
                      <w:divBdr>
                        <w:top w:val="none" w:sz="0" w:space="0" w:color="auto"/>
                        <w:left w:val="none" w:sz="0" w:space="0" w:color="auto"/>
                        <w:bottom w:val="none" w:sz="0" w:space="0" w:color="auto"/>
                        <w:right w:val="none" w:sz="0" w:space="0" w:color="auto"/>
                      </w:divBdr>
                      <w:divsChild>
                        <w:div w:id="1435782108">
                          <w:marLeft w:val="0"/>
                          <w:marRight w:val="0"/>
                          <w:marTop w:val="0"/>
                          <w:marBottom w:val="0"/>
                          <w:divBdr>
                            <w:top w:val="none" w:sz="0" w:space="0" w:color="auto"/>
                            <w:left w:val="none" w:sz="0" w:space="0" w:color="auto"/>
                            <w:bottom w:val="none" w:sz="0" w:space="0" w:color="auto"/>
                            <w:right w:val="none" w:sz="0" w:space="0" w:color="auto"/>
                          </w:divBdr>
                          <w:divsChild>
                            <w:div w:id="74787011">
                              <w:marLeft w:val="0"/>
                              <w:marRight w:val="0"/>
                              <w:marTop w:val="0"/>
                              <w:marBottom w:val="0"/>
                              <w:divBdr>
                                <w:top w:val="none" w:sz="0" w:space="0" w:color="auto"/>
                                <w:left w:val="none" w:sz="0" w:space="0" w:color="auto"/>
                                <w:bottom w:val="none" w:sz="0" w:space="0" w:color="auto"/>
                                <w:right w:val="none" w:sz="0" w:space="0" w:color="auto"/>
                              </w:divBdr>
                              <w:divsChild>
                                <w:div w:id="803304873">
                                  <w:marLeft w:val="0"/>
                                  <w:marRight w:val="0"/>
                                  <w:marTop w:val="0"/>
                                  <w:marBottom w:val="0"/>
                                  <w:divBdr>
                                    <w:top w:val="none" w:sz="0" w:space="0" w:color="auto"/>
                                    <w:left w:val="none" w:sz="0" w:space="0" w:color="auto"/>
                                    <w:bottom w:val="none" w:sz="0" w:space="0" w:color="auto"/>
                                    <w:right w:val="none" w:sz="0" w:space="0" w:color="auto"/>
                                  </w:divBdr>
                                  <w:divsChild>
                                    <w:div w:id="2462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549">
                          <w:marLeft w:val="0"/>
                          <w:marRight w:val="0"/>
                          <w:marTop w:val="0"/>
                          <w:marBottom w:val="0"/>
                          <w:divBdr>
                            <w:top w:val="none" w:sz="0" w:space="0" w:color="auto"/>
                            <w:left w:val="none" w:sz="0" w:space="0" w:color="auto"/>
                            <w:bottom w:val="none" w:sz="0" w:space="0" w:color="auto"/>
                            <w:right w:val="none" w:sz="0" w:space="0" w:color="auto"/>
                          </w:divBdr>
                          <w:divsChild>
                            <w:div w:id="614681785">
                              <w:marLeft w:val="0"/>
                              <w:marRight w:val="0"/>
                              <w:marTop w:val="0"/>
                              <w:marBottom w:val="0"/>
                              <w:divBdr>
                                <w:top w:val="none" w:sz="0" w:space="0" w:color="auto"/>
                                <w:left w:val="none" w:sz="0" w:space="0" w:color="auto"/>
                                <w:bottom w:val="none" w:sz="0" w:space="0" w:color="auto"/>
                                <w:right w:val="none" w:sz="0" w:space="0" w:color="auto"/>
                              </w:divBdr>
                              <w:divsChild>
                                <w:div w:id="13203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345159">
      <w:bodyDiv w:val="1"/>
      <w:marLeft w:val="0"/>
      <w:marRight w:val="0"/>
      <w:marTop w:val="0"/>
      <w:marBottom w:val="0"/>
      <w:divBdr>
        <w:top w:val="none" w:sz="0" w:space="0" w:color="auto"/>
        <w:left w:val="none" w:sz="0" w:space="0" w:color="auto"/>
        <w:bottom w:val="none" w:sz="0" w:space="0" w:color="auto"/>
        <w:right w:val="none" w:sz="0" w:space="0" w:color="auto"/>
      </w:divBdr>
    </w:div>
    <w:div w:id="1837456563">
      <w:bodyDiv w:val="1"/>
      <w:marLeft w:val="0"/>
      <w:marRight w:val="0"/>
      <w:marTop w:val="0"/>
      <w:marBottom w:val="0"/>
      <w:divBdr>
        <w:top w:val="none" w:sz="0" w:space="0" w:color="auto"/>
        <w:left w:val="none" w:sz="0" w:space="0" w:color="auto"/>
        <w:bottom w:val="none" w:sz="0" w:space="0" w:color="auto"/>
        <w:right w:val="none" w:sz="0" w:space="0" w:color="auto"/>
      </w:divBdr>
    </w:div>
    <w:div w:id="1863129667">
      <w:bodyDiv w:val="1"/>
      <w:marLeft w:val="0"/>
      <w:marRight w:val="0"/>
      <w:marTop w:val="0"/>
      <w:marBottom w:val="0"/>
      <w:divBdr>
        <w:top w:val="none" w:sz="0" w:space="0" w:color="auto"/>
        <w:left w:val="none" w:sz="0" w:space="0" w:color="auto"/>
        <w:bottom w:val="none" w:sz="0" w:space="0" w:color="auto"/>
        <w:right w:val="none" w:sz="0" w:space="0" w:color="auto"/>
      </w:divBdr>
    </w:div>
    <w:div w:id="1910798984">
      <w:bodyDiv w:val="1"/>
      <w:marLeft w:val="0"/>
      <w:marRight w:val="0"/>
      <w:marTop w:val="0"/>
      <w:marBottom w:val="0"/>
      <w:divBdr>
        <w:top w:val="none" w:sz="0" w:space="0" w:color="auto"/>
        <w:left w:val="none" w:sz="0" w:space="0" w:color="auto"/>
        <w:bottom w:val="none" w:sz="0" w:space="0" w:color="auto"/>
        <w:right w:val="none" w:sz="0" w:space="0" w:color="auto"/>
      </w:divBdr>
    </w:div>
    <w:div w:id="2009358133">
      <w:bodyDiv w:val="1"/>
      <w:marLeft w:val="0"/>
      <w:marRight w:val="0"/>
      <w:marTop w:val="0"/>
      <w:marBottom w:val="0"/>
      <w:divBdr>
        <w:top w:val="none" w:sz="0" w:space="0" w:color="auto"/>
        <w:left w:val="none" w:sz="0" w:space="0" w:color="auto"/>
        <w:bottom w:val="none" w:sz="0" w:space="0" w:color="auto"/>
        <w:right w:val="none" w:sz="0" w:space="0" w:color="auto"/>
      </w:divBdr>
    </w:div>
    <w:div w:id="2019041519">
      <w:bodyDiv w:val="1"/>
      <w:marLeft w:val="0"/>
      <w:marRight w:val="0"/>
      <w:marTop w:val="0"/>
      <w:marBottom w:val="0"/>
      <w:divBdr>
        <w:top w:val="none" w:sz="0" w:space="0" w:color="auto"/>
        <w:left w:val="none" w:sz="0" w:space="0" w:color="auto"/>
        <w:bottom w:val="none" w:sz="0" w:space="0" w:color="auto"/>
        <w:right w:val="none" w:sz="0" w:space="0" w:color="auto"/>
      </w:divBdr>
      <w:divsChild>
        <w:div w:id="846794396">
          <w:marLeft w:val="0"/>
          <w:marRight w:val="0"/>
          <w:marTop w:val="0"/>
          <w:marBottom w:val="0"/>
          <w:divBdr>
            <w:top w:val="none" w:sz="0" w:space="0" w:color="auto"/>
            <w:left w:val="none" w:sz="0" w:space="0" w:color="auto"/>
            <w:bottom w:val="none" w:sz="0" w:space="0" w:color="auto"/>
            <w:right w:val="none" w:sz="0" w:space="0" w:color="auto"/>
          </w:divBdr>
          <w:divsChild>
            <w:div w:id="931665269">
              <w:marLeft w:val="0"/>
              <w:marRight w:val="0"/>
              <w:marTop w:val="0"/>
              <w:marBottom w:val="0"/>
              <w:divBdr>
                <w:top w:val="none" w:sz="0" w:space="0" w:color="auto"/>
                <w:left w:val="none" w:sz="0" w:space="0" w:color="auto"/>
                <w:bottom w:val="none" w:sz="0" w:space="0" w:color="auto"/>
                <w:right w:val="none" w:sz="0" w:space="0" w:color="auto"/>
              </w:divBdr>
              <w:divsChild>
                <w:div w:id="1660841543">
                  <w:marLeft w:val="0"/>
                  <w:marRight w:val="0"/>
                  <w:marTop w:val="0"/>
                  <w:marBottom w:val="0"/>
                  <w:divBdr>
                    <w:top w:val="none" w:sz="0" w:space="0" w:color="auto"/>
                    <w:left w:val="none" w:sz="0" w:space="0" w:color="auto"/>
                    <w:bottom w:val="none" w:sz="0" w:space="0" w:color="auto"/>
                    <w:right w:val="none" w:sz="0" w:space="0" w:color="auto"/>
                  </w:divBdr>
                  <w:divsChild>
                    <w:div w:id="1878811107">
                      <w:marLeft w:val="0"/>
                      <w:marRight w:val="0"/>
                      <w:marTop w:val="0"/>
                      <w:marBottom w:val="0"/>
                      <w:divBdr>
                        <w:top w:val="none" w:sz="0" w:space="0" w:color="auto"/>
                        <w:left w:val="none" w:sz="0" w:space="0" w:color="auto"/>
                        <w:bottom w:val="none" w:sz="0" w:space="0" w:color="auto"/>
                        <w:right w:val="none" w:sz="0" w:space="0" w:color="auto"/>
                      </w:divBdr>
                      <w:divsChild>
                        <w:div w:id="584456176">
                          <w:marLeft w:val="0"/>
                          <w:marRight w:val="0"/>
                          <w:marTop w:val="0"/>
                          <w:marBottom w:val="0"/>
                          <w:divBdr>
                            <w:top w:val="none" w:sz="0" w:space="0" w:color="auto"/>
                            <w:left w:val="none" w:sz="0" w:space="0" w:color="auto"/>
                            <w:bottom w:val="none" w:sz="0" w:space="0" w:color="auto"/>
                            <w:right w:val="none" w:sz="0" w:space="0" w:color="auto"/>
                          </w:divBdr>
                          <w:divsChild>
                            <w:div w:id="1544322251">
                              <w:marLeft w:val="0"/>
                              <w:marRight w:val="0"/>
                              <w:marTop w:val="0"/>
                              <w:marBottom w:val="0"/>
                              <w:divBdr>
                                <w:top w:val="none" w:sz="0" w:space="0" w:color="auto"/>
                                <w:left w:val="none" w:sz="0" w:space="0" w:color="auto"/>
                                <w:bottom w:val="none" w:sz="0" w:space="0" w:color="auto"/>
                                <w:right w:val="none" w:sz="0" w:space="0" w:color="auto"/>
                              </w:divBdr>
                              <w:divsChild>
                                <w:div w:id="257367715">
                                  <w:marLeft w:val="0"/>
                                  <w:marRight w:val="0"/>
                                  <w:marTop w:val="0"/>
                                  <w:marBottom w:val="0"/>
                                  <w:divBdr>
                                    <w:top w:val="none" w:sz="0" w:space="0" w:color="auto"/>
                                    <w:left w:val="none" w:sz="0" w:space="0" w:color="auto"/>
                                    <w:bottom w:val="none" w:sz="0" w:space="0" w:color="auto"/>
                                    <w:right w:val="none" w:sz="0" w:space="0" w:color="auto"/>
                                  </w:divBdr>
                                  <w:divsChild>
                                    <w:div w:id="4388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0630">
                          <w:marLeft w:val="0"/>
                          <w:marRight w:val="0"/>
                          <w:marTop w:val="0"/>
                          <w:marBottom w:val="0"/>
                          <w:divBdr>
                            <w:top w:val="none" w:sz="0" w:space="0" w:color="auto"/>
                            <w:left w:val="none" w:sz="0" w:space="0" w:color="auto"/>
                            <w:bottom w:val="none" w:sz="0" w:space="0" w:color="auto"/>
                            <w:right w:val="none" w:sz="0" w:space="0" w:color="auto"/>
                          </w:divBdr>
                          <w:divsChild>
                            <w:div w:id="1765418797">
                              <w:marLeft w:val="0"/>
                              <w:marRight w:val="0"/>
                              <w:marTop w:val="0"/>
                              <w:marBottom w:val="0"/>
                              <w:divBdr>
                                <w:top w:val="none" w:sz="0" w:space="0" w:color="auto"/>
                                <w:left w:val="none" w:sz="0" w:space="0" w:color="auto"/>
                                <w:bottom w:val="none" w:sz="0" w:space="0" w:color="auto"/>
                                <w:right w:val="none" w:sz="0" w:space="0" w:color="auto"/>
                              </w:divBdr>
                              <w:divsChild>
                                <w:div w:id="13691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46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942C0-B3C7-4BFC-9B44-E604BAB9C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8</Pages>
  <Words>1019</Words>
  <Characters>5814</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VOLKAN ÇINAR</dc:creator>
  <cp:keywords/>
  <dc:description/>
  <cp:lastModifiedBy>ALİ VOLKAN ÇINAR</cp:lastModifiedBy>
  <cp:revision>3</cp:revision>
  <dcterms:created xsi:type="dcterms:W3CDTF">2025-04-17T20:53:00Z</dcterms:created>
  <dcterms:modified xsi:type="dcterms:W3CDTF">2025-04-23T15:49:00Z</dcterms:modified>
</cp:coreProperties>
</file>