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5F181" w14:textId="79D9BC81" w:rsidR="00565124" w:rsidRDefault="00565124" w:rsidP="00565124">
      <w:pPr>
        <w:pStyle w:val="KonuBal"/>
      </w:pPr>
      <w:r>
        <w:t>SAMSUNG MOBİL CİHAZ SATIŞ ANALİZİ</w:t>
      </w:r>
    </w:p>
    <w:p w14:paraId="4EA9D1BF" w14:textId="512BD6F5" w:rsidR="00E15345" w:rsidRDefault="00E15345" w:rsidP="00E15345">
      <w:r w:rsidRPr="00E15345">
        <w:t>Bu analizde, Samsung'un 2019-2024 yılları arasında Asya, Avrupa, Latin Amerika, Kuzey Amerika, Orta Doğu ve Afrika bölgelerindeki satış performansı incelenmiştir.</w:t>
      </w:r>
      <w:r w:rsidR="00615ECF">
        <w:t xml:space="preserve"> Bu incelemede </w:t>
      </w:r>
      <w:proofErr w:type="spellStart"/>
      <w:r w:rsidR="00615ECF">
        <w:rPr>
          <w:rFonts w:cstheme="minorHAnsi"/>
        </w:rPr>
        <w:t>p</w:t>
      </w:r>
      <w:r w:rsidR="00615ECF" w:rsidRPr="00615ECF">
        <w:rPr>
          <w:rFonts w:cstheme="minorHAnsi"/>
        </w:rPr>
        <w:t>andas</w:t>
      </w:r>
      <w:proofErr w:type="spellEnd"/>
      <w:r w:rsidR="00615ECF" w:rsidRPr="00615ECF">
        <w:rPr>
          <w:rFonts w:cstheme="minorHAnsi"/>
        </w:rPr>
        <w:t xml:space="preserve"> ve </w:t>
      </w:r>
      <w:proofErr w:type="spellStart"/>
      <w:r w:rsidR="00615ECF" w:rsidRPr="00615ECF">
        <w:rPr>
          <w:rFonts w:cstheme="minorHAnsi"/>
        </w:rPr>
        <w:t>NumPy</w:t>
      </w:r>
      <w:proofErr w:type="spellEnd"/>
      <w:r w:rsidR="00615ECF" w:rsidRPr="00615ECF">
        <w:rPr>
          <w:rFonts w:cstheme="minorHAnsi"/>
        </w:rPr>
        <w:t xml:space="preserve"> ile veri işleme yapılmış, </w:t>
      </w:r>
      <w:proofErr w:type="spellStart"/>
      <w:r w:rsidR="00615ECF" w:rsidRPr="00615ECF">
        <w:rPr>
          <w:rFonts w:cstheme="minorHAnsi"/>
        </w:rPr>
        <w:t>Matplotlib</w:t>
      </w:r>
      <w:proofErr w:type="spellEnd"/>
      <w:r w:rsidR="00615ECF" w:rsidRPr="00615ECF">
        <w:rPr>
          <w:rFonts w:cstheme="minorHAnsi"/>
        </w:rPr>
        <w:t xml:space="preserve"> ve </w:t>
      </w:r>
      <w:proofErr w:type="spellStart"/>
      <w:r w:rsidR="00615ECF" w:rsidRPr="00615ECF">
        <w:rPr>
          <w:rFonts w:cstheme="minorHAnsi"/>
        </w:rPr>
        <w:t>Seaborn</w:t>
      </w:r>
      <w:proofErr w:type="spellEnd"/>
      <w:r w:rsidR="00615ECF" w:rsidRPr="00615ECF">
        <w:rPr>
          <w:rFonts w:cstheme="minorHAnsi"/>
        </w:rPr>
        <w:t xml:space="preserve"> ile görselleştirme gerçekleştirilmiştir.</w:t>
      </w:r>
      <w:r w:rsidR="00615ECF" w:rsidRPr="004160EC">
        <w:rPr>
          <w:rFonts w:ascii="Segoe UI Emoji" w:hAnsi="Segoe UI Emoji" w:cs="Segoe UI Emoji"/>
          <w:b/>
          <w:bCs/>
        </w:rPr>
        <w:t xml:space="preserve"> </w:t>
      </w:r>
      <w:proofErr w:type="gramStart"/>
      <w:r w:rsidRPr="00E15345">
        <w:t>Bölgelere</w:t>
      </w:r>
      <w:proofErr w:type="gramEnd"/>
      <w:r w:rsidRPr="00E15345">
        <w:t xml:space="preserve"> göre toplam satış adedi ve geliri, yıllık satış trendleri, çeyreklik performanslar, en çok satan ürün modelleri ve dönemsel büyüme analizleri ile şirketin küresel pazardaki dinamikleri ve stratejik yönelimleri ele alınmıştır.</w:t>
      </w:r>
      <w:r>
        <w:t xml:space="preserve"> Bu örnek analiz ile düşük performans gösteren bölgeler için, satış yapılan dönemlere yönelik stok ve pazarlama stratejileri geliştirmesi için yararlı olabilecek bir çalışma olabilecek düzeydedir. </w:t>
      </w:r>
    </w:p>
    <w:p w14:paraId="32D86F94" w14:textId="77777777" w:rsidR="00E15345" w:rsidRDefault="00E15345" w:rsidP="00E15345"/>
    <w:tbl>
      <w:tblPr>
        <w:tblpPr w:leftFromText="141" w:rightFromText="141" w:vertAnchor="text" w:horzAnchor="page" w:tblpX="6361" w:tblpY="432"/>
        <w:tblW w:w="4734" w:type="dxa"/>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46"/>
        <w:gridCol w:w="1988"/>
      </w:tblGrid>
      <w:tr w:rsidR="00F329E5" w:rsidRPr="00F329E5" w14:paraId="4BAA57E6" w14:textId="77777777" w:rsidTr="00F329E5">
        <w:trPr>
          <w:trHeight w:val="439"/>
          <w:tblHeader/>
          <w:tblCellSpacing w:w="15" w:type="dxa"/>
        </w:trPr>
        <w:tc>
          <w:tcPr>
            <w:tcW w:w="0" w:type="auto"/>
            <w:vAlign w:val="center"/>
            <w:hideMark/>
          </w:tcPr>
          <w:p w14:paraId="2D0A512F" w14:textId="77777777" w:rsidR="00F329E5" w:rsidRPr="00F329E5" w:rsidRDefault="00F329E5" w:rsidP="00F329E5">
            <w:pPr>
              <w:rPr>
                <w:b/>
                <w:bCs/>
              </w:rPr>
            </w:pPr>
            <w:r w:rsidRPr="00F329E5">
              <w:rPr>
                <w:b/>
                <w:bCs/>
              </w:rPr>
              <w:t>Bölge</w:t>
            </w:r>
          </w:p>
        </w:tc>
        <w:tc>
          <w:tcPr>
            <w:tcW w:w="0" w:type="auto"/>
            <w:vAlign w:val="center"/>
            <w:hideMark/>
          </w:tcPr>
          <w:p w14:paraId="7FD93A9B" w14:textId="77777777" w:rsidR="00F329E5" w:rsidRPr="00F329E5" w:rsidRDefault="00F329E5" w:rsidP="00F329E5">
            <w:pPr>
              <w:rPr>
                <w:b/>
                <w:bCs/>
              </w:rPr>
            </w:pPr>
            <w:r w:rsidRPr="00F329E5">
              <w:rPr>
                <w:b/>
                <w:bCs/>
              </w:rPr>
              <w:t>Gelir ($)</w:t>
            </w:r>
          </w:p>
        </w:tc>
      </w:tr>
      <w:tr w:rsidR="00F329E5" w:rsidRPr="00F329E5" w14:paraId="73D61ADE" w14:textId="77777777" w:rsidTr="00F329E5">
        <w:trPr>
          <w:trHeight w:val="451"/>
          <w:tblCellSpacing w:w="15" w:type="dxa"/>
        </w:trPr>
        <w:tc>
          <w:tcPr>
            <w:tcW w:w="0" w:type="auto"/>
            <w:vAlign w:val="center"/>
            <w:hideMark/>
          </w:tcPr>
          <w:p w14:paraId="60FAFBAD" w14:textId="77777777" w:rsidR="00F329E5" w:rsidRPr="00F329E5" w:rsidRDefault="00F329E5" w:rsidP="00F329E5">
            <w:proofErr w:type="spellStart"/>
            <w:r w:rsidRPr="00F329E5">
              <w:t>Asia</w:t>
            </w:r>
            <w:proofErr w:type="spellEnd"/>
            <w:r w:rsidRPr="00F329E5">
              <w:t>-Pacific</w:t>
            </w:r>
          </w:p>
        </w:tc>
        <w:tc>
          <w:tcPr>
            <w:tcW w:w="0" w:type="auto"/>
            <w:vAlign w:val="center"/>
            <w:hideMark/>
          </w:tcPr>
          <w:p w14:paraId="179615FC" w14:textId="77777777" w:rsidR="00F329E5" w:rsidRPr="00F329E5" w:rsidRDefault="00F329E5" w:rsidP="00F329E5">
            <w:r w:rsidRPr="00F329E5">
              <w:t>5,685,065,893</w:t>
            </w:r>
          </w:p>
        </w:tc>
      </w:tr>
      <w:tr w:rsidR="00F329E5" w:rsidRPr="00F329E5" w14:paraId="6E664B7F" w14:textId="77777777" w:rsidTr="00F329E5">
        <w:trPr>
          <w:trHeight w:val="439"/>
          <w:tblCellSpacing w:w="15" w:type="dxa"/>
        </w:trPr>
        <w:tc>
          <w:tcPr>
            <w:tcW w:w="0" w:type="auto"/>
            <w:vAlign w:val="center"/>
            <w:hideMark/>
          </w:tcPr>
          <w:p w14:paraId="77D1AAEF" w14:textId="77777777" w:rsidR="00F329E5" w:rsidRPr="00F329E5" w:rsidRDefault="00F329E5" w:rsidP="00F329E5">
            <w:r w:rsidRPr="00F329E5">
              <w:t>Europe</w:t>
            </w:r>
          </w:p>
        </w:tc>
        <w:tc>
          <w:tcPr>
            <w:tcW w:w="0" w:type="auto"/>
            <w:vAlign w:val="center"/>
            <w:hideMark/>
          </w:tcPr>
          <w:p w14:paraId="41978F6E" w14:textId="77777777" w:rsidR="00F329E5" w:rsidRPr="00F329E5" w:rsidRDefault="00F329E5" w:rsidP="00F329E5">
            <w:r w:rsidRPr="00F329E5">
              <w:t>5,578,138,784</w:t>
            </w:r>
          </w:p>
        </w:tc>
      </w:tr>
      <w:tr w:rsidR="00F329E5" w:rsidRPr="00F329E5" w14:paraId="7AC4D6A4" w14:textId="77777777" w:rsidTr="00F329E5">
        <w:trPr>
          <w:trHeight w:val="451"/>
          <w:tblCellSpacing w:w="15" w:type="dxa"/>
        </w:trPr>
        <w:tc>
          <w:tcPr>
            <w:tcW w:w="0" w:type="auto"/>
            <w:vAlign w:val="center"/>
            <w:hideMark/>
          </w:tcPr>
          <w:p w14:paraId="656B2D7D" w14:textId="77777777" w:rsidR="00F329E5" w:rsidRPr="00F329E5" w:rsidRDefault="00F329E5" w:rsidP="00F329E5">
            <w:r w:rsidRPr="00F329E5">
              <w:t xml:space="preserve">Latin </w:t>
            </w:r>
            <w:proofErr w:type="spellStart"/>
            <w:r w:rsidRPr="00F329E5">
              <w:t>America</w:t>
            </w:r>
            <w:proofErr w:type="spellEnd"/>
          </w:p>
        </w:tc>
        <w:tc>
          <w:tcPr>
            <w:tcW w:w="0" w:type="auto"/>
            <w:vAlign w:val="center"/>
            <w:hideMark/>
          </w:tcPr>
          <w:p w14:paraId="5BBCF30B" w14:textId="77777777" w:rsidR="00F329E5" w:rsidRPr="00F329E5" w:rsidRDefault="00F329E5" w:rsidP="00F329E5">
            <w:r w:rsidRPr="00F329E5">
              <w:t>6,892,401,889</w:t>
            </w:r>
          </w:p>
        </w:tc>
      </w:tr>
      <w:tr w:rsidR="00F329E5" w:rsidRPr="00F329E5" w14:paraId="19A74883" w14:textId="77777777" w:rsidTr="00F329E5">
        <w:trPr>
          <w:trHeight w:val="439"/>
          <w:tblCellSpacing w:w="15" w:type="dxa"/>
        </w:trPr>
        <w:tc>
          <w:tcPr>
            <w:tcW w:w="0" w:type="auto"/>
            <w:vAlign w:val="center"/>
            <w:hideMark/>
          </w:tcPr>
          <w:p w14:paraId="6C6B5620" w14:textId="77777777" w:rsidR="00F329E5" w:rsidRPr="00F329E5" w:rsidRDefault="00F329E5" w:rsidP="00F329E5">
            <w:proofErr w:type="spellStart"/>
            <w:r w:rsidRPr="00F329E5">
              <w:t>Middle</w:t>
            </w:r>
            <w:proofErr w:type="spellEnd"/>
            <w:r w:rsidRPr="00F329E5">
              <w:t xml:space="preserve"> East &amp; </w:t>
            </w:r>
            <w:proofErr w:type="spellStart"/>
            <w:r w:rsidRPr="00F329E5">
              <w:t>Africa</w:t>
            </w:r>
            <w:proofErr w:type="spellEnd"/>
          </w:p>
        </w:tc>
        <w:tc>
          <w:tcPr>
            <w:tcW w:w="0" w:type="auto"/>
            <w:vAlign w:val="center"/>
            <w:hideMark/>
          </w:tcPr>
          <w:p w14:paraId="6CD3EFE6" w14:textId="77777777" w:rsidR="00F329E5" w:rsidRPr="00F329E5" w:rsidRDefault="00F329E5" w:rsidP="00F329E5">
            <w:r w:rsidRPr="00F329E5">
              <w:t>5,444,651,596</w:t>
            </w:r>
          </w:p>
        </w:tc>
      </w:tr>
      <w:tr w:rsidR="00F329E5" w:rsidRPr="00F329E5" w14:paraId="4A144532" w14:textId="77777777" w:rsidTr="00F329E5">
        <w:trPr>
          <w:trHeight w:val="439"/>
          <w:tblCellSpacing w:w="15" w:type="dxa"/>
        </w:trPr>
        <w:tc>
          <w:tcPr>
            <w:tcW w:w="0" w:type="auto"/>
            <w:vAlign w:val="center"/>
            <w:hideMark/>
          </w:tcPr>
          <w:p w14:paraId="41958A1A" w14:textId="77777777" w:rsidR="00F329E5" w:rsidRPr="00F329E5" w:rsidRDefault="00F329E5" w:rsidP="00F329E5">
            <w:r w:rsidRPr="00F329E5">
              <w:t xml:space="preserve">North </w:t>
            </w:r>
            <w:proofErr w:type="spellStart"/>
            <w:r w:rsidRPr="00F329E5">
              <w:t>America</w:t>
            </w:r>
            <w:proofErr w:type="spellEnd"/>
          </w:p>
        </w:tc>
        <w:tc>
          <w:tcPr>
            <w:tcW w:w="0" w:type="auto"/>
            <w:vAlign w:val="center"/>
            <w:hideMark/>
          </w:tcPr>
          <w:p w14:paraId="20DFF059" w14:textId="77777777" w:rsidR="00F329E5" w:rsidRPr="00F329E5" w:rsidRDefault="00F329E5" w:rsidP="00F329E5">
            <w:r w:rsidRPr="00F329E5">
              <w:t>6,597,073,736</w:t>
            </w:r>
          </w:p>
        </w:tc>
      </w:tr>
    </w:tbl>
    <w:p w14:paraId="07922058" w14:textId="43AAF99F" w:rsidR="00E15345" w:rsidRPr="00E15345" w:rsidRDefault="00E15345" w:rsidP="00E15345">
      <w:r>
        <w:t xml:space="preserve"> </w:t>
      </w:r>
    </w:p>
    <w:tbl>
      <w:tblPr>
        <w:tblW w:w="4887" w:type="dxa"/>
        <w:tblCellSpacing w:w="15"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42"/>
        <w:gridCol w:w="1945"/>
      </w:tblGrid>
      <w:tr w:rsidR="009E0118" w:rsidRPr="009E0118" w14:paraId="0CB3B421" w14:textId="77777777" w:rsidTr="00F329E5">
        <w:trPr>
          <w:trHeight w:val="439"/>
          <w:tblHeader/>
          <w:tblCellSpacing w:w="15" w:type="dxa"/>
        </w:trPr>
        <w:tc>
          <w:tcPr>
            <w:tcW w:w="0" w:type="auto"/>
            <w:vAlign w:val="center"/>
            <w:hideMark/>
          </w:tcPr>
          <w:p w14:paraId="61C39BF0" w14:textId="77777777" w:rsidR="009E0118" w:rsidRPr="009E0118" w:rsidRDefault="009E0118" w:rsidP="009E0118">
            <w:pPr>
              <w:rPr>
                <w:b/>
                <w:bCs/>
              </w:rPr>
            </w:pPr>
            <w:r w:rsidRPr="009E0118">
              <w:rPr>
                <w:b/>
                <w:bCs/>
              </w:rPr>
              <w:t>Bölge</w:t>
            </w:r>
          </w:p>
        </w:tc>
        <w:tc>
          <w:tcPr>
            <w:tcW w:w="0" w:type="auto"/>
            <w:vAlign w:val="center"/>
            <w:hideMark/>
          </w:tcPr>
          <w:p w14:paraId="284225DF" w14:textId="77777777" w:rsidR="009E0118" w:rsidRPr="009E0118" w:rsidRDefault="009E0118" w:rsidP="009E0118">
            <w:pPr>
              <w:rPr>
                <w:b/>
                <w:bCs/>
              </w:rPr>
            </w:pPr>
            <w:r w:rsidRPr="009E0118">
              <w:rPr>
                <w:b/>
                <w:bCs/>
              </w:rPr>
              <w:t>Satılan Birim</w:t>
            </w:r>
          </w:p>
        </w:tc>
      </w:tr>
      <w:tr w:rsidR="009E0118" w:rsidRPr="009E0118" w14:paraId="4A94E432" w14:textId="77777777" w:rsidTr="00F329E5">
        <w:trPr>
          <w:trHeight w:val="451"/>
          <w:tblCellSpacing w:w="15" w:type="dxa"/>
        </w:trPr>
        <w:tc>
          <w:tcPr>
            <w:tcW w:w="0" w:type="auto"/>
            <w:vAlign w:val="center"/>
            <w:hideMark/>
          </w:tcPr>
          <w:p w14:paraId="651220D7" w14:textId="77777777" w:rsidR="009E0118" w:rsidRPr="009E0118" w:rsidRDefault="009E0118" w:rsidP="009E0118">
            <w:proofErr w:type="spellStart"/>
            <w:r w:rsidRPr="009E0118">
              <w:t>Asia</w:t>
            </w:r>
            <w:proofErr w:type="spellEnd"/>
            <w:r w:rsidRPr="009E0118">
              <w:t>-Pacific</w:t>
            </w:r>
          </w:p>
        </w:tc>
        <w:tc>
          <w:tcPr>
            <w:tcW w:w="0" w:type="auto"/>
            <w:vAlign w:val="center"/>
            <w:hideMark/>
          </w:tcPr>
          <w:p w14:paraId="0382C38F" w14:textId="77777777" w:rsidR="009E0118" w:rsidRPr="009E0118" w:rsidRDefault="009E0118" w:rsidP="009E0118">
            <w:r w:rsidRPr="009E0118">
              <w:t>5,548,395</w:t>
            </w:r>
          </w:p>
        </w:tc>
      </w:tr>
      <w:tr w:rsidR="009E0118" w:rsidRPr="009E0118" w14:paraId="1085A6FC" w14:textId="77777777" w:rsidTr="00F329E5">
        <w:trPr>
          <w:trHeight w:val="439"/>
          <w:tblCellSpacing w:w="15" w:type="dxa"/>
        </w:trPr>
        <w:tc>
          <w:tcPr>
            <w:tcW w:w="0" w:type="auto"/>
            <w:vAlign w:val="center"/>
            <w:hideMark/>
          </w:tcPr>
          <w:p w14:paraId="4D032230" w14:textId="77777777" w:rsidR="009E0118" w:rsidRPr="009E0118" w:rsidRDefault="009E0118" w:rsidP="009E0118">
            <w:r w:rsidRPr="009E0118">
              <w:t>Europe</w:t>
            </w:r>
          </w:p>
        </w:tc>
        <w:tc>
          <w:tcPr>
            <w:tcW w:w="0" w:type="auto"/>
            <w:vAlign w:val="center"/>
            <w:hideMark/>
          </w:tcPr>
          <w:p w14:paraId="0C4364FB" w14:textId="77777777" w:rsidR="009E0118" w:rsidRPr="009E0118" w:rsidRDefault="009E0118" w:rsidP="009E0118">
            <w:r w:rsidRPr="009E0118">
              <w:t>6,214,226</w:t>
            </w:r>
          </w:p>
        </w:tc>
      </w:tr>
      <w:tr w:rsidR="009E0118" w:rsidRPr="009E0118" w14:paraId="1AF63130" w14:textId="77777777" w:rsidTr="00F329E5">
        <w:trPr>
          <w:trHeight w:val="451"/>
          <w:tblCellSpacing w:w="15" w:type="dxa"/>
        </w:trPr>
        <w:tc>
          <w:tcPr>
            <w:tcW w:w="0" w:type="auto"/>
            <w:vAlign w:val="center"/>
            <w:hideMark/>
          </w:tcPr>
          <w:p w14:paraId="7263D50E" w14:textId="77777777" w:rsidR="009E0118" w:rsidRPr="009E0118" w:rsidRDefault="009E0118" w:rsidP="009E0118">
            <w:r w:rsidRPr="009E0118">
              <w:t xml:space="preserve">Latin </w:t>
            </w:r>
            <w:proofErr w:type="spellStart"/>
            <w:r w:rsidRPr="009E0118">
              <w:t>America</w:t>
            </w:r>
            <w:proofErr w:type="spellEnd"/>
          </w:p>
        </w:tc>
        <w:tc>
          <w:tcPr>
            <w:tcW w:w="0" w:type="auto"/>
            <w:vAlign w:val="center"/>
            <w:hideMark/>
          </w:tcPr>
          <w:p w14:paraId="7AF16D2C" w14:textId="77777777" w:rsidR="009E0118" w:rsidRPr="009E0118" w:rsidRDefault="009E0118" w:rsidP="009E0118">
            <w:r w:rsidRPr="009E0118">
              <w:t>6,995,406</w:t>
            </w:r>
          </w:p>
        </w:tc>
      </w:tr>
      <w:tr w:rsidR="009E0118" w:rsidRPr="009E0118" w14:paraId="6C401B93" w14:textId="77777777" w:rsidTr="00F329E5">
        <w:trPr>
          <w:trHeight w:val="439"/>
          <w:tblCellSpacing w:w="15" w:type="dxa"/>
        </w:trPr>
        <w:tc>
          <w:tcPr>
            <w:tcW w:w="0" w:type="auto"/>
            <w:vAlign w:val="center"/>
            <w:hideMark/>
          </w:tcPr>
          <w:p w14:paraId="71C9D02E" w14:textId="77777777" w:rsidR="009E0118" w:rsidRPr="009E0118" w:rsidRDefault="009E0118" w:rsidP="009E0118">
            <w:proofErr w:type="spellStart"/>
            <w:r w:rsidRPr="009E0118">
              <w:t>Middle</w:t>
            </w:r>
            <w:proofErr w:type="spellEnd"/>
            <w:r w:rsidRPr="009E0118">
              <w:t xml:space="preserve"> East &amp; </w:t>
            </w:r>
            <w:proofErr w:type="spellStart"/>
            <w:r w:rsidRPr="009E0118">
              <w:t>Africa</w:t>
            </w:r>
            <w:proofErr w:type="spellEnd"/>
          </w:p>
        </w:tc>
        <w:tc>
          <w:tcPr>
            <w:tcW w:w="0" w:type="auto"/>
            <w:vAlign w:val="center"/>
            <w:hideMark/>
          </w:tcPr>
          <w:p w14:paraId="66447B6E" w14:textId="77777777" w:rsidR="009E0118" w:rsidRPr="009E0118" w:rsidRDefault="009E0118" w:rsidP="009E0118">
            <w:r w:rsidRPr="009E0118">
              <w:t>6,711,340</w:t>
            </w:r>
          </w:p>
        </w:tc>
      </w:tr>
      <w:tr w:rsidR="009E0118" w:rsidRPr="009E0118" w14:paraId="72C9790F" w14:textId="77777777" w:rsidTr="00F329E5">
        <w:trPr>
          <w:trHeight w:val="439"/>
          <w:tblCellSpacing w:w="15" w:type="dxa"/>
        </w:trPr>
        <w:tc>
          <w:tcPr>
            <w:tcW w:w="0" w:type="auto"/>
            <w:vAlign w:val="center"/>
            <w:hideMark/>
          </w:tcPr>
          <w:p w14:paraId="726ED6D4" w14:textId="77777777" w:rsidR="009E0118" w:rsidRPr="009E0118" w:rsidRDefault="009E0118" w:rsidP="009E0118">
            <w:r w:rsidRPr="009E0118">
              <w:t xml:space="preserve">North </w:t>
            </w:r>
            <w:proofErr w:type="spellStart"/>
            <w:r w:rsidRPr="009E0118">
              <w:t>America</w:t>
            </w:r>
            <w:proofErr w:type="spellEnd"/>
          </w:p>
        </w:tc>
        <w:tc>
          <w:tcPr>
            <w:tcW w:w="0" w:type="auto"/>
            <w:vAlign w:val="center"/>
            <w:hideMark/>
          </w:tcPr>
          <w:p w14:paraId="213469BF" w14:textId="77777777" w:rsidR="009E0118" w:rsidRPr="009E0118" w:rsidRDefault="009E0118" w:rsidP="009E0118">
            <w:r w:rsidRPr="009E0118">
              <w:t>7,373,623</w:t>
            </w:r>
          </w:p>
        </w:tc>
      </w:tr>
    </w:tbl>
    <w:p w14:paraId="35466081" w14:textId="0B7D4D1F" w:rsidR="00D5021E" w:rsidRDefault="00825F3B" w:rsidP="00E15345">
      <w:r>
        <w:rPr>
          <w:noProof/>
        </w:rPr>
        <w:drawing>
          <wp:inline distT="0" distB="0" distL="0" distR="0" wp14:anchorId="2EB110C3" wp14:editId="1D66CAC3">
            <wp:extent cx="5676900" cy="4564380"/>
            <wp:effectExtent l="0" t="0" r="0" b="0"/>
            <wp:docPr id="9705246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6900" cy="4564380"/>
                    </a:xfrm>
                    <a:prstGeom prst="rect">
                      <a:avLst/>
                    </a:prstGeom>
                    <a:noFill/>
                    <a:ln>
                      <a:noFill/>
                    </a:ln>
                  </pic:spPr>
                </pic:pic>
              </a:graphicData>
            </a:graphic>
          </wp:inline>
        </w:drawing>
      </w:r>
    </w:p>
    <w:p w14:paraId="625B887E" w14:textId="1BC310B4" w:rsidR="009E0118" w:rsidRDefault="00F922F2" w:rsidP="00E15345">
      <w:r>
        <w:rPr>
          <w:noProof/>
        </w:rPr>
        <w:lastRenderedPageBreak/>
        <w:drawing>
          <wp:inline distT="0" distB="0" distL="0" distR="0" wp14:anchorId="25649119" wp14:editId="5DC875E4">
            <wp:extent cx="5539740" cy="2342155"/>
            <wp:effectExtent l="0" t="0" r="3810" b="1270"/>
            <wp:docPr id="6806533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630" cy="2357752"/>
                    </a:xfrm>
                    <a:prstGeom prst="rect">
                      <a:avLst/>
                    </a:prstGeom>
                    <a:noFill/>
                    <a:ln>
                      <a:noFill/>
                    </a:ln>
                  </pic:spPr>
                </pic:pic>
              </a:graphicData>
            </a:graphic>
          </wp:inline>
        </w:drawing>
      </w:r>
    </w:p>
    <w:p w14:paraId="1EAE0E43" w14:textId="77777777" w:rsidR="00F329E5" w:rsidRDefault="00F329E5" w:rsidP="00E15345"/>
    <w:p w14:paraId="709AE030" w14:textId="764DC0E5" w:rsidR="00F922F2" w:rsidRDefault="00C86E5C" w:rsidP="00E15345">
      <w:r>
        <w:rPr>
          <w:noProof/>
        </w:rPr>
        <w:drawing>
          <wp:inline distT="0" distB="0" distL="0" distR="0" wp14:anchorId="1FEE107F" wp14:editId="0AFBA2FE">
            <wp:extent cx="5676900" cy="2811780"/>
            <wp:effectExtent l="0" t="0" r="0" b="7620"/>
            <wp:docPr id="67252915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811780"/>
                    </a:xfrm>
                    <a:prstGeom prst="rect">
                      <a:avLst/>
                    </a:prstGeom>
                    <a:noFill/>
                    <a:ln>
                      <a:noFill/>
                    </a:ln>
                  </pic:spPr>
                </pic:pic>
              </a:graphicData>
            </a:graphic>
          </wp:inline>
        </w:drawing>
      </w:r>
    </w:p>
    <w:p w14:paraId="5FE4FF2D" w14:textId="66FACBFB" w:rsidR="00F922F2" w:rsidRDefault="00C86E5C" w:rsidP="00E15345">
      <w:r>
        <w:t xml:space="preserve">Grafikten görüldüğü üzere </w:t>
      </w:r>
      <w:r w:rsidR="00825F3B">
        <w:t xml:space="preserve">en çok satış miktarı Kuzey Amerika’da olmaktayken en çok gelir seviyesi ise Latin Amerika’da olduğu görülmektedir. En az gelir getiren bölge ise orta doğu ve Afrika bölgesi olduğu görülüyor. </w:t>
      </w:r>
    </w:p>
    <w:p w14:paraId="18BFF3BB" w14:textId="77777777" w:rsidR="00F329E5" w:rsidRDefault="00F329E5" w:rsidP="00E1534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1676"/>
      </w:tblGrid>
      <w:tr w:rsidR="00D55B92" w:rsidRPr="00D55B92" w14:paraId="71B45A41" w14:textId="77777777" w:rsidTr="00D55B92">
        <w:trPr>
          <w:tblHeader/>
          <w:tblCellSpacing w:w="15" w:type="dxa"/>
        </w:trPr>
        <w:tc>
          <w:tcPr>
            <w:tcW w:w="0" w:type="auto"/>
            <w:vAlign w:val="center"/>
            <w:hideMark/>
          </w:tcPr>
          <w:p w14:paraId="3859B626" w14:textId="77777777" w:rsidR="00D55B92" w:rsidRPr="00D55B92" w:rsidRDefault="00D55B92" w:rsidP="00D55B92">
            <w:pPr>
              <w:rPr>
                <w:b/>
                <w:bCs/>
              </w:rPr>
            </w:pPr>
            <w:r w:rsidRPr="00D55B92">
              <w:rPr>
                <w:b/>
                <w:bCs/>
              </w:rPr>
              <w:t>Bölge</w:t>
            </w:r>
          </w:p>
        </w:tc>
        <w:tc>
          <w:tcPr>
            <w:tcW w:w="0" w:type="auto"/>
            <w:vAlign w:val="center"/>
            <w:hideMark/>
          </w:tcPr>
          <w:p w14:paraId="64AD9184" w14:textId="77777777" w:rsidR="00D55B92" w:rsidRPr="00D55B92" w:rsidRDefault="00D55B92" w:rsidP="00D55B92">
            <w:pPr>
              <w:rPr>
                <w:b/>
                <w:bCs/>
              </w:rPr>
            </w:pPr>
            <w:r w:rsidRPr="00D55B92">
              <w:rPr>
                <w:b/>
                <w:bCs/>
              </w:rPr>
              <w:t>Gelir Dağılımı (%)</w:t>
            </w:r>
          </w:p>
        </w:tc>
      </w:tr>
      <w:tr w:rsidR="00D55B92" w:rsidRPr="00D55B92" w14:paraId="5A312C75" w14:textId="77777777" w:rsidTr="00D55B92">
        <w:trPr>
          <w:tblCellSpacing w:w="15" w:type="dxa"/>
        </w:trPr>
        <w:tc>
          <w:tcPr>
            <w:tcW w:w="0" w:type="auto"/>
            <w:vAlign w:val="center"/>
            <w:hideMark/>
          </w:tcPr>
          <w:p w14:paraId="2EF75FA2" w14:textId="77777777" w:rsidR="00D55B92" w:rsidRPr="00D55B92" w:rsidRDefault="00D55B92" w:rsidP="00D55B92">
            <w:proofErr w:type="spellStart"/>
            <w:r w:rsidRPr="00D55B92">
              <w:rPr>
                <w:b/>
                <w:bCs/>
              </w:rPr>
              <w:t>Middle</w:t>
            </w:r>
            <w:proofErr w:type="spellEnd"/>
            <w:r w:rsidRPr="00D55B92">
              <w:rPr>
                <w:b/>
                <w:bCs/>
              </w:rPr>
              <w:t xml:space="preserve"> East &amp; </w:t>
            </w:r>
            <w:proofErr w:type="spellStart"/>
            <w:r w:rsidRPr="00D55B92">
              <w:rPr>
                <w:b/>
                <w:bCs/>
              </w:rPr>
              <w:t>Africa</w:t>
            </w:r>
            <w:proofErr w:type="spellEnd"/>
          </w:p>
        </w:tc>
        <w:tc>
          <w:tcPr>
            <w:tcW w:w="0" w:type="auto"/>
            <w:vAlign w:val="center"/>
            <w:hideMark/>
          </w:tcPr>
          <w:p w14:paraId="631C929B" w14:textId="77777777" w:rsidR="00D55B92" w:rsidRPr="00D55B92" w:rsidRDefault="00D55B92" w:rsidP="00D55B92">
            <w:r w:rsidRPr="00D55B92">
              <w:t>18.0%</w:t>
            </w:r>
          </w:p>
        </w:tc>
      </w:tr>
      <w:tr w:rsidR="00D55B92" w:rsidRPr="00D55B92" w14:paraId="0FF25913" w14:textId="77777777" w:rsidTr="00D55B92">
        <w:trPr>
          <w:tblCellSpacing w:w="15" w:type="dxa"/>
        </w:trPr>
        <w:tc>
          <w:tcPr>
            <w:tcW w:w="0" w:type="auto"/>
            <w:vAlign w:val="center"/>
            <w:hideMark/>
          </w:tcPr>
          <w:p w14:paraId="2B8370C7" w14:textId="77777777" w:rsidR="00D55B92" w:rsidRPr="00D55B92" w:rsidRDefault="00D55B92" w:rsidP="00D55B92">
            <w:r w:rsidRPr="00D55B92">
              <w:rPr>
                <w:b/>
                <w:bCs/>
              </w:rPr>
              <w:t>Europe</w:t>
            </w:r>
          </w:p>
        </w:tc>
        <w:tc>
          <w:tcPr>
            <w:tcW w:w="0" w:type="auto"/>
            <w:vAlign w:val="center"/>
            <w:hideMark/>
          </w:tcPr>
          <w:p w14:paraId="6C8A47D3" w14:textId="77777777" w:rsidR="00D55B92" w:rsidRPr="00D55B92" w:rsidRDefault="00D55B92" w:rsidP="00D55B92">
            <w:r w:rsidRPr="00D55B92">
              <w:t>18.5%</w:t>
            </w:r>
          </w:p>
        </w:tc>
      </w:tr>
      <w:tr w:rsidR="00D55B92" w:rsidRPr="00D55B92" w14:paraId="179DA15A" w14:textId="77777777" w:rsidTr="00D55B92">
        <w:trPr>
          <w:tblCellSpacing w:w="15" w:type="dxa"/>
        </w:trPr>
        <w:tc>
          <w:tcPr>
            <w:tcW w:w="0" w:type="auto"/>
            <w:vAlign w:val="center"/>
            <w:hideMark/>
          </w:tcPr>
          <w:p w14:paraId="5F4FE546" w14:textId="77777777" w:rsidR="00D55B92" w:rsidRPr="00D55B92" w:rsidRDefault="00D55B92" w:rsidP="00D55B92">
            <w:proofErr w:type="spellStart"/>
            <w:r w:rsidRPr="00D55B92">
              <w:rPr>
                <w:b/>
                <w:bCs/>
              </w:rPr>
              <w:t>Asia</w:t>
            </w:r>
            <w:proofErr w:type="spellEnd"/>
            <w:r w:rsidRPr="00D55B92">
              <w:rPr>
                <w:b/>
                <w:bCs/>
              </w:rPr>
              <w:t>-Pacific</w:t>
            </w:r>
          </w:p>
        </w:tc>
        <w:tc>
          <w:tcPr>
            <w:tcW w:w="0" w:type="auto"/>
            <w:vAlign w:val="center"/>
            <w:hideMark/>
          </w:tcPr>
          <w:p w14:paraId="171B9130" w14:textId="77777777" w:rsidR="00D55B92" w:rsidRPr="00D55B92" w:rsidRDefault="00D55B92" w:rsidP="00D55B92">
            <w:r w:rsidRPr="00D55B92">
              <w:t>18.8%</w:t>
            </w:r>
          </w:p>
        </w:tc>
      </w:tr>
      <w:tr w:rsidR="00D55B92" w:rsidRPr="00D55B92" w14:paraId="49866EF1" w14:textId="77777777" w:rsidTr="00D55B92">
        <w:trPr>
          <w:tblCellSpacing w:w="15" w:type="dxa"/>
        </w:trPr>
        <w:tc>
          <w:tcPr>
            <w:tcW w:w="0" w:type="auto"/>
            <w:vAlign w:val="center"/>
            <w:hideMark/>
          </w:tcPr>
          <w:p w14:paraId="1543B50B" w14:textId="77777777" w:rsidR="00D55B92" w:rsidRPr="00D55B92" w:rsidRDefault="00D55B92" w:rsidP="00D55B92">
            <w:r w:rsidRPr="00D55B92">
              <w:rPr>
                <w:b/>
                <w:bCs/>
              </w:rPr>
              <w:t xml:space="preserve">North </w:t>
            </w:r>
            <w:proofErr w:type="spellStart"/>
            <w:r w:rsidRPr="00D55B92">
              <w:rPr>
                <w:b/>
                <w:bCs/>
              </w:rPr>
              <w:t>America</w:t>
            </w:r>
            <w:proofErr w:type="spellEnd"/>
          </w:p>
        </w:tc>
        <w:tc>
          <w:tcPr>
            <w:tcW w:w="0" w:type="auto"/>
            <w:vAlign w:val="center"/>
            <w:hideMark/>
          </w:tcPr>
          <w:p w14:paraId="61851513" w14:textId="77777777" w:rsidR="00D55B92" w:rsidRPr="00D55B92" w:rsidRDefault="00D55B92" w:rsidP="00D55B92">
            <w:r w:rsidRPr="00D55B92">
              <w:t>21.8%</w:t>
            </w:r>
          </w:p>
        </w:tc>
      </w:tr>
      <w:tr w:rsidR="00D55B92" w:rsidRPr="00D55B92" w14:paraId="520907EA" w14:textId="77777777" w:rsidTr="00D55B92">
        <w:trPr>
          <w:tblCellSpacing w:w="15" w:type="dxa"/>
        </w:trPr>
        <w:tc>
          <w:tcPr>
            <w:tcW w:w="0" w:type="auto"/>
            <w:vAlign w:val="center"/>
            <w:hideMark/>
          </w:tcPr>
          <w:p w14:paraId="455AE2C0" w14:textId="77777777" w:rsidR="00D55B92" w:rsidRPr="00D55B92" w:rsidRDefault="00D55B92" w:rsidP="00D55B92">
            <w:r w:rsidRPr="00D55B92">
              <w:rPr>
                <w:b/>
                <w:bCs/>
              </w:rPr>
              <w:t xml:space="preserve">Latin </w:t>
            </w:r>
            <w:proofErr w:type="spellStart"/>
            <w:r w:rsidRPr="00D55B92">
              <w:rPr>
                <w:b/>
                <w:bCs/>
              </w:rPr>
              <w:t>America</w:t>
            </w:r>
            <w:proofErr w:type="spellEnd"/>
          </w:p>
        </w:tc>
        <w:tc>
          <w:tcPr>
            <w:tcW w:w="0" w:type="auto"/>
            <w:vAlign w:val="center"/>
            <w:hideMark/>
          </w:tcPr>
          <w:p w14:paraId="4AB9B95D" w14:textId="77777777" w:rsidR="00D55B92" w:rsidRPr="00D55B92" w:rsidRDefault="00D55B92" w:rsidP="00D55B92">
            <w:r w:rsidRPr="00D55B92">
              <w:t>22.8%</w:t>
            </w:r>
          </w:p>
        </w:tc>
      </w:tr>
    </w:tbl>
    <w:p w14:paraId="5BA961ED" w14:textId="77777777" w:rsidR="00825F3B" w:rsidRDefault="00825F3B" w:rsidP="00E15345"/>
    <w:p w14:paraId="0C7882E2" w14:textId="77777777" w:rsidR="00825F3B" w:rsidRDefault="00825F3B" w:rsidP="00E15345"/>
    <w:p w14:paraId="232655B8" w14:textId="77777777" w:rsidR="00825F3B" w:rsidRDefault="00825F3B" w:rsidP="00E15345"/>
    <w:p w14:paraId="45D570FE" w14:textId="77777777" w:rsidR="00825F3B" w:rsidRDefault="00825F3B" w:rsidP="00E15345"/>
    <w:p w14:paraId="047711DD" w14:textId="77777777" w:rsidR="00825F3B" w:rsidRDefault="00825F3B" w:rsidP="00E15345"/>
    <w:p w14:paraId="6222F663" w14:textId="77777777" w:rsidR="00825F3B" w:rsidRDefault="00825F3B" w:rsidP="00E15345"/>
    <w:p w14:paraId="78EED65D" w14:textId="77777777" w:rsidR="00825F3B" w:rsidRDefault="00825F3B" w:rsidP="00E15345"/>
    <w:p w14:paraId="65838E73" w14:textId="77777777" w:rsidR="00825F3B" w:rsidRDefault="00825F3B" w:rsidP="00E15345"/>
    <w:p w14:paraId="32679D09" w14:textId="77777777" w:rsidR="00825F3B" w:rsidRDefault="00825F3B" w:rsidP="00E15345"/>
    <w:p w14:paraId="40CC9E50" w14:textId="77777777" w:rsidR="00825F3B" w:rsidRDefault="00825F3B" w:rsidP="00E15345"/>
    <w:p w14:paraId="7455F1F6" w14:textId="77777777" w:rsidR="00825F3B" w:rsidRDefault="00825F3B" w:rsidP="00E15345"/>
    <w:p w14:paraId="79FFB108" w14:textId="77777777" w:rsidR="00825F3B" w:rsidRDefault="00825F3B" w:rsidP="00E15345"/>
    <w:p w14:paraId="1B9A0388" w14:textId="2AA10247" w:rsidR="00F329E5" w:rsidRDefault="00F329E5" w:rsidP="00E15345">
      <w:r w:rsidRPr="00F329E5">
        <w:rPr>
          <w:b/>
          <w:bCs/>
        </w:rPr>
        <w:t>Çeyrek Bazında Bölgesel Satış Analizi:</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96"/>
        <w:gridCol w:w="1011"/>
        <w:gridCol w:w="1011"/>
        <w:gridCol w:w="1011"/>
        <w:gridCol w:w="1026"/>
      </w:tblGrid>
      <w:tr w:rsidR="00F329E5" w:rsidRPr="00F329E5" w14:paraId="31AF15AD" w14:textId="77777777" w:rsidTr="00F329E5">
        <w:trPr>
          <w:tblHeader/>
          <w:tblCellSpacing w:w="15" w:type="dxa"/>
        </w:trPr>
        <w:tc>
          <w:tcPr>
            <w:tcW w:w="0" w:type="auto"/>
            <w:vAlign w:val="center"/>
            <w:hideMark/>
          </w:tcPr>
          <w:p w14:paraId="63D944BE" w14:textId="77777777" w:rsidR="00F329E5" w:rsidRPr="00F329E5" w:rsidRDefault="00F329E5" w:rsidP="00F329E5">
            <w:pPr>
              <w:rPr>
                <w:b/>
                <w:bCs/>
              </w:rPr>
            </w:pPr>
            <w:r w:rsidRPr="00F329E5">
              <w:rPr>
                <w:b/>
                <w:bCs/>
              </w:rPr>
              <w:t>Çeyrek</w:t>
            </w:r>
          </w:p>
        </w:tc>
        <w:tc>
          <w:tcPr>
            <w:tcW w:w="0" w:type="auto"/>
            <w:vAlign w:val="center"/>
            <w:hideMark/>
          </w:tcPr>
          <w:p w14:paraId="212F1121" w14:textId="77777777" w:rsidR="00F329E5" w:rsidRPr="00F329E5" w:rsidRDefault="00F329E5" w:rsidP="00F329E5">
            <w:pPr>
              <w:rPr>
                <w:b/>
                <w:bCs/>
              </w:rPr>
            </w:pPr>
            <w:r w:rsidRPr="00F329E5">
              <w:rPr>
                <w:b/>
                <w:bCs/>
              </w:rPr>
              <w:t>Q1</w:t>
            </w:r>
          </w:p>
        </w:tc>
        <w:tc>
          <w:tcPr>
            <w:tcW w:w="0" w:type="auto"/>
            <w:vAlign w:val="center"/>
            <w:hideMark/>
          </w:tcPr>
          <w:p w14:paraId="25B0EC3E" w14:textId="77777777" w:rsidR="00F329E5" w:rsidRPr="00F329E5" w:rsidRDefault="00F329E5" w:rsidP="00F329E5">
            <w:pPr>
              <w:rPr>
                <w:b/>
                <w:bCs/>
              </w:rPr>
            </w:pPr>
            <w:r w:rsidRPr="00F329E5">
              <w:rPr>
                <w:b/>
                <w:bCs/>
              </w:rPr>
              <w:t>Q2</w:t>
            </w:r>
          </w:p>
        </w:tc>
        <w:tc>
          <w:tcPr>
            <w:tcW w:w="0" w:type="auto"/>
            <w:vAlign w:val="center"/>
            <w:hideMark/>
          </w:tcPr>
          <w:p w14:paraId="0F63C46B" w14:textId="77777777" w:rsidR="00F329E5" w:rsidRPr="00F329E5" w:rsidRDefault="00F329E5" w:rsidP="00F329E5">
            <w:pPr>
              <w:rPr>
                <w:b/>
                <w:bCs/>
              </w:rPr>
            </w:pPr>
            <w:r w:rsidRPr="00F329E5">
              <w:rPr>
                <w:b/>
                <w:bCs/>
              </w:rPr>
              <w:t>Q3</w:t>
            </w:r>
          </w:p>
        </w:tc>
        <w:tc>
          <w:tcPr>
            <w:tcW w:w="0" w:type="auto"/>
            <w:vAlign w:val="center"/>
            <w:hideMark/>
          </w:tcPr>
          <w:p w14:paraId="0172F1B3" w14:textId="77777777" w:rsidR="00F329E5" w:rsidRPr="00F329E5" w:rsidRDefault="00F329E5" w:rsidP="00F329E5">
            <w:pPr>
              <w:rPr>
                <w:b/>
                <w:bCs/>
              </w:rPr>
            </w:pPr>
            <w:r w:rsidRPr="00F329E5">
              <w:rPr>
                <w:b/>
                <w:bCs/>
              </w:rPr>
              <w:t>Q4</w:t>
            </w:r>
          </w:p>
        </w:tc>
      </w:tr>
      <w:tr w:rsidR="00F329E5" w:rsidRPr="00F329E5" w14:paraId="1E94A781" w14:textId="77777777" w:rsidTr="00F329E5">
        <w:trPr>
          <w:tblCellSpacing w:w="15" w:type="dxa"/>
        </w:trPr>
        <w:tc>
          <w:tcPr>
            <w:tcW w:w="0" w:type="auto"/>
            <w:vAlign w:val="center"/>
            <w:hideMark/>
          </w:tcPr>
          <w:p w14:paraId="24DF69CA" w14:textId="77777777" w:rsidR="00F329E5" w:rsidRPr="00F329E5" w:rsidRDefault="00F329E5" w:rsidP="00F329E5">
            <w:proofErr w:type="spellStart"/>
            <w:r w:rsidRPr="00F329E5">
              <w:rPr>
                <w:b/>
                <w:bCs/>
              </w:rPr>
              <w:t>Asia</w:t>
            </w:r>
            <w:proofErr w:type="spellEnd"/>
            <w:r w:rsidRPr="00F329E5">
              <w:rPr>
                <w:b/>
                <w:bCs/>
              </w:rPr>
              <w:t>-Pacific</w:t>
            </w:r>
          </w:p>
        </w:tc>
        <w:tc>
          <w:tcPr>
            <w:tcW w:w="0" w:type="auto"/>
            <w:vAlign w:val="center"/>
            <w:hideMark/>
          </w:tcPr>
          <w:p w14:paraId="29EA247E" w14:textId="77777777" w:rsidR="00F329E5" w:rsidRPr="00F329E5" w:rsidRDefault="00F329E5" w:rsidP="00F329E5">
            <w:r w:rsidRPr="00F329E5">
              <w:t>1,432,407</w:t>
            </w:r>
          </w:p>
        </w:tc>
        <w:tc>
          <w:tcPr>
            <w:tcW w:w="0" w:type="auto"/>
            <w:vAlign w:val="center"/>
            <w:hideMark/>
          </w:tcPr>
          <w:p w14:paraId="1686B727" w14:textId="77777777" w:rsidR="00F329E5" w:rsidRPr="00F329E5" w:rsidRDefault="00F329E5" w:rsidP="00F329E5">
            <w:r w:rsidRPr="00F329E5">
              <w:t>885,435</w:t>
            </w:r>
          </w:p>
        </w:tc>
        <w:tc>
          <w:tcPr>
            <w:tcW w:w="0" w:type="auto"/>
            <w:vAlign w:val="center"/>
            <w:hideMark/>
          </w:tcPr>
          <w:p w14:paraId="492D05EF" w14:textId="77777777" w:rsidR="00F329E5" w:rsidRPr="00F329E5" w:rsidRDefault="00F329E5" w:rsidP="00F329E5">
            <w:r w:rsidRPr="00F329E5">
              <w:t>1,724,091</w:t>
            </w:r>
          </w:p>
        </w:tc>
        <w:tc>
          <w:tcPr>
            <w:tcW w:w="0" w:type="auto"/>
            <w:vAlign w:val="center"/>
            <w:hideMark/>
          </w:tcPr>
          <w:p w14:paraId="5F496AD7" w14:textId="77777777" w:rsidR="00F329E5" w:rsidRPr="00F329E5" w:rsidRDefault="00F329E5" w:rsidP="00F329E5">
            <w:r w:rsidRPr="00F329E5">
              <w:t>1,506,462</w:t>
            </w:r>
          </w:p>
        </w:tc>
      </w:tr>
      <w:tr w:rsidR="00F329E5" w:rsidRPr="00F329E5" w14:paraId="116C0332" w14:textId="77777777" w:rsidTr="00F329E5">
        <w:trPr>
          <w:tblCellSpacing w:w="15" w:type="dxa"/>
        </w:trPr>
        <w:tc>
          <w:tcPr>
            <w:tcW w:w="0" w:type="auto"/>
            <w:vAlign w:val="center"/>
            <w:hideMark/>
          </w:tcPr>
          <w:p w14:paraId="47EABAD5" w14:textId="77777777" w:rsidR="00F329E5" w:rsidRPr="00F329E5" w:rsidRDefault="00F329E5" w:rsidP="00F329E5">
            <w:r w:rsidRPr="00F329E5">
              <w:rPr>
                <w:b/>
                <w:bCs/>
              </w:rPr>
              <w:t>Europe</w:t>
            </w:r>
          </w:p>
        </w:tc>
        <w:tc>
          <w:tcPr>
            <w:tcW w:w="0" w:type="auto"/>
            <w:vAlign w:val="center"/>
            <w:hideMark/>
          </w:tcPr>
          <w:p w14:paraId="130E5559" w14:textId="77777777" w:rsidR="00F329E5" w:rsidRPr="00F329E5" w:rsidRDefault="00F329E5" w:rsidP="00F329E5">
            <w:r w:rsidRPr="00F329E5">
              <w:t>1,855,894</w:t>
            </w:r>
          </w:p>
        </w:tc>
        <w:tc>
          <w:tcPr>
            <w:tcW w:w="0" w:type="auto"/>
            <w:vAlign w:val="center"/>
            <w:hideMark/>
          </w:tcPr>
          <w:p w14:paraId="27ECF440" w14:textId="77777777" w:rsidR="00F329E5" w:rsidRPr="00F329E5" w:rsidRDefault="00F329E5" w:rsidP="00F329E5">
            <w:r w:rsidRPr="00F329E5">
              <w:t>1,218,107</w:t>
            </w:r>
          </w:p>
        </w:tc>
        <w:tc>
          <w:tcPr>
            <w:tcW w:w="0" w:type="auto"/>
            <w:vAlign w:val="center"/>
            <w:hideMark/>
          </w:tcPr>
          <w:p w14:paraId="48630893" w14:textId="77777777" w:rsidR="00F329E5" w:rsidRPr="00F329E5" w:rsidRDefault="00F329E5" w:rsidP="00F329E5">
            <w:r w:rsidRPr="00F329E5">
              <w:t>1,873,190</w:t>
            </w:r>
          </w:p>
        </w:tc>
        <w:tc>
          <w:tcPr>
            <w:tcW w:w="0" w:type="auto"/>
            <w:vAlign w:val="center"/>
            <w:hideMark/>
          </w:tcPr>
          <w:p w14:paraId="1A4CDAA1" w14:textId="77777777" w:rsidR="00F329E5" w:rsidRPr="00F329E5" w:rsidRDefault="00F329E5" w:rsidP="00F329E5">
            <w:r w:rsidRPr="00F329E5">
              <w:t>1,267,035</w:t>
            </w:r>
          </w:p>
        </w:tc>
      </w:tr>
      <w:tr w:rsidR="00F329E5" w:rsidRPr="00F329E5" w14:paraId="478B87A7" w14:textId="77777777" w:rsidTr="00F329E5">
        <w:trPr>
          <w:tblCellSpacing w:w="15" w:type="dxa"/>
        </w:trPr>
        <w:tc>
          <w:tcPr>
            <w:tcW w:w="0" w:type="auto"/>
            <w:vAlign w:val="center"/>
            <w:hideMark/>
          </w:tcPr>
          <w:p w14:paraId="77C34B2F" w14:textId="77777777" w:rsidR="00F329E5" w:rsidRPr="00F329E5" w:rsidRDefault="00F329E5" w:rsidP="00F329E5">
            <w:r w:rsidRPr="00F329E5">
              <w:rPr>
                <w:b/>
                <w:bCs/>
              </w:rPr>
              <w:t xml:space="preserve">Latin </w:t>
            </w:r>
            <w:proofErr w:type="spellStart"/>
            <w:r w:rsidRPr="00F329E5">
              <w:rPr>
                <w:b/>
                <w:bCs/>
              </w:rPr>
              <w:t>America</w:t>
            </w:r>
            <w:proofErr w:type="spellEnd"/>
          </w:p>
        </w:tc>
        <w:tc>
          <w:tcPr>
            <w:tcW w:w="0" w:type="auto"/>
            <w:vAlign w:val="center"/>
            <w:hideMark/>
          </w:tcPr>
          <w:p w14:paraId="1A2848DB" w14:textId="77777777" w:rsidR="00F329E5" w:rsidRPr="00F329E5" w:rsidRDefault="00F329E5" w:rsidP="00F329E5">
            <w:r w:rsidRPr="00F329E5">
              <w:t>2,025,152</w:t>
            </w:r>
          </w:p>
        </w:tc>
        <w:tc>
          <w:tcPr>
            <w:tcW w:w="0" w:type="auto"/>
            <w:vAlign w:val="center"/>
            <w:hideMark/>
          </w:tcPr>
          <w:p w14:paraId="167FB9ED" w14:textId="77777777" w:rsidR="00F329E5" w:rsidRPr="00F329E5" w:rsidRDefault="00F329E5" w:rsidP="00F329E5">
            <w:r w:rsidRPr="00F329E5">
              <w:t>2,100,073</w:t>
            </w:r>
          </w:p>
        </w:tc>
        <w:tc>
          <w:tcPr>
            <w:tcW w:w="0" w:type="auto"/>
            <w:vAlign w:val="center"/>
            <w:hideMark/>
          </w:tcPr>
          <w:p w14:paraId="3D0C6DB3" w14:textId="77777777" w:rsidR="00F329E5" w:rsidRPr="00F329E5" w:rsidRDefault="00F329E5" w:rsidP="00F329E5">
            <w:r w:rsidRPr="00F329E5">
              <w:t>1,359,453</w:t>
            </w:r>
          </w:p>
        </w:tc>
        <w:tc>
          <w:tcPr>
            <w:tcW w:w="0" w:type="auto"/>
            <w:vAlign w:val="center"/>
            <w:hideMark/>
          </w:tcPr>
          <w:p w14:paraId="20D93323" w14:textId="77777777" w:rsidR="00F329E5" w:rsidRPr="00F329E5" w:rsidRDefault="00F329E5" w:rsidP="00F329E5">
            <w:r w:rsidRPr="00F329E5">
              <w:t>1,510,728</w:t>
            </w:r>
          </w:p>
        </w:tc>
      </w:tr>
      <w:tr w:rsidR="00F329E5" w:rsidRPr="00F329E5" w14:paraId="3649F5BC" w14:textId="77777777" w:rsidTr="00F329E5">
        <w:trPr>
          <w:tblCellSpacing w:w="15" w:type="dxa"/>
        </w:trPr>
        <w:tc>
          <w:tcPr>
            <w:tcW w:w="0" w:type="auto"/>
            <w:vAlign w:val="center"/>
            <w:hideMark/>
          </w:tcPr>
          <w:p w14:paraId="4EDFE583" w14:textId="77777777" w:rsidR="00F329E5" w:rsidRPr="00F329E5" w:rsidRDefault="00F329E5" w:rsidP="00F329E5">
            <w:proofErr w:type="spellStart"/>
            <w:r w:rsidRPr="00F329E5">
              <w:rPr>
                <w:b/>
                <w:bCs/>
              </w:rPr>
              <w:t>Middle</w:t>
            </w:r>
            <w:proofErr w:type="spellEnd"/>
            <w:r w:rsidRPr="00F329E5">
              <w:rPr>
                <w:b/>
                <w:bCs/>
              </w:rPr>
              <w:t xml:space="preserve"> East &amp; </w:t>
            </w:r>
            <w:proofErr w:type="spellStart"/>
            <w:r w:rsidRPr="00F329E5">
              <w:rPr>
                <w:b/>
                <w:bCs/>
              </w:rPr>
              <w:t>Africa</w:t>
            </w:r>
            <w:proofErr w:type="spellEnd"/>
          </w:p>
        </w:tc>
        <w:tc>
          <w:tcPr>
            <w:tcW w:w="0" w:type="auto"/>
            <w:vAlign w:val="center"/>
            <w:hideMark/>
          </w:tcPr>
          <w:p w14:paraId="7E74B63E" w14:textId="77777777" w:rsidR="00F329E5" w:rsidRPr="00F329E5" w:rsidRDefault="00F329E5" w:rsidP="00F329E5">
            <w:r w:rsidRPr="00F329E5">
              <w:t>1,597,398</w:t>
            </w:r>
          </w:p>
        </w:tc>
        <w:tc>
          <w:tcPr>
            <w:tcW w:w="0" w:type="auto"/>
            <w:vAlign w:val="center"/>
            <w:hideMark/>
          </w:tcPr>
          <w:p w14:paraId="5E8058B1" w14:textId="77777777" w:rsidR="00F329E5" w:rsidRPr="00F329E5" w:rsidRDefault="00F329E5" w:rsidP="00F329E5">
            <w:r w:rsidRPr="00F329E5">
              <w:t>1,789,128</w:t>
            </w:r>
          </w:p>
        </w:tc>
        <w:tc>
          <w:tcPr>
            <w:tcW w:w="0" w:type="auto"/>
            <w:vAlign w:val="center"/>
            <w:hideMark/>
          </w:tcPr>
          <w:p w14:paraId="7CD754FD" w14:textId="77777777" w:rsidR="00F329E5" w:rsidRPr="00F329E5" w:rsidRDefault="00F329E5" w:rsidP="00F329E5">
            <w:r w:rsidRPr="00F329E5">
              <w:t>2,076,777</w:t>
            </w:r>
          </w:p>
        </w:tc>
        <w:tc>
          <w:tcPr>
            <w:tcW w:w="0" w:type="auto"/>
            <w:vAlign w:val="center"/>
            <w:hideMark/>
          </w:tcPr>
          <w:p w14:paraId="6BE4742E" w14:textId="77777777" w:rsidR="00F329E5" w:rsidRPr="00F329E5" w:rsidRDefault="00F329E5" w:rsidP="00F329E5">
            <w:r w:rsidRPr="00F329E5">
              <w:t>1,248,037</w:t>
            </w:r>
          </w:p>
        </w:tc>
      </w:tr>
      <w:tr w:rsidR="00F329E5" w:rsidRPr="00F329E5" w14:paraId="6D842276" w14:textId="77777777" w:rsidTr="00F329E5">
        <w:trPr>
          <w:tblCellSpacing w:w="15" w:type="dxa"/>
        </w:trPr>
        <w:tc>
          <w:tcPr>
            <w:tcW w:w="0" w:type="auto"/>
            <w:vAlign w:val="center"/>
            <w:hideMark/>
          </w:tcPr>
          <w:p w14:paraId="4E64EBDD" w14:textId="77777777" w:rsidR="00F329E5" w:rsidRPr="00F329E5" w:rsidRDefault="00F329E5" w:rsidP="00F329E5">
            <w:r w:rsidRPr="00F329E5">
              <w:rPr>
                <w:b/>
                <w:bCs/>
              </w:rPr>
              <w:t xml:space="preserve">North </w:t>
            </w:r>
            <w:proofErr w:type="spellStart"/>
            <w:r w:rsidRPr="00F329E5">
              <w:rPr>
                <w:b/>
                <w:bCs/>
              </w:rPr>
              <w:t>America</w:t>
            </w:r>
            <w:proofErr w:type="spellEnd"/>
          </w:p>
        </w:tc>
        <w:tc>
          <w:tcPr>
            <w:tcW w:w="0" w:type="auto"/>
            <w:vAlign w:val="center"/>
            <w:hideMark/>
          </w:tcPr>
          <w:p w14:paraId="10B94A77" w14:textId="77777777" w:rsidR="00F329E5" w:rsidRPr="00F329E5" w:rsidRDefault="00F329E5" w:rsidP="00F329E5">
            <w:r w:rsidRPr="00F329E5">
              <w:t>1,624,961</w:t>
            </w:r>
          </w:p>
        </w:tc>
        <w:tc>
          <w:tcPr>
            <w:tcW w:w="0" w:type="auto"/>
            <w:vAlign w:val="center"/>
            <w:hideMark/>
          </w:tcPr>
          <w:p w14:paraId="2F6A6E27" w14:textId="77777777" w:rsidR="00F329E5" w:rsidRPr="00F329E5" w:rsidRDefault="00F329E5" w:rsidP="00F329E5">
            <w:r w:rsidRPr="00F329E5">
              <w:t>1,864,206</w:t>
            </w:r>
          </w:p>
        </w:tc>
        <w:tc>
          <w:tcPr>
            <w:tcW w:w="0" w:type="auto"/>
            <w:vAlign w:val="center"/>
            <w:hideMark/>
          </w:tcPr>
          <w:p w14:paraId="2110AD7B" w14:textId="77777777" w:rsidR="00F329E5" w:rsidRPr="00F329E5" w:rsidRDefault="00F329E5" w:rsidP="00F329E5">
            <w:r w:rsidRPr="00F329E5">
              <w:t>1,823,433</w:t>
            </w:r>
          </w:p>
        </w:tc>
        <w:tc>
          <w:tcPr>
            <w:tcW w:w="0" w:type="auto"/>
            <w:vAlign w:val="center"/>
            <w:hideMark/>
          </w:tcPr>
          <w:p w14:paraId="17DBFCF6" w14:textId="77777777" w:rsidR="00F329E5" w:rsidRPr="00F329E5" w:rsidRDefault="00F329E5" w:rsidP="00F329E5">
            <w:r w:rsidRPr="00F329E5">
              <w:t>2,061,023</w:t>
            </w:r>
          </w:p>
        </w:tc>
      </w:tr>
    </w:tbl>
    <w:p w14:paraId="7A6000F0" w14:textId="08C14C79" w:rsidR="00F329E5" w:rsidRDefault="00F329E5" w:rsidP="00E15345">
      <w:r>
        <w:rPr>
          <w:noProof/>
        </w:rPr>
        <w:drawing>
          <wp:inline distT="0" distB="0" distL="0" distR="0" wp14:anchorId="35020F16" wp14:editId="58FBDA4A">
            <wp:extent cx="5318760" cy="3314700"/>
            <wp:effectExtent l="0" t="0" r="0" b="0"/>
            <wp:docPr id="14928307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3314700"/>
                    </a:xfrm>
                    <a:prstGeom prst="rect">
                      <a:avLst/>
                    </a:prstGeom>
                    <a:noFill/>
                    <a:ln>
                      <a:noFill/>
                    </a:ln>
                  </pic:spPr>
                </pic:pic>
              </a:graphicData>
            </a:graphic>
          </wp:inline>
        </w:drawing>
      </w:r>
    </w:p>
    <w:p w14:paraId="2C10DA6B" w14:textId="36CBAFF9" w:rsidR="00BF18D6" w:rsidRDefault="00BF18D6" w:rsidP="00E15345">
      <w:r>
        <w:t xml:space="preserve">2019-2024 arasındaki çeyrek bazlı bölgesel satışlara bakıldığında en çok satışın olduğu Kuzey Amerika bölgesinde yılın 4. Çeyrekliğinde yükselme vardır yıl sonu talebi yüksek denilebilir ve genel olarak yılların genelinde yüksek performans göstermektedir. 3. Çeyreklikte </w:t>
      </w:r>
      <w:r w:rsidRPr="00BF18D6">
        <w:t>genellikle tüm bölgelerde en yüksek satışların görüldüğü çeyrek olurken,</w:t>
      </w:r>
      <w:r>
        <w:t xml:space="preserve"> 2. Çeyreklikte </w:t>
      </w:r>
      <w:r w:rsidRPr="00BF18D6">
        <w:t>bazı bölgelerde düşüş yaşanmış.</w:t>
      </w:r>
      <w:r>
        <w:t xml:space="preserve"> En düşük gelir getiren bölgeler olan Orta Doğu ve Afrika ise 3. Çeyreklikte diğer bölgelerin satışını geçmiştir.</w:t>
      </w:r>
    </w:p>
    <w:p w14:paraId="465CFC55" w14:textId="77777777" w:rsidR="00BF18D6" w:rsidRDefault="00825F3B" w:rsidP="00E15345">
      <w:r>
        <w:rPr>
          <w:noProof/>
        </w:rPr>
        <w:lastRenderedPageBreak/>
        <w:drawing>
          <wp:inline distT="0" distB="0" distL="0" distR="0" wp14:anchorId="1A221531" wp14:editId="09B0E8C3">
            <wp:extent cx="6076315" cy="3017520"/>
            <wp:effectExtent l="0" t="0" r="635" b="0"/>
            <wp:docPr id="35174542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718" cy="3020203"/>
                    </a:xfrm>
                    <a:prstGeom prst="rect">
                      <a:avLst/>
                    </a:prstGeom>
                    <a:noFill/>
                    <a:ln>
                      <a:noFill/>
                    </a:ln>
                  </pic:spPr>
                </pic:pic>
              </a:graphicData>
            </a:graphic>
          </wp:inline>
        </w:drawing>
      </w:r>
      <w:r w:rsidR="00BF18D6">
        <w:rPr>
          <w:noProof/>
        </w:rPr>
        <w:drawing>
          <wp:inline distT="0" distB="0" distL="0" distR="0" wp14:anchorId="36885CF4" wp14:editId="712B97FA">
            <wp:extent cx="5676900" cy="2552700"/>
            <wp:effectExtent l="0" t="0" r="0" b="0"/>
            <wp:docPr id="1055742492" name="Resim 9" descr="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42492" name="Resim 9" descr="çizgi, öykü gelişim çizgisi; kumpas; grafiğini çıkarma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552700"/>
                    </a:xfrm>
                    <a:prstGeom prst="rect">
                      <a:avLst/>
                    </a:prstGeom>
                    <a:noFill/>
                    <a:ln>
                      <a:noFill/>
                    </a:ln>
                  </pic:spPr>
                </pic:pic>
              </a:graphicData>
            </a:graphic>
          </wp:inline>
        </w:drawing>
      </w:r>
    </w:p>
    <w:p w14:paraId="299D54D1" w14:textId="002E976C" w:rsidR="00BF18D6" w:rsidRDefault="003A7348" w:rsidP="00E15345">
      <w:r>
        <w:t>Bu grafiklerde de 3. Çeyrekliklerine doğru genel bir artış olduğunu gözlemliyoruz. Bazı bölgelerde belirli dönemlerde düşerken bazı bölgelerde yükselen dalgalı bir grafik izlenmekte. Bazı dönemlerdeki düşüşlerin sebebi rakip firmaların çıkardığı yeni modeller farklı fiyatlandırmalar olabilmektedir.</w:t>
      </w:r>
    </w:p>
    <w:p w14:paraId="72C925C8" w14:textId="2A90D464" w:rsidR="003A7348" w:rsidRDefault="003A7348" w:rsidP="00E15345">
      <w:r>
        <w:rPr>
          <w:noProof/>
        </w:rPr>
        <w:drawing>
          <wp:inline distT="0" distB="0" distL="0" distR="0" wp14:anchorId="54050A67" wp14:editId="41C01372">
            <wp:extent cx="5676900" cy="2819400"/>
            <wp:effectExtent l="0" t="0" r="0" b="0"/>
            <wp:docPr id="1706165939" name="Resim 10" descr="çizgi, diyagram,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65939" name="Resim 10" descr="çizgi, diyagram, öykü gelişim çizgisi; kumpas; grafiğini çıkarma, ekran görüntüsü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819400"/>
                    </a:xfrm>
                    <a:prstGeom prst="rect">
                      <a:avLst/>
                    </a:prstGeom>
                    <a:noFill/>
                    <a:ln>
                      <a:noFill/>
                    </a:ln>
                  </pic:spPr>
                </pic:pic>
              </a:graphicData>
            </a:graphic>
          </wp:inline>
        </w:drawing>
      </w:r>
      <w:r>
        <w:t xml:space="preserve">Bölgelere göre satış trendine bakılırsa dalgalı bir grafik görülüp bazı yıllar düşüş bazı yıllar yükseliş görülmekte olup yıl bazında nasıl </w:t>
      </w:r>
      <w:r w:rsidR="00A94AF3">
        <w:t>seyredeceği</w:t>
      </w:r>
      <w:r>
        <w:t xml:space="preserve"> çeyrekliğe nazaran öngörülmesi güçtür.</w:t>
      </w:r>
    </w:p>
    <w:p w14:paraId="78E22388" w14:textId="42E46D11" w:rsidR="00BF18D6" w:rsidRDefault="00A94AF3" w:rsidP="00E15345">
      <w:r>
        <w:rPr>
          <w:noProof/>
        </w:rPr>
        <w:lastRenderedPageBreak/>
        <w:drawing>
          <wp:inline distT="0" distB="0" distL="0" distR="0" wp14:anchorId="623F374E" wp14:editId="47A8C079">
            <wp:extent cx="6169206" cy="3055620"/>
            <wp:effectExtent l="0" t="0" r="3175" b="0"/>
            <wp:docPr id="100685783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0181" cy="3056103"/>
                    </a:xfrm>
                    <a:prstGeom prst="rect">
                      <a:avLst/>
                    </a:prstGeom>
                    <a:noFill/>
                    <a:ln>
                      <a:noFill/>
                    </a:ln>
                  </pic:spPr>
                </pic:pic>
              </a:graphicData>
            </a:graphic>
          </wp:inline>
        </w:drawing>
      </w:r>
    </w:p>
    <w:p w14:paraId="63A4BAB6" w14:textId="076682E9" w:rsidR="00BF18D6" w:rsidRDefault="00A94AF3" w:rsidP="00E15345">
      <w:r>
        <w:t>En çok satılan modellerde farklı tasarımı olan Z serisinin 2 modelinin olduğu görülmekte insanlar farklı tasarıma ilgisi olduğunu göstermektedir.</w:t>
      </w:r>
      <w:r>
        <w:rPr>
          <w:noProof/>
        </w:rPr>
        <w:drawing>
          <wp:inline distT="0" distB="0" distL="0" distR="0" wp14:anchorId="05BDBC32" wp14:editId="137FB1E2">
            <wp:extent cx="5953822" cy="2948940"/>
            <wp:effectExtent l="0" t="0" r="8890" b="3810"/>
            <wp:docPr id="100965169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78" cy="2950206"/>
                    </a:xfrm>
                    <a:prstGeom prst="rect">
                      <a:avLst/>
                    </a:prstGeom>
                    <a:noFill/>
                    <a:ln>
                      <a:noFill/>
                    </a:ln>
                  </pic:spPr>
                </pic:pic>
              </a:graphicData>
            </a:graphic>
          </wp:inline>
        </w:drawing>
      </w:r>
    </w:p>
    <w:p w14:paraId="111486FE" w14:textId="70A1FE46" w:rsidR="00BF18D6" w:rsidRDefault="00565124" w:rsidP="00E15345">
      <w:r>
        <w:t xml:space="preserve">Bu grafikte de hangi bölgede hangi model daha çok satılmış onları görmekteyiz.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963"/>
        <w:gridCol w:w="1656"/>
      </w:tblGrid>
      <w:tr w:rsidR="00565124" w:rsidRPr="00565124" w14:paraId="2C9CFF05" w14:textId="77777777" w:rsidTr="00565124">
        <w:trPr>
          <w:tblHeader/>
          <w:tblCellSpacing w:w="15" w:type="dxa"/>
        </w:trPr>
        <w:tc>
          <w:tcPr>
            <w:tcW w:w="0" w:type="auto"/>
            <w:vAlign w:val="center"/>
            <w:hideMark/>
          </w:tcPr>
          <w:p w14:paraId="723B2D96" w14:textId="7C4A1A6C" w:rsidR="00565124" w:rsidRPr="00565124" w:rsidRDefault="00565124" w:rsidP="00565124">
            <w:pPr>
              <w:rPr>
                <w:b/>
                <w:bCs/>
              </w:rPr>
            </w:pPr>
          </w:p>
        </w:tc>
        <w:tc>
          <w:tcPr>
            <w:tcW w:w="0" w:type="auto"/>
            <w:vAlign w:val="center"/>
            <w:hideMark/>
          </w:tcPr>
          <w:p w14:paraId="6350C4DB" w14:textId="77777777" w:rsidR="00565124" w:rsidRPr="00565124" w:rsidRDefault="00565124" w:rsidP="00565124">
            <w:pPr>
              <w:rPr>
                <w:b/>
                <w:bCs/>
              </w:rPr>
            </w:pPr>
            <w:r w:rsidRPr="00565124">
              <w:rPr>
                <w:b/>
                <w:bCs/>
              </w:rPr>
              <w:t>Değer</w:t>
            </w:r>
          </w:p>
        </w:tc>
      </w:tr>
      <w:tr w:rsidR="00565124" w:rsidRPr="00565124" w14:paraId="1CA37E2A" w14:textId="77777777" w:rsidTr="00565124">
        <w:trPr>
          <w:tblCellSpacing w:w="15" w:type="dxa"/>
        </w:trPr>
        <w:tc>
          <w:tcPr>
            <w:tcW w:w="0" w:type="auto"/>
            <w:vAlign w:val="center"/>
            <w:hideMark/>
          </w:tcPr>
          <w:p w14:paraId="1DF02727" w14:textId="77777777" w:rsidR="00565124" w:rsidRPr="00565124" w:rsidRDefault="00565124" w:rsidP="00565124">
            <w:r w:rsidRPr="00565124">
              <w:rPr>
                <w:b/>
                <w:bCs/>
              </w:rPr>
              <w:t>Toplam Satış</w:t>
            </w:r>
          </w:p>
        </w:tc>
        <w:tc>
          <w:tcPr>
            <w:tcW w:w="0" w:type="auto"/>
            <w:vAlign w:val="center"/>
            <w:hideMark/>
          </w:tcPr>
          <w:p w14:paraId="211ACFD2" w14:textId="77777777" w:rsidR="00565124" w:rsidRPr="00565124" w:rsidRDefault="00565124" w:rsidP="00565124">
            <w:r w:rsidRPr="00565124">
              <w:t>32,842,990 birim</w:t>
            </w:r>
          </w:p>
        </w:tc>
      </w:tr>
      <w:tr w:rsidR="00565124" w:rsidRPr="00565124" w14:paraId="38DA7A63" w14:textId="77777777" w:rsidTr="00565124">
        <w:trPr>
          <w:tblCellSpacing w:w="15" w:type="dxa"/>
        </w:trPr>
        <w:tc>
          <w:tcPr>
            <w:tcW w:w="0" w:type="auto"/>
            <w:vAlign w:val="center"/>
            <w:hideMark/>
          </w:tcPr>
          <w:p w14:paraId="472BC0B0" w14:textId="77777777" w:rsidR="00565124" w:rsidRPr="00565124" w:rsidRDefault="00565124" w:rsidP="00565124">
            <w:r w:rsidRPr="00565124">
              <w:rPr>
                <w:b/>
                <w:bCs/>
              </w:rPr>
              <w:t>Toplam Gelir</w:t>
            </w:r>
          </w:p>
        </w:tc>
        <w:tc>
          <w:tcPr>
            <w:tcW w:w="0" w:type="auto"/>
            <w:vAlign w:val="center"/>
            <w:hideMark/>
          </w:tcPr>
          <w:p w14:paraId="748BF8F3" w14:textId="77777777" w:rsidR="00565124" w:rsidRPr="00565124" w:rsidRDefault="00565124" w:rsidP="00565124">
            <w:r w:rsidRPr="00565124">
              <w:t>$30,197,331,897</w:t>
            </w:r>
          </w:p>
        </w:tc>
      </w:tr>
      <w:tr w:rsidR="00565124" w:rsidRPr="00565124" w14:paraId="01D77400" w14:textId="77777777" w:rsidTr="00565124">
        <w:trPr>
          <w:tblCellSpacing w:w="15" w:type="dxa"/>
        </w:trPr>
        <w:tc>
          <w:tcPr>
            <w:tcW w:w="0" w:type="auto"/>
            <w:vAlign w:val="center"/>
            <w:hideMark/>
          </w:tcPr>
          <w:p w14:paraId="30960866" w14:textId="77777777" w:rsidR="00565124" w:rsidRPr="00565124" w:rsidRDefault="00565124" w:rsidP="00565124">
            <w:r w:rsidRPr="00565124">
              <w:rPr>
                <w:b/>
                <w:bCs/>
              </w:rPr>
              <w:t>Ortalama Pazar Payı</w:t>
            </w:r>
          </w:p>
        </w:tc>
        <w:tc>
          <w:tcPr>
            <w:tcW w:w="0" w:type="auto"/>
            <w:vAlign w:val="center"/>
            <w:hideMark/>
          </w:tcPr>
          <w:p w14:paraId="06CD0222" w14:textId="77777777" w:rsidR="00565124" w:rsidRPr="00565124" w:rsidRDefault="00565124" w:rsidP="00565124">
            <w:proofErr w:type="gramStart"/>
            <w:r w:rsidRPr="00565124">
              <w:t>%3.72</w:t>
            </w:r>
            <w:proofErr w:type="gramEnd"/>
          </w:p>
        </w:tc>
      </w:tr>
    </w:tbl>
    <w:tbl>
      <w:tblPr>
        <w:tblpPr w:leftFromText="141" w:rightFromText="141" w:vertAnchor="text" w:horzAnchor="page" w:tblpX="5833" w:tblpY="-2391"/>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056"/>
        <w:gridCol w:w="1236"/>
      </w:tblGrid>
      <w:tr w:rsidR="00565124" w:rsidRPr="00565124" w14:paraId="1E5B4AA2" w14:textId="77777777" w:rsidTr="00565124">
        <w:trPr>
          <w:tblHeader/>
          <w:tblCellSpacing w:w="15" w:type="dxa"/>
        </w:trPr>
        <w:tc>
          <w:tcPr>
            <w:tcW w:w="0" w:type="auto"/>
            <w:vAlign w:val="center"/>
            <w:hideMark/>
          </w:tcPr>
          <w:p w14:paraId="2EC51276" w14:textId="77777777" w:rsidR="00565124" w:rsidRPr="00565124" w:rsidRDefault="00565124" w:rsidP="00565124">
            <w:pPr>
              <w:rPr>
                <w:b/>
                <w:bCs/>
              </w:rPr>
            </w:pPr>
            <w:r w:rsidRPr="00565124">
              <w:rPr>
                <w:b/>
                <w:bCs/>
              </w:rPr>
              <w:t>Dönem</w:t>
            </w:r>
          </w:p>
        </w:tc>
        <w:tc>
          <w:tcPr>
            <w:tcW w:w="0" w:type="auto"/>
            <w:vAlign w:val="center"/>
            <w:hideMark/>
          </w:tcPr>
          <w:p w14:paraId="5961F75B" w14:textId="77777777" w:rsidR="00565124" w:rsidRPr="00565124" w:rsidRDefault="00565124" w:rsidP="00565124">
            <w:pPr>
              <w:rPr>
                <w:b/>
                <w:bCs/>
              </w:rPr>
            </w:pPr>
            <w:r w:rsidRPr="00565124">
              <w:rPr>
                <w:b/>
                <w:bCs/>
              </w:rPr>
              <w:t>Büyüme (%)</w:t>
            </w:r>
          </w:p>
        </w:tc>
      </w:tr>
      <w:tr w:rsidR="00565124" w:rsidRPr="00565124" w14:paraId="44B955C9" w14:textId="77777777" w:rsidTr="00565124">
        <w:trPr>
          <w:tblCellSpacing w:w="15" w:type="dxa"/>
        </w:trPr>
        <w:tc>
          <w:tcPr>
            <w:tcW w:w="0" w:type="auto"/>
            <w:vAlign w:val="center"/>
            <w:hideMark/>
          </w:tcPr>
          <w:p w14:paraId="2F4AE3E5" w14:textId="77777777" w:rsidR="00565124" w:rsidRPr="00565124" w:rsidRDefault="00565124" w:rsidP="00565124">
            <w:r w:rsidRPr="00565124">
              <w:t>2023-QQ1</w:t>
            </w:r>
          </w:p>
        </w:tc>
        <w:tc>
          <w:tcPr>
            <w:tcW w:w="0" w:type="auto"/>
            <w:vAlign w:val="center"/>
            <w:hideMark/>
          </w:tcPr>
          <w:p w14:paraId="6715A720" w14:textId="77777777" w:rsidR="00565124" w:rsidRPr="00565124" w:rsidRDefault="00565124" w:rsidP="00565124">
            <w:r w:rsidRPr="00565124">
              <w:t>33.95</w:t>
            </w:r>
          </w:p>
        </w:tc>
      </w:tr>
      <w:tr w:rsidR="00565124" w:rsidRPr="00565124" w14:paraId="44E80452" w14:textId="77777777" w:rsidTr="00565124">
        <w:trPr>
          <w:tblCellSpacing w:w="15" w:type="dxa"/>
        </w:trPr>
        <w:tc>
          <w:tcPr>
            <w:tcW w:w="0" w:type="auto"/>
            <w:vAlign w:val="center"/>
            <w:hideMark/>
          </w:tcPr>
          <w:p w14:paraId="151CCDB9" w14:textId="77777777" w:rsidR="00565124" w:rsidRPr="00565124" w:rsidRDefault="00565124" w:rsidP="00565124">
            <w:r w:rsidRPr="00565124">
              <w:t>2019-QQ3</w:t>
            </w:r>
          </w:p>
        </w:tc>
        <w:tc>
          <w:tcPr>
            <w:tcW w:w="0" w:type="auto"/>
            <w:vAlign w:val="center"/>
            <w:hideMark/>
          </w:tcPr>
          <w:p w14:paraId="0D0CF38C" w14:textId="77777777" w:rsidR="00565124" w:rsidRPr="00565124" w:rsidRDefault="00565124" w:rsidP="00565124">
            <w:r w:rsidRPr="00565124">
              <w:t>33.18</w:t>
            </w:r>
          </w:p>
        </w:tc>
      </w:tr>
      <w:tr w:rsidR="00565124" w:rsidRPr="00565124" w14:paraId="37E0DED5" w14:textId="77777777" w:rsidTr="00565124">
        <w:trPr>
          <w:tblCellSpacing w:w="15" w:type="dxa"/>
        </w:trPr>
        <w:tc>
          <w:tcPr>
            <w:tcW w:w="0" w:type="auto"/>
            <w:vAlign w:val="center"/>
            <w:hideMark/>
          </w:tcPr>
          <w:p w14:paraId="13FA9C0D" w14:textId="77777777" w:rsidR="00565124" w:rsidRPr="00565124" w:rsidRDefault="00565124" w:rsidP="00565124">
            <w:r w:rsidRPr="00565124">
              <w:t>2021-QQ1</w:t>
            </w:r>
          </w:p>
        </w:tc>
        <w:tc>
          <w:tcPr>
            <w:tcW w:w="0" w:type="auto"/>
            <w:vAlign w:val="center"/>
            <w:hideMark/>
          </w:tcPr>
          <w:p w14:paraId="10416588" w14:textId="77777777" w:rsidR="00565124" w:rsidRPr="00565124" w:rsidRDefault="00565124" w:rsidP="00565124">
            <w:r w:rsidRPr="00565124">
              <w:t>25.43</w:t>
            </w:r>
          </w:p>
        </w:tc>
      </w:tr>
    </w:tbl>
    <w:p w14:paraId="74E9FDF3" w14:textId="77777777" w:rsidR="00565124" w:rsidRDefault="00565124" w:rsidP="00E15345"/>
    <w:tbl>
      <w:tblPr>
        <w:tblW w:w="0" w:type="auto"/>
        <w:tblCellSpacing w:w="15"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2"/>
        <w:gridCol w:w="757"/>
      </w:tblGrid>
      <w:tr w:rsidR="00565124" w:rsidRPr="00565124" w14:paraId="0EBBD4D9" w14:textId="77777777" w:rsidTr="00565124">
        <w:trPr>
          <w:tblHeader/>
          <w:tblCellSpacing w:w="15" w:type="dxa"/>
        </w:trPr>
        <w:tc>
          <w:tcPr>
            <w:tcW w:w="0" w:type="auto"/>
            <w:vAlign w:val="center"/>
            <w:hideMark/>
          </w:tcPr>
          <w:p w14:paraId="118318A9" w14:textId="77777777" w:rsidR="00565124" w:rsidRPr="00565124" w:rsidRDefault="00565124" w:rsidP="00565124">
            <w:pPr>
              <w:rPr>
                <w:b/>
                <w:bCs/>
              </w:rPr>
            </w:pPr>
            <w:r w:rsidRPr="00565124">
              <w:rPr>
                <w:b/>
                <w:bCs/>
              </w:rPr>
              <w:t>Yıllık Büyüme (CAGR)</w:t>
            </w:r>
          </w:p>
        </w:tc>
        <w:tc>
          <w:tcPr>
            <w:tcW w:w="0" w:type="auto"/>
            <w:vAlign w:val="center"/>
            <w:hideMark/>
          </w:tcPr>
          <w:p w14:paraId="6D55C6E3" w14:textId="77777777" w:rsidR="00565124" w:rsidRPr="00565124" w:rsidRDefault="00565124" w:rsidP="00565124">
            <w:pPr>
              <w:rPr>
                <w:b/>
                <w:bCs/>
              </w:rPr>
            </w:pPr>
            <w:r w:rsidRPr="00565124">
              <w:rPr>
                <w:b/>
                <w:bCs/>
              </w:rPr>
              <w:t>%-1.01</w:t>
            </w:r>
          </w:p>
        </w:tc>
      </w:tr>
    </w:tbl>
    <w:p w14:paraId="10CB3696" w14:textId="75CBD059" w:rsidR="00BF18D6" w:rsidRDefault="00BF18D6" w:rsidP="00E15345"/>
    <w:p w14:paraId="269D82E9" w14:textId="77777777" w:rsidR="00565124" w:rsidRDefault="00565124" w:rsidP="00E1534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
        <w:gridCol w:w="1239"/>
        <w:gridCol w:w="1375"/>
      </w:tblGrid>
      <w:tr w:rsidR="00566BB5" w:rsidRPr="00566BB5" w14:paraId="169620B0" w14:textId="77777777" w:rsidTr="00566BB5">
        <w:trPr>
          <w:tblHeader/>
          <w:tblCellSpacing w:w="15" w:type="dxa"/>
        </w:trPr>
        <w:tc>
          <w:tcPr>
            <w:tcW w:w="0" w:type="auto"/>
            <w:vAlign w:val="center"/>
            <w:hideMark/>
          </w:tcPr>
          <w:p w14:paraId="0361A0D2" w14:textId="77777777" w:rsidR="00566BB5" w:rsidRPr="00566BB5" w:rsidRDefault="00566BB5" w:rsidP="00566BB5">
            <w:pPr>
              <w:rPr>
                <w:b/>
                <w:bCs/>
              </w:rPr>
            </w:pPr>
            <w:r w:rsidRPr="00566BB5">
              <w:rPr>
                <w:b/>
                <w:bCs/>
              </w:rPr>
              <w:lastRenderedPageBreak/>
              <w:t>Yıl</w:t>
            </w:r>
          </w:p>
        </w:tc>
        <w:tc>
          <w:tcPr>
            <w:tcW w:w="0" w:type="auto"/>
            <w:vAlign w:val="center"/>
            <w:hideMark/>
          </w:tcPr>
          <w:p w14:paraId="53634864" w14:textId="77777777" w:rsidR="00566BB5" w:rsidRPr="00566BB5" w:rsidRDefault="00566BB5" w:rsidP="00566BB5">
            <w:pPr>
              <w:rPr>
                <w:b/>
                <w:bCs/>
              </w:rPr>
            </w:pPr>
            <w:r w:rsidRPr="00566BB5">
              <w:rPr>
                <w:b/>
                <w:bCs/>
              </w:rPr>
              <w:t>Satılan Birim</w:t>
            </w:r>
          </w:p>
        </w:tc>
        <w:tc>
          <w:tcPr>
            <w:tcW w:w="0" w:type="auto"/>
            <w:vAlign w:val="center"/>
            <w:hideMark/>
          </w:tcPr>
          <w:p w14:paraId="22DD15B2" w14:textId="77777777" w:rsidR="00566BB5" w:rsidRPr="00566BB5" w:rsidRDefault="00566BB5" w:rsidP="00566BB5">
            <w:pPr>
              <w:rPr>
                <w:b/>
                <w:bCs/>
              </w:rPr>
            </w:pPr>
            <w:r w:rsidRPr="00566BB5">
              <w:rPr>
                <w:b/>
                <w:bCs/>
              </w:rPr>
              <w:t>Gelir ($)</w:t>
            </w:r>
          </w:p>
        </w:tc>
      </w:tr>
      <w:tr w:rsidR="00566BB5" w:rsidRPr="00566BB5" w14:paraId="6842E76F" w14:textId="77777777" w:rsidTr="00566BB5">
        <w:trPr>
          <w:tblCellSpacing w:w="15" w:type="dxa"/>
        </w:trPr>
        <w:tc>
          <w:tcPr>
            <w:tcW w:w="0" w:type="auto"/>
            <w:vAlign w:val="center"/>
            <w:hideMark/>
          </w:tcPr>
          <w:p w14:paraId="1870BD4E" w14:textId="77777777" w:rsidR="00566BB5" w:rsidRPr="00566BB5" w:rsidRDefault="00566BB5" w:rsidP="00566BB5">
            <w:r w:rsidRPr="00566BB5">
              <w:t>2019</w:t>
            </w:r>
          </w:p>
        </w:tc>
        <w:tc>
          <w:tcPr>
            <w:tcW w:w="0" w:type="auto"/>
            <w:vAlign w:val="center"/>
            <w:hideMark/>
          </w:tcPr>
          <w:p w14:paraId="381B2A1C" w14:textId="77777777" w:rsidR="00566BB5" w:rsidRPr="00566BB5" w:rsidRDefault="00566BB5" w:rsidP="00566BB5">
            <w:r w:rsidRPr="00566BB5">
              <w:t>5,169,832</w:t>
            </w:r>
          </w:p>
        </w:tc>
        <w:tc>
          <w:tcPr>
            <w:tcW w:w="0" w:type="auto"/>
            <w:vAlign w:val="center"/>
            <w:hideMark/>
          </w:tcPr>
          <w:p w14:paraId="052B46AC" w14:textId="77777777" w:rsidR="00566BB5" w:rsidRPr="00566BB5" w:rsidRDefault="00566BB5" w:rsidP="00566BB5">
            <w:r w:rsidRPr="00566BB5">
              <w:t>5,607,306,562</w:t>
            </w:r>
          </w:p>
        </w:tc>
      </w:tr>
      <w:tr w:rsidR="00566BB5" w:rsidRPr="00566BB5" w14:paraId="05A1C508" w14:textId="77777777" w:rsidTr="00566BB5">
        <w:trPr>
          <w:tblCellSpacing w:w="15" w:type="dxa"/>
        </w:trPr>
        <w:tc>
          <w:tcPr>
            <w:tcW w:w="0" w:type="auto"/>
            <w:vAlign w:val="center"/>
            <w:hideMark/>
          </w:tcPr>
          <w:p w14:paraId="69B57AF1" w14:textId="77777777" w:rsidR="00566BB5" w:rsidRPr="00566BB5" w:rsidRDefault="00566BB5" w:rsidP="00566BB5">
            <w:r w:rsidRPr="00566BB5">
              <w:t>2020</w:t>
            </w:r>
          </w:p>
        </w:tc>
        <w:tc>
          <w:tcPr>
            <w:tcW w:w="0" w:type="auto"/>
            <w:vAlign w:val="center"/>
            <w:hideMark/>
          </w:tcPr>
          <w:p w14:paraId="723A65C9" w14:textId="77777777" w:rsidR="00566BB5" w:rsidRPr="00566BB5" w:rsidRDefault="00566BB5" w:rsidP="00566BB5">
            <w:r w:rsidRPr="00566BB5">
              <w:t>5,952,857</w:t>
            </w:r>
          </w:p>
        </w:tc>
        <w:tc>
          <w:tcPr>
            <w:tcW w:w="0" w:type="auto"/>
            <w:vAlign w:val="center"/>
            <w:hideMark/>
          </w:tcPr>
          <w:p w14:paraId="455FC1FC" w14:textId="77777777" w:rsidR="00566BB5" w:rsidRPr="00566BB5" w:rsidRDefault="00566BB5" w:rsidP="00566BB5">
            <w:r w:rsidRPr="00566BB5">
              <w:t>5,426,482,415</w:t>
            </w:r>
          </w:p>
        </w:tc>
      </w:tr>
      <w:tr w:rsidR="00566BB5" w:rsidRPr="00566BB5" w14:paraId="3E72C4EB" w14:textId="77777777" w:rsidTr="00566BB5">
        <w:trPr>
          <w:tblCellSpacing w:w="15" w:type="dxa"/>
        </w:trPr>
        <w:tc>
          <w:tcPr>
            <w:tcW w:w="0" w:type="auto"/>
            <w:vAlign w:val="center"/>
            <w:hideMark/>
          </w:tcPr>
          <w:p w14:paraId="2A106746" w14:textId="77777777" w:rsidR="00566BB5" w:rsidRPr="00566BB5" w:rsidRDefault="00566BB5" w:rsidP="00566BB5">
            <w:r w:rsidRPr="00566BB5">
              <w:t>2021</w:t>
            </w:r>
          </w:p>
        </w:tc>
        <w:tc>
          <w:tcPr>
            <w:tcW w:w="0" w:type="auto"/>
            <w:vAlign w:val="center"/>
            <w:hideMark/>
          </w:tcPr>
          <w:p w14:paraId="5256B814" w14:textId="77777777" w:rsidR="00566BB5" w:rsidRPr="00566BB5" w:rsidRDefault="00566BB5" w:rsidP="00566BB5">
            <w:r w:rsidRPr="00566BB5">
              <w:t>5,881,490</w:t>
            </w:r>
          </w:p>
        </w:tc>
        <w:tc>
          <w:tcPr>
            <w:tcW w:w="0" w:type="auto"/>
            <w:vAlign w:val="center"/>
            <w:hideMark/>
          </w:tcPr>
          <w:p w14:paraId="63E0B453" w14:textId="77777777" w:rsidR="00566BB5" w:rsidRPr="00566BB5" w:rsidRDefault="00566BB5" w:rsidP="00566BB5">
            <w:r w:rsidRPr="00566BB5">
              <w:t>5,127,701,556</w:t>
            </w:r>
          </w:p>
        </w:tc>
      </w:tr>
      <w:tr w:rsidR="00566BB5" w:rsidRPr="00566BB5" w14:paraId="3AF6FBFA" w14:textId="77777777" w:rsidTr="00566BB5">
        <w:trPr>
          <w:tblCellSpacing w:w="15" w:type="dxa"/>
        </w:trPr>
        <w:tc>
          <w:tcPr>
            <w:tcW w:w="0" w:type="auto"/>
            <w:vAlign w:val="center"/>
            <w:hideMark/>
          </w:tcPr>
          <w:p w14:paraId="53F9535F" w14:textId="77777777" w:rsidR="00566BB5" w:rsidRPr="00566BB5" w:rsidRDefault="00566BB5" w:rsidP="00566BB5">
            <w:r w:rsidRPr="00566BB5">
              <w:t>2022</w:t>
            </w:r>
          </w:p>
        </w:tc>
        <w:tc>
          <w:tcPr>
            <w:tcW w:w="0" w:type="auto"/>
            <w:vAlign w:val="center"/>
            <w:hideMark/>
          </w:tcPr>
          <w:p w14:paraId="1F0041D9" w14:textId="77777777" w:rsidR="00566BB5" w:rsidRPr="00566BB5" w:rsidRDefault="00566BB5" w:rsidP="00566BB5">
            <w:r w:rsidRPr="00566BB5">
              <w:t>5,214,853</w:t>
            </w:r>
          </w:p>
        </w:tc>
        <w:tc>
          <w:tcPr>
            <w:tcW w:w="0" w:type="auto"/>
            <w:vAlign w:val="center"/>
            <w:hideMark/>
          </w:tcPr>
          <w:p w14:paraId="67EAEF9B" w14:textId="77777777" w:rsidR="00566BB5" w:rsidRPr="00566BB5" w:rsidRDefault="00566BB5" w:rsidP="00566BB5">
            <w:r w:rsidRPr="00566BB5">
              <w:t>4,803,942,913</w:t>
            </w:r>
          </w:p>
        </w:tc>
      </w:tr>
      <w:tr w:rsidR="00566BB5" w:rsidRPr="00566BB5" w14:paraId="55512F4D" w14:textId="77777777" w:rsidTr="00566BB5">
        <w:trPr>
          <w:tblCellSpacing w:w="15" w:type="dxa"/>
        </w:trPr>
        <w:tc>
          <w:tcPr>
            <w:tcW w:w="0" w:type="auto"/>
            <w:vAlign w:val="center"/>
            <w:hideMark/>
          </w:tcPr>
          <w:p w14:paraId="302D8A86" w14:textId="77777777" w:rsidR="00566BB5" w:rsidRPr="00566BB5" w:rsidRDefault="00566BB5" w:rsidP="00566BB5">
            <w:r w:rsidRPr="00566BB5">
              <w:t>2023</w:t>
            </w:r>
          </w:p>
        </w:tc>
        <w:tc>
          <w:tcPr>
            <w:tcW w:w="0" w:type="auto"/>
            <w:vAlign w:val="center"/>
            <w:hideMark/>
          </w:tcPr>
          <w:p w14:paraId="5E281550" w14:textId="77777777" w:rsidR="00566BB5" w:rsidRPr="00566BB5" w:rsidRDefault="00566BB5" w:rsidP="00566BB5">
            <w:r w:rsidRPr="00566BB5">
              <w:t>5,709,287</w:t>
            </w:r>
          </w:p>
        </w:tc>
        <w:tc>
          <w:tcPr>
            <w:tcW w:w="0" w:type="auto"/>
            <w:vAlign w:val="center"/>
            <w:hideMark/>
          </w:tcPr>
          <w:p w14:paraId="42C687B6" w14:textId="77777777" w:rsidR="00566BB5" w:rsidRPr="00566BB5" w:rsidRDefault="00566BB5" w:rsidP="00566BB5">
            <w:r w:rsidRPr="00566BB5">
              <w:t>4,172,478,016</w:t>
            </w:r>
          </w:p>
        </w:tc>
      </w:tr>
      <w:tr w:rsidR="00566BB5" w:rsidRPr="00566BB5" w14:paraId="4171BF1F" w14:textId="77777777" w:rsidTr="00566BB5">
        <w:trPr>
          <w:tblCellSpacing w:w="15" w:type="dxa"/>
        </w:trPr>
        <w:tc>
          <w:tcPr>
            <w:tcW w:w="0" w:type="auto"/>
            <w:vAlign w:val="center"/>
            <w:hideMark/>
          </w:tcPr>
          <w:p w14:paraId="2690832D" w14:textId="77777777" w:rsidR="00566BB5" w:rsidRPr="00566BB5" w:rsidRDefault="00566BB5" w:rsidP="00566BB5">
            <w:r w:rsidRPr="00566BB5">
              <w:t>2024</w:t>
            </w:r>
          </w:p>
        </w:tc>
        <w:tc>
          <w:tcPr>
            <w:tcW w:w="0" w:type="auto"/>
            <w:vAlign w:val="center"/>
            <w:hideMark/>
          </w:tcPr>
          <w:p w14:paraId="110525E6" w14:textId="77777777" w:rsidR="00566BB5" w:rsidRPr="00566BB5" w:rsidRDefault="00566BB5" w:rsidP="00566BB5">
            <w:r w:rsidRPr="00566BB5">
              <w:t>4,914,671</w:t>
            </w:r>
          </w:p>
        </w:tc>
        <w:tc>
          <w:tcPr>
            <w:tcW w:w="0" w:type="auto"/>
            <w:vAlign w:val="center"/>
            <w:hideMark/>
          </w:tcPr>
          <w:p w14:paraId="0D8BA626" w14:textId="77777777" w:rsidR="00566BB5" w:rsidRPr="00566BB5" w:rsidRDefault="00566BB5" w:rsidP="00566BB5">
            <w:r w:rsidRPr="00566BB5">
              <w:t>5,059,420,435</w:t>
            </w:r>
          </w:p>
        </w:tc>
      </w:tr>
    </w:tbl>
    <w:tbl>
      <w:tblPr>
        <w:tblpPr w:leftFromText="141" w:rightFromText="141" w:vertAnchor="text" w:horzAnchor="margin" w:tblpXSpec="center" w:tblpY="-373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
        <w:gridCol w:w="1196"/>
      </w:tblGrid>
      <w:tr w:rsidR="00566BB5" w:rsidRPr="00566BB5" w14:paraId="63554605" w14:textId="77777777" w:rsidTr="00566BB5">
        <w:trPr>
          <w:tblHeader/>
          <w:tblCellSpacing w:w="15" w:type="dxa"/>
        </w:trPr>
        <w:tc>
          <w:tcPr>
            <w:tcW w:w="0" w:type="auto"/>
            <w:vAlign w:val="center"/>
            <w:hideMark/>
          </w:tcPr>
          <w:p w14:paraId="198DD796" w14:textId="77777777" w:rsidR="00566BB5" w:rsidRPr="00566BB5" w:rsidRDefault="00566BB5" w:rsidP="00566BB5">
            <w:pPr>
              <w:rPr>
                <w:b/>
                <w:bCs/>
              </w:rPr>
            </w:pPr>
            <w:r w:rsidRPr="00566BB5">
              <w:rPr>
                <w:b/>
                <w:bCs/>
              </w:rPr>
              <w:t>Yıl</w:t>
            </w:r>
          </w:p>
        </w:tc>
        <w:tc>
          <w:tcPr>
            <w:tcW w:w="0" w:type="auto"/>
            <w:vAlign w:val="center"/>
            <w:hideMark/>
          </w:tcPr>
          <w:p w14:paraId="71945A33" w14:textId="77777777" w:rsidR="00566BB5" w:rsidRPr="00566BB5" w:rsidRDefault="00566BB5" w:rsidP="00566BB5">
            <w:pPr>
              <w:rPr>
                <w:b/>
                <w:bCs/>
              </w:rPr>
            </w:pPr>
            <w:r w:rsidRPr="00566BB5">
              <w:rPr>
                <w:b/>
                <w:bCs/>
              </w:rPr>
              <w:t>Büyüme (%)</w:t>
            </w:r>
          </w:p>
        </w:tc>
      </w:tr>
      <w:tr w:rsidR="00566BB5" w:rsidRPr="00566BB5" w14:paraId="11B40E11" w14:textId="77777777" w:rsidTr="00566BB5">
        <w:trPr>
          <w:tblCellSpacing w:w="15" w:type="dxa"/>
        </w:trPr>
        <w:tc>
          <w:tcPr>
            <w:tcW w:w="0" w:type="auto"/>
            <w:vAlign w:val="center"/>
            <w:hideMark/>
          </w:tcPr>
          <w:p w14:paraId="05A9BF15" w14:textId="77777777" w:rsidR="00566BB5" w:rsidRPr="00566BB5" w:rsidRDefault="00566BB5" w:rsidP="00566BB5">
            <w:r w:rsidRPr="00566BB5">
              <w:t>2020</w:t>
            </w:r>
          </w:p>
        </w:tc>
        <w:tc>
          <w:tcPr>
            <w:tcW w:w="0" w:type="auto"/>
            <w:vAlign w:val="center"/>
            <w:hideMark/>
          </w:tcPr>
          <w:p w14:paraId="5C144BFD" w14:textId="77777777" w:rsidR="00566BB5" w:rsidRPr="00566BB5" w:rsidRDefault="00566BB5" w:rsidP="00566BB5">
            <w:r w:rsidRPr="00566BB5">
              <w:t>15.15</w:t>
            </w:r>
          </w:p>
        </w:tc>
      </w:tr>
      <w:tr w:rsidR="00566BB5" w:rsidRPr="00566BB5" w14:paraId="071A97F9" w14:textId="77777777" w:rsidTr="00566BB5">
        <w:trPr>
          <w:tblCellSpacing w:w="15" w:type="dxa"/>
        </w:trPr>
        <w:tc>
          <w:tcPr>
            <w:tcW w:w="0" w:type="auto"/>
            <w:vAlign w:val="center"/>
            <w:hideMark/>
          </w:tcPr>
          <w:p w14:paraId="438C5DE5" w14:textId="77777777" w:rsidR="00566BB5" w:rsidRPr="00566BB5" w:rsidRDefault="00566BB5" w:rsidP="00566BB5">
            <w:r w:rsidRPr="00566BB5">
              <w:t>2021</w:t>
            </w:r>
          </w:p>
        </w:tc>
        <w:tc>
          <w:tcPr>
            <w:tcW w:w="0" w:type="auto"/>
            <w:vAlign w:val="center"/>
            <w:hideMark/>
          </w:tcPr>
          <w:p w14:paraId="7AFAEB1C" w14:textId="77777777" w:rsidR="00566BB5" w:rsidRPr="00566BB5" w:rsidRDefault="00566BB5" w:rsidP="00566BB5">
            <w:r w:rsidRPr="00566BB5">
              <w:t>-1.20</w:t>
            </w:r>
          </w:p>
        </w:tc>
      </w:tr>
      <w:tr w:rsidR="00566BB5" w:rsidRPr="00566BB5" w14:paraId="1DE70E36" w14:textId="77777777" w:rsidTr="00566BB5">
        <w:trPr>
          <w:tblCellSpacing w:w="15" w:type="dxa"/>
        </w:trPr>
        <w:tc>
          <w:tcPr>
            <w:tcW w:w="0" w:type="auto"/>
            <w:vAlign w:val="center"/>
            <w:hideMark/>
          </w:tcPr>
          <w:p w14:paraId="2244D63E" w14:textId="77777777" w:rsidR="00566BB5" w:rsidRPr="00566BB5" w:rsidRDefault="00566BB5" w:rsidP="00566BB5">
            <w:r w:rsidRPr="00566BB5">
              <w:t>2022</w:t>
            </w:r>
          </w:p>
        </w:tc>
        <w:tc>
          <w:tcPr>
            <w:tcW w:w="0" w:type="auto"/>
            <w:vAlign w:val="center"/>
            <w:hideMark/>
          </w:tcPr>
          <w:p w14:paraId="45DBD77F" w14:textId="77777777" w:rsidR="00566BB5" w:rsidRPr="00566BB5" w:rsidRDefault="00566BB5" w:rsidP="00566BB5">
            <w:r w:rsidRPr="00566BB5">
              <w:t>-11.33</w:t>
            </w:r>
          </w:p>
        </w:tc>
      </w:tr>
      <w:tr w:rsidR="00566BB5" w:rsidRPr="00566BB5" w14:paraId="11F18B1F" w14:textId="77777777" w:rsidTr="00566BB5">
        <w:trPr>
          <w:tblCellSpacing w:w="15" w:type="dxa"/>
        </w:trPr>
        <w:tc>
          <w:tcPr>
            <w:tcW w:w="0" w:type="auto"/>
            <w:vAlign w:val="center"/>
            <w:hideMark/>
          </w:tcPr>
          <w:p w14:paraId="4418F6BF" w14:textId="77777777" w:rsidR="00566BB5" w:rsidRPr="00566BB5" w:rsidRDefault="00566BB5" w:rsidP="00566BB5">
            <w:r w:rsidRPr="00566BB5">
              <w:t>2023</w:t>
            </w:r>
          </w:p>
        </w:tc>
        <w:tc>
          <w:tcPr>
            <w:tcW w:w="0" w:type="auto"/>
            <w:vAlign w:val="center"/>
            <w:hideMark/>
          </w:tcPr>
          <w:p w14:paraId="0CBEE205" w14:textId="77777777" w:rsidR="00566BB5" w:rsidRPr="00566BB5" w:rsidRDefault="00566BB5" w:rsidP="00566BB5">
            <w:r w:rsidRPr="00566BB5">
              <w:t>9.48</w:t>
            </w:r>
          </w:p>
        </w:tc>
      </w:tr>
      <w:tr w:rsidR="00566BB5" w:rsidRPr="00566BB5" w14:paraId="7F73802E" w14:textId="77777777" w:rsidTr="00566BB5">
        <w:trPr>
          <w:tblCellSpacing w:w="15" w:type="dxa"/>
        </w:trPr>
        <w:tc>
          <w:tcPr>
            <w:tcW w:w="0" w:type="auto"/>
            <w:vAlign w:val="center"/>
            <w:hideMark/>
          </w:tcPr>
          <w:p w14:paraId="7A72EBAA" w14:textId="77777777" w:rsidR="00566BB5" w:rsidRPr="00566BB5" w:rsidRDefault="00566BB5" w:rsidP="00566BB5">
            <w:r w:rsidRPr="00566BB5">
              <w:t>2024</w:t>
            </w:r>
          </w:p>
        </w:tc>
        <w:tc>
          <w:tcPr>
            <w:tcW w:w="0" w:type="auto"/>
            <w:vAlign w:val="center"/>
            <w:hideMark/>
          </w:tcPr>
          <w:p w14:paraId="25C7DCEF" w14:textId="77777777" w:rsidR="00566BB5" w:rsidRPr="00566BB5" w:rsidRDefault="00566BB5" w:rsidP="00566BB5">
            <w:r w:rsidRPr="00566BB5">
              <w:t>-13.92</w:t>
            </w:r>
          </w:p>
        </w:tc>
      </w:tr>
    </w:tbl>
    <w:p w14:paraId="07158595" w14:textId="77777777" w:rsidR="00566BB5" w:rsidRDefault="00566BB5" w:rsidP="00E15345"/>
    <w:p w14:paraId="2AEBF015" w14:textId="77777777" w:rsidR="00565124" w:rsidRDefault="00565124" w:rsidP="00E15345"/>
    <w:p w14:paraId="41F5EEC0" w14:textId="609E89C3" w:rsidR="00565124" w:rsidRDefault="00565124" w:rsidP="00E15345">
      <w:r w:rsidRPr="00565124">
        <w:t>Samsung'un satış analizi verilerine dayanarak yapılan kapsamlı incelemede, bölgesel performans farklılıkları</w:t>
      </w:r>
      <w:r>
        <w:t xml:space="preserve"> </w:t>
      </w:r>
      <w:r w:rsidRPr="00565124">
        <w:t>ve dönemsel trendler önemli bulgular ortaya koymuştur. Özellikle 5G özellikli modellerin satış</w:t>
      </w:r>
      <w:r>
        <w:t xml:space="preserve">larının </w:t>
      </w:r>
      <w:r w:rsidRPr="00565124">
        <w:t>yüksek olması, tüketicilerin yeni teknolojiye olan ilgisini göstermektedir. Bölgesel analizde, her bölgenin kendine özgü satış dinamikleri ve tercih ettiği model çeşitleri olduğu gözlemlenmiştir. Çeyreklik satış trendleri incelendiğinde, belirli dönemlerde satışların artış gösterdiği ve bu artışların genellikle yeni model</w:t>
      </w:r>
      <w:r>
        <w:t xml:space="preserve">lerin tanıtımları </w:t>
      </w:r>
      <w:r w:rsidRPr="00565124">
        <w:t>veya teknolojik yeniliklerle örtüştüğü görülmüştür. Ayrıca, pazar payı ve gelir analizleri, Samsung'un farklı bölgelerde farklı stratejilerle başarı elde ettiğini ve gelir artışında önemli rol oynadığını ortaya koymuştur.</w:t>
      </w:r>
    </w:p>
    <w:p w14:paraId="7818F79D" w14:textId="6E95C948" w:rsidR="00F329E5" w:rsidRPr="00E15345" w:rsidRDefault="00F329E5" w:rsidP="00E15345"/>
    <w:sectPr w:rsidR="00F329E5" w:rsidRPr="00E15345" w:rsidSect="00DE7D75">
      <w:pgSz w:w="11900" w:h="16840" w:code="9"/>
      <w:pgMar w:top="641" w:right="1678" w:bottom="482" w:left="1281" w:header="272" w:footer="28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49"/>
    <w:rsid w:val="001D027C"/>
    <w:rsid w:val="003A7348"/>
    <w:rsid w:val="00565124"/>
    <w:rsid w:val="00566BB5"/>
    <w:rsid w:val="00615ECF"/>
    <w:rsid w:val="007F7C36"/>
    <w:rsid w:val="00825F3B"/>
    <w:rsid w:val="00883657"/>
    <w:rsid w:val="008C1CA9"/>
    <w:rsid w:val="009E0118"/>
    <w:rsid w:val="00A94AF3"/>
    <w:rsid w:val="00BD596E"/>
    <w:rsid w:val="00BF18D6"/>
    <w:rsid w:val="00C86E5C"/>
    <w:rsid w:val="00D5021E"/>
    <w:rsid w:val="00D55B92"/>
    <w:rsid w:val="00DE7D75"/>
    <w:rsid w:val="00E15345"/>
    <w:rsid w:val="00F02449"/>
    <w:rsid w:val="00F329E5"/>
    <w:rsid w:val="00F922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C14F"/>
  <w15:chartTrackingRefBased/>
  <w15:docId w15:val="{F9DE024B-AF70-4281-96C7-3744F3E2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2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02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0244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0244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0244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024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4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4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4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44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0244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0244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0244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0244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024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4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4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449"/>
    <w:rPr>
      <w:rFonts w:eastAsiaTheme="majorEastAsia" w:cstheme="majorBidi"/>
      <w:color w:val="272727" w:themeColor="text1" w:themeTint="D8"/>
    </w:rPr>
  </w:style>
  <w:style w:type="paragraph" w:styleId="KonuBal">
    <w:name w:val="Title"/>
    <w:basedOn w:val="Normal"/>
    <w:next w:val="Normal"/>
    <w:link w:val="KonuBalChar"/>
    <w:uiPriority w:val="10"/>
    <w:qFormat/>
    <w:rsid w:val="00F02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4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4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4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4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449"/>
    <w:rPr>
      <w:i/>
      <w:iCs/>
      <w:color w:val="404040" w:themeColor="text1" w:themeTint="BF"/>
    </w:rPr>
  </w:style>
  <w:style w:type="paragraph" w:styleId="ListeParagraf">
    <w:name w:val="List Paragraph"/>
    <w:basedOn w:val="Normal"/>
    <w:uiPriority w:val="34"/>
    <w:qFormat/>
    <w:rsid w:val="00F02449"/>
    <w:pPr>
      <w:ind w:left="720"/>
      <w:contextualSpacing/>
    </w:pPr>
  </w:style>
  <w:style w:type="character" w:styleId="GlVurgulama">
    <w:name w:val="Intense Emphasis"/>
    <w:basedOn w:val="VarsaylanParagrafYazTipi"/>
    <w:uiPriority w:val="21"/>
    <w:qFormat/>
    <w:rsid w:val="00F02449"/>
    <w:rPr>
      <w:i/>
      <w:iCs/>
      <w:color w:val="2F5496" w:themeColor="accent1" w:themeShade="BF"/>
    </w:rPr>
  </w:style>
  <w:style w:type="paragraph" w:styleId="GlAlnt">
    <w:name w:val="Intense Quote"/>
    <w:basedOn w:val="Normal"/>
    <w:next w:val="Normal"/>
    <w:link w:val="GlAlntChar"/>
    <w:uiPriority w:val="30"/>
    <w:qFormat/>
    <w:rsid w:val="00F02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02449"/>
    <w:rPr>
      <w:i/>
      <w:iCs/>
      <w:color w:val="2F5496" w:themeColor="accent1" w:themeShade="BF"/>
    </w:rPr>
  </w:style>
  <w:style w:type="character" w:styleId="GlBavuru">
    <w:name w:val="Intense Reference"/>
    <w:basedOn w:val="VarsaylanParagrafYazTipi"/>
    <w:uiPriority w:val="32"/>
    <w:qFormat/>
    <w:rsid w:val="00F024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48005">
      <w:bodyDiv w:val="1"/>
      <w:marLeft w:val="0"/>
      <w:marRight w:val="0"/>
      <w:marTop w:val="0"/>
      <w:marBottom w:val="0"/>
      <w:divBdr>
        <w:top w:val="none" w:sz="0" w:space="0" w:color="auto"/>
        <w:left w:val="none" w:sz="0" w:space="0" w:color="auto"/>
        <w:bottom w:val="none" w:sz="0" w:space="0" w:color="auto"/>
        <w:right w:val="none" w:sz="0" w:space="0" w:color="auto"/>
      </w:divBdr>
    </w:div>
    <w:div w:id="205801979">
      <w:bodyDiv w:val="1"/>
      <w:marLeft w:val="0"/>
      <w:marRight w:val="0"/>
      <w:marTop w:val="0"/>
      <w:marBottom w:val="0"/>
      <w:divBdr>
        <w:top w:val="none" w:sz="0" w:space="0" w:color="auto"/>
        <w:left w:val="none" w:sz="0" w:space="0" w:color="auto"/>
        <w:bottom w:val="none" w:sz="0" w:space="0" w:color="auto"/>
        <w:right w:val="none" w:sz="0" w:space="0" w:color="auto"/>
      </w:divBdr>
    </w:div>
    <w:div w:id="213079017">
      <w:bodyDiv w:val="1"/>
      <w:marLeft w:val="0"/>
      <w:marRight w:val="0"/>
      <w:marTop w:val="0"/>
      <w:marBottom w:val="0"/>
      <w:divBdr>
        <w:top w:val="none" w:sz="0" w:space="0" w:color="auto"/>
        <w:left w:val="none" w:sz="0" w:space="0" w:color="auto"/>
        <w:bottom w:val="none" w:sz="0" w:space="0" w:color="auto"/>
        <w:right w:val="none" w:sz="0" w:space="0" w:color="auto"/>
      </w:divBdr>
    </w:div>
    <w:div w:id="277420149">
      <w:bodyDiv w:val="1"/>
      <w:marLeft w:val="0"/>
      <w:marRight w:val="0"/>
      <w:marTop w:val="0"/>
      <w:marBottom w:val="0"/>
      <w:divBdr>
        <w:top w:val="none" w:sz="0" w:space="0" w:color="auto"/>
        <w:left w:val="none" w:sz="0" w:space="0" w:color="auto"/>
        <w:bottom w:val="none" w:sz="0" w:space="0" w:color="auto"/>
        <w:right w:val="none" w:sz="0" w:space="0" w:color="auto"/>
      </w:divBdr>
    </w:div>
    <w:div w:id="406461962">
      <w:bodyDiv w:val="1"/>
      <w:marLeft w:val="0"/>
      <w:marRight w:val="0"/>
      <w:marTop w:val="0"/>
      <w:marBottom w:val="0"/>
      <w:divBdr>
        <w:top w:val="none" w:sz="0" w:space="0" w:color="auto"/>
        <w:left w:val="none" w:sz="0" w:space="0" w:color="auto"/>
        <w:bottom w:val="none" w:sz="0" w:space="0" w:color="auto"/>
        <w:right w:val="none" w:sz="0" w:space="0" w:color="auto"/>
      </w:divBdr>
    </w:div>
    <w:div w:id="452871347">
      <w:bodyDiv w:val="1"/>
      <w:marLeft w:val="0"/>
      <w:marRight w:val="0"/>
      <w:marTop w:val="0"/>
      <w:marBottom w:val="0"/>
      <w:divBdr>
        <w:top w:val="none" w:sz="0" w:space="0" w:color="auto"/>
        <w:left w:val="none" w:sz="0" w:space="0" w:color="auto"/>
        <w:bottom w:val="none" w:sz="0" w:space="0" w:color="auto"/>
        <w:right w:val="none" w:sz="0" w:space="0" w:color="auto"/>
      </w:divBdr>
    </w:div>
    <w:div w:id="505481314">
      <w:bodyDiv w:val="1"/>
      <w:marLeft w:val="0"/>
      <w:marRight w:val="0"/>
      <w:marTop w:val="0"/>
      <w:marBottom w:val="0"/>
      <w:divBdr>
        <w:top w:val="none" w:sz="0" w:space="0" w:color="auto"/>
        <w:left w:val="none" w:sz="0" w:space="0" w:color="auto"/>
        <w:bottom w:val="none" w:sz="0" w:space="0" w:color="auto"/>
        <w:right w:val="none" w:sz="0" w:space="0" w:color="auto"/>
      </w:divBdr>
    </w:div>
    <w:div w:id="550922040">
      <w:bodyDiv w:val="1"/>
      <w:marLeft w:val="0"/>
      <w:marRight w:val="0"/>
      <w:marTop w:val="0"/>
      <w:marBottom w:val="0"/>
      <w:divBdr>
        <w:top w:val="none" w:sz="0" w:space="0" w:color="auto"/>
        <w:left w:val="none" w:sz="0" w:space="0" w:color="auto"/>
        <w:bottom w:val="none" w:sz="0" w:space="0" w:color="auto"/>
        <w:right w:val="none" w:sz="0" w:space="0" w:color="auto"/>
      </w:divBdr>
    </w:div>
    <w:div w:id="678191261">
      <w:bodyDiv w:val="1"/>
      <w:marLeft w:val="0"/>
      <w:marRight w:val="0"/>
      <w:marTop w:val="0"/>
      <w:marBottom w:val="0"/>
      <w:divBdr>
        <w:top w:val="none" w:sz="0" w:space="0" w:color="auto"/>
        <w:left w:val="none" w:sz="0" w:space="0" w:color="auto"/>
        <w:bottom w:val="none" w:sz="0" w:space="0" w:color="auto"/>
        <w:right w:val="none" w:sz="0" w:space="0" w:color="auto"/>
      </w:divBdr>
    </w:div>
    <w:div w:id="706107183">
      <w:bodyDiv w:val="1"/>
      <w:marLeft w:val="0"/>
      <w:marRight w:val="0"/>
      <w:marTop w:val="0"/>
      <w:marBottom w:val="0"/>
      <w:divBdr>
        <w:top w:val="none" w:sz="0" w:space="0" w:color="auto"/>
        <w:left w:val="none" w:sz="0" w:space="0" w:color="auto"/>
        <w:bottom w:val="none" w:sz="0" w:space="0" w:color="auto"/>
        <w:right w:val="none" w:sz="0" w:space="0" w:color="auto"/>
      </w:divBdr>
    </w:div>
    <w:div w:id="731080698">
      <w:bodyDiv w:val="1"/>
      <w:marLeft w:val="0"/>
      <w:marRight w:val="0"/>
      <w:marTop w:val="0"/>
      <w:marBottom w:val="0"/>
      <w:divBdr>
        <w:top w:val="none" w:sz="0" w:space="0" w:color="auto"/>
        <w:left w:val="none" w:sz="0" w:space="0" w:color="auto"/>
        <w:bottom w:val="none" w:sz="0" w:space="0" w:color="auto"/>
        <w:right w:val="none" w:sz="0" w:space="0" w:color="auto"/>
      </w:divBdr>
    </w:div>
    <w:div w:id="743334720">
      <w:bodyDiv w:val="1"/>
      <w:marLeft w:val="0"/>
      <w:marRight w:val="0"/>
      <w:marTop w:val="0"/>
      <w:marBottom w:val="0"/>
      <w:divBdr>
        <w:top w:val="none" w:sz="0" w:space="0" w:color="auto"/>
        <w:left w:val="none" w:sz="0" w:space="0" w:color="auto"/>
        <w:bottom w:val="none" w:sz="0" w:space="0" w:color="auto"/>
        <w:right w:val="none" w:sz="0" w:space="0" w:color="auto"/>
      </w:divBdr>
    </w:div>
    <w:div w:id="835267955">
      <w:bodyDiv w:val="1"/>
      <w:marLeft w:val="0"/>
      <w:marRight w:val="0"/>
      <w:marTop w:val="0"/>
      <w:marBottom w:val="0"/>
      <w:divBdr>
        <w:top w:val="none" w:sz="0" w:space="0" w:color="auto"/>
        <w:left w:val="none" w:sz="0" w:space="0" w:color="auto"/>
        <w:bottom w:val="none" w:sz="0" w:space="0" w:color="auto"/>
        <w:right w:val="none" w:sz="0" w:space="0" w:color="auto"/>
      </w:divBdr>
    </w:div>
    <w:div w:id="841628481">
      <w:bodyDiv w:val="1"/>
      <w:marLeft w:val="0"/>
      <w:marRight w:val="0"/>
      <w:marTop w:val="0"/>
      <w:marBottom w:val="0"/>
      <w:divBdr>
        <w:top w:val="none" w:sz="0" w:space="0" w:color="auto"/>
        <w:left w:val="none" w:sz="0" w:space="0" w:color="auto"/>
        <w:bottom w:val="none" w:sz="0" w:space="0" w:color="auto"/>
        <w:right w:val="none" w:sz="0" w:space="0" w:color="auto"/>
      </w:divBdr>
    </w:div>
    <w:div w:id="920990609">
      <w:bodyDiv w:val="1"/>
      <w:marLeft w:val="0"/>
      <w:marRight w:val="0"/>
      <w:marTop w:val="0"/>
      <w:marBottom w:val="0"/>
      <w:divBdr>
        <w:top w:val="none" w:sz="0" w:space="0" w:color="auto"/>
        <w:left w:val="none" w:sz="0" w:space="0" w:color="auto"/>
        <w:bottom w:val="none" w:sz="0" w:space="0" w:color="auto"/>
        <w:right w:val="none" w:sz="0" w:space="0" w:color="auto"/>
      </w:divBdr>
    </w:div>
    <w:div w:id="979845656">
      <w:bodyDiv w:val="1"/>
      <w:marLeft w:val="0"/>
      <w:marRight w:val="0"/>
      <w:marTop w:val="0"/>
      <w:marBottom w:val="0"/>
      <w:divBdr>
        <w:top w:val="none" w:sz="0" w:space="0" w:color="auto"/>
        <w:left w:val="none" w:sz="0" w:space="0" w:color="auto"/>
        <w:bottom w:val="none" w:sz="0" w:space="0" w:color="auto"/>
        <w:right w:val="none" w:sz="0" w:space="0" w:color="auto"/>
      </w:divBdr>
    </w:div>
    <w:div w:id="1001391685">
      <w:bodyDiv w:val="1"/>
      <w:marLeft w:val="0"/>
      <w:marRight w:val="0"/>
      <w:marTop w:val="0"/>
      <w:marBottom w:val="0"/>
      <w:divBdr>
        <w:top w:val="none" w:sz="0" w:space="0" w:color="auto"/>
        <w:left w:val="none" w:sz="0" w:space="0" w:color="auto"/>
        <w:bottom w:val="none" w:sz="0" w:space="0" w:color="auto"/>
        <w:right w:val="none" w:sz="0" w:space="0" w:color="auto"/>
      </w:divBdr>
    </w:div>
    <w:div w:id="1048263045">
      <w:bodyDiv w:val="1"/>
      <w:marLeft w:val="0"/>
      <w:marRight w:val="0"/>
      <w:marTop w:val="0"/>
      <w:marBottom w:val="0"/>
      <w:divBdr>
        <w:top w:val="none" w:sz="0" w:space="0" w:color="auto"/>
        <w:left w:val="none" w:sz="0" w:space="0" w:color="auto"/>
        <w:bottom w:val="none" w:sz="0" w:space="0" w:color="auto"/>
        <w:right w:val="none" w:sz="0" w:space="0" w:color="auto"/>
      </w:divBdr>
    </w:div>
    <w:div w:id="1083186922">
      <w:bodyDiv w:val="1"/>
      <w:marLeft w:val="0"/>
      <w:marRight w:val="0"/>
      <w:marTop w:val="0"/>
      <w:marBottom w:val="0"/>
      <w:divBdr>
        <w:top w:val="none" w:sz="0" w:space="0" w:color="auto"/>
        <w:left w:val="none" w:sz="0" w:space="0" w:color="auto"/>
        <w:bottom w:val="none" w:sz="0" w:space="0" w:color="auto"/>
        <w:right w:val="none" w:sz="0" w:space="0" w:color="auto"/>
      </w:divBdr>
    </w:div>
    <w:div w:id="1099912156">
      <w:bodyDiv w:val="1"/>
      <w:marLeft w:val="0"/>
      <w:marRight w:val="0"/>
      <w:marTop w:val="0"/>
      <w:marBottom w:val="0"/>
      <w:divBdr>
        <w:top w:val="none" w:sz="0" w:space="0" w:color="auto"/>
        <w:left w:val="none" w:sz="0" w:space="0" w:color="auto"/>
        <w:bottom w:val="none" w:sz="0" w:space="0" w:color="auto"/>
        <w:right w:val="none" w:sz="0" w:space="0" w:color="auto"/>
      </w:divBdr>
    </w:div>
    <w:div w:id="1124807964">
      <w:bodyDiv w:val="1"/>
      <w:marLeft w:val="0"/>
      <w:marRight w:val="0"/>
      <w:marTop w:val="0"/>
      <w:marBottom w:val="0"/>
      <w:divBdr>
        <w:top w:val="none" w:sz="0" w:space="0" w:color="auto"/>
        <w:left w:val="none" w:sz="0" w:space="0" w:color="auto"/>
        <w:bottom w:val="none" w:sz="0" w:space="0" w:color="auto"/>
        <w:right w:val="none" w:sz="0" w:space="0" w:color="auto"/>
      </w:divBdr>
    </w:div>
    <w:div w:id="1126701207">
      <w:bodyDiv w:val="1"/>
      <w:marLeft w:val="0"/>
      <w:marRight w:val="0"/>
      <w:marTop w:val="0"/>
      <w:marBottom w:val="0"/>
      <w:divBdr>
        <w:top w:val="none" w:sz="0" w:space="0" w:color="auto"/>
        <w:left w:val="none" w:sz="0" w:space="0" w:color="auto"/>
        <w:bottom w:val="none" w:sz="0" w:space="0" w:color="auto"/>
        <w:right w:val="none" w:sz="0" w:space="0" w:color="auto"/>
      </w:divBdr>
    </w:div>
    <w:div w:id="1139882295">
      <w:bodyDiv w:val="1"/>
      <w:marLeft w:val="0"/>
      <w:marRight w:val="0"/>
      <w:marTop w:val="0"/>
      <w:marBottom w:val="0"/>
      <w:divBdr>
        <w:top w:val="none" w:sz="0" w:space="0" w:color="auto"/>
        <w:left w:val="none" w:sz="0" w:space="0" w:color="auto"/>
        <w:bottom w:val="none" w:sz="0" w:space="0" w:color="auto"/>
        <w:right w:val="none" w:sz="0" w:space="0" w:color="auto"/>
      </w:divBdr>
    </w:div>
    <w:div w:id="1165366276">
      <w:bodyDiv w:val="1"/>
      <w:marLeft w:val="0"/>
      <w:marRight w:val="0"/>
      <w:marTop w:val="0"/>
      <w:marBottom w:val="0"/>
      <w:divBdr>
        <w:top w:val="none" w:sz="0" w:space="0" w:color="auto"/>
        <w:left w:val="none" w:sz="0" w:space="0" w:color="auto"/>
        <w:bottom w:val="none" w:sz="0" w:space="0" w:color="auto"/>
        <w:right w:val="none" w:sz="0" w:space="0" w:color="auto"/>
      </w:divBdr>
    </w:div>
    <w:div w:id="1176770085">
      <w:bodyDiv w:val="1"/>
      <w:marLeft w:val="0"/>
      <w:marRight w:val="0"/>
      <w:marTop w:val="0"/>
      <w:marBottom w:val="0"/>
      <w:divBdr>
        <w:top w:val="none" w:sz="0" w:space="0" w:color="auto"/>
        <w:left w:val="none" w:sz="0" w:space="0" w:color="auto"/>
        <w:bottom w:val="none" w:sz="0" w:space="0" w:color="auto"/>
        <w:right w:val="none" w:sz="0" w:space="0" w:color="auto"/>
      </w:divBdr>
    </w:div>
    <w:div w:id="1189829999">
      <w:bodyDiv w:val="1"/>
      <w:marLeft w:val="0"/>
      <w:marRight w:val="0"/>
      <w:marTop w:val="0"/>
      <w:marBottom w:val="0"/>
      <w:divBdr>
        <w:top w:val="none" w:sz="0" w:space="0" w:color="auto"/>
        <w:left w:val="none" w:sz="0" w:space="0" w:color="auto"/>
        <w:bottom w:val="none" w:sz="0" w:space="0" w:color="auto"/>
        <w:right w:val="none" w:sz="0" w:space="0" w:color="auto"/>
      </w:divBdr>
    </w:div>
    <w:div w:id="1248928130">
      <w:bodyDiv w:val="1"/>
      <w:marLeft w:val="0"/>
      <w:marRight w:val="0"/>
      <w:marTop w:val="0"/>
      <w:marBottom w:val="0"/>
      <w:divBdr>
        <w:top w:val="none" w:sz="0" w:space="0" w:color="auto"/>
        <w:left w:val="none" w:sz="0" w:space="0" w:color="auto"/>
        <w:bottom w:val="none" w:sz="0" w:space="0" w:color="auto"/>
        <w:right w:val="none" w:sz="0" w:space="0" w:color="auto"/>
      </w:divBdr>
    </w:div>
    <w:div w:id="1253507935">
      <w:bodyDiv w:val="1"/>
      <w:marLeft w:val="0"/>
      <w:marRight w:val="0"/>
      <w:marTop w:val="0"/>
      <w:marBottom w:val="0"/>
      <w:divBdr>
        <w:top w:val="none" w:sz="0" w:space="0" w:color="auto"/>
        <w:left w:val="none" w:sz="0" w:space="0" w:color="auto"/>
        <w:bottom w:val="none" w:sz="0" w:space="0" w:color="auto"/>
        <w:right w:val="none" w:sz="0" w:space="0" w:color="auto"/>
      </w:divBdr>
    </w:div>
    <w:div w:id="1277255147">
      <w:bodyDiv w:val="1"/>
      <w:marLeft w:val="0"/>
      <w:marRight w:val="0"/>
      <w:marTop w:val="0"/>
      <w:marBottom w:val="0"/>
      <w:divBdr>
        <w:top w:val="none" w:sz="0" w:space="0" w:color="auto"/>
        <w:left w:val="none" w:sz="0" w:space="0" w:color="auto"/>
        <w:bottom w:val="none" w:sz="0" w:space="0" w:color="auto"/>
        <w:right w:val="none" w:sz="0" w:space="0" w:color="auto"/>
      </w:divBdr>
    </w:div>
    <w:div w:id="1281838530">
      <w:bodyDiv w:val="1"/>
      <w:marLeft w:val="0"/>
      <w:marRight w:val="0"/>
      <w:marTop w:val="0"/>
      <w:marBottom w:val="0"/>
      <w:divBdr>
        <w:top w:val="none" w:sz="0" w:space="0" w:color="auto"/>
        <w:left w:val="none" w:sz="0" w:space="0" w:color="auto"/>
        <w:bottom w:val="none" w:sz="0" w:space="0" w:color="auto"/>
        <w:right w:val="none" w:sz="0" w:space="0" w:color="auto"/>
      </w:divBdr>
    </w:div>
    <w:div w:id="1363284943">
      <w:bodyDiv w:val="1"/>
      <w:marLeft w:val="0"/>
      <w:marRight w:val="0"/>
      <w:marTop w:val="0"/>
      <w:marBottom w:val="0"/>
      <w:divBdr>
        <w:top w:val="none" w:sz="0" w:space="0" w:color="auto"/>
        <w:left w:val="none" w:sz="0" w:space="0" w:color="auto"/>
        <w:bottom w:val="none" w:sz="0" w:space="0" w:color="auto"/>
        <w:right w:val="none" w:sz="0" w:space="0" w:color="auto"/>
      </w:divBdr>
    </w:div>
    <w:div w:id="1368869554">
      <w:bodyDiv w:val="1"/>
      <w:marLeft w:val="0"/>
      <w:marRight w:val="0"/>
      <w:marTop w:val="0"/>
      <w:marBottom w:val="0"/>
      <w:divBdr>
        <w:top w:val="none" w:sz="0" w:space="0" w:color="auto"/>
        <w:left w:val="none" w:sz="0" w:space="0" w:color="auto"/>
        <w:bottom w:val="none" w:sz="0" w:space="0" w:color="auto"/>
        <w:right w:val="none" w:sz="0" w:space="0" w:color="auto"/>
      </w:divBdr>
    </w:div>
    <w:div w:id="1403025438">
      <w:bodyDiv w:val="1"/>
      <w:marLeft w:val="0"/>
      <w:marRight w:val="0"/>
      <w:marTop w:val="0"/>
      <w:marBottom w:val="0"/>
      <w:divBdr>
        <w:top w:val="none" w:sz="0" w:space="0" w:color="auto"/>
        <w:left w:val="none" w:sz="0" w:space="0" w:color="auto"/>
        <w:bottom w:val="none" w:sz="0" w:space="0" w:color="auto"/>
        <w:right w:val="none" w:sz="0" w:space="0" w:color="auto"/>
      </w:divBdr>
    </w:div>
    <w:div w:id="1460956744">
      <w:bodyDiv w:val="1"/>
      <w:marLeft w:val="0"/>
      <w:marRight w:val="0"/>
      <w:marTop w:val="0"/>
      <w:marBottom w:val="0"/>
      <w:divBdr>
        <w:top w:val="none" w:sz="0" w:space="0" w:color="auto"/>
        <w:left w:val="none" w:sz="0" w:space="0" w:color="auto"/>
        <w:bottom w:val="none" w:sz="0" w:space="0" w:color="auto"/>
        <w:right w:val="none" w:sz="0" w:space="0" w:color="auto"/>
      </w:divBdr>
    </w:div>
    <w:div w:id="1525244061">
      <w:bodyDiv w:val="1"/>
      <w:marLeft w:val="0"/>
      <w:marRight w:val="0"/>
      <w:marTop w:val="0"/>
      <w:marBottom w:val="0"/>
      <w:divBdr>
        <w:top w:val="none" w:sz="0" w:space="0" w:color="auto"/>
        <w:left w:val="none" w:sz="0" w:space="0" w:color="auto"/>
        <w:bottom w:val="none" w:sz="0" w:space="0" w:color="auto"/>
        <w:right w:val="none" w:sz="0" w:space="0" w:color="auto"/>
      </w:divBdr>
    </w:div>
    <w:div w:id="1567254186">
      <w:bodyDiv w:val="1"/>
      <w:marLeft w:val="0"/>
      <w:marRight w:val="0"/>
      <w:marTop w:val="0"/>
      <w:marBottom w:val="0"/>
      <w:divBdr>
        <w:top w:val="none" w:sz="0" w:space="0" w:color="auto"/>
        <w:left w:val="none" w:sz="0" w:space="0" w:color="auto"/>
        <w:bottom w:val="none" w:sz="0" w:space="0" w:color="auto"/>
        <w:right w:val="none" w:sz="0" w:space="0" w:color="auto"/>
      </w:divBdr>
    </w:div>
    <w:div w:id="1591622008">
      <w:bodyDiv w:val="1"/>
      <w:marLeft w:val="0"/>
      <w:marRight w:val="0"/>
      <w:marTop w:val="0"/>
      <w:marBottom w:val="0"/>
      <w:divBdr>
        <w:top w:val="none" w:sz="0" w:space="0" w:color="auto"/>
        <w:left w:val="none" w:sz="0" w:space="0" w:color="auto"/>
        <w:bottom w:val="none" w:sz="0" w:space="0" w:color="auto"/>
        <w:right w:val="none" w:sz="0" w:space="0" w:color="auto"/>
      </w:divBdr>
    </w:div>
    <w:div w:id="1637562381">
      <w:bodyDiv w:val="1"/>
      <w:marLeft w:val="0"/>
      <w:marRight w:val="0"/>
      <w:marTop w:val="0"/>
      <w:marBottom w:val="0"/>
      <w:divBdr>
        <w:top w:val="none" w:sz="0" w:space="0" w:color="auto"/>
        <w:left w:val="none" w:sz="0" w:space="0" w:color="auto"/>
        <w:bottom w:val="none" w:sz="0" w:space="0" w:color="auto"/>
        <w:right w:val="none" w:sz="0" w:space="0" w:color="auto"/>
      </w:divBdr>
    </w:div>
    <w:div w:id="1647972454">
      <w:bodyDiv w:val="1"/>
      <w:marLeft w:val="0"/>
      <w:marRight w:val="0"/>
      <w:marTop w:val="0"/>
      <w:marBottom w:val="0"/>
      <w:divBdr>
        <w:top w:val="none" w:sz="0" w:space="0" w:color="auto"/>
        <w:left w:val="none" w:sz="0" w:space="0" w:color="auto"/>
        <w:bottom w:val="none" w:sz="0" w:space="0" w:color="auto"/>
        <w:right w:val="none" w:sz="0" w:space="0" w:color="auto"/>
      </w:divBdr>
    </w:div>
    <w:div w:id="1690720738">
      <w:bodyDiv w:val="1"/>
      <w:marLeft w:val="0"/>
      <w:marRight w:val="0"/>
      <w:marTop w:val="0"/>
      <w:marBottom w:val="0"/>
      <w:divBdr>
        <w:top w:val="none" w:sz="0" w:space="0" w:color="auto"/>
        <w:left w:val="none" w:sz="0" w:space="0" w:color="auto"/>
        <w:bottom w:val="none" w:sz="0" w:space="0" w:color="auto"/>
        <w:right w:val="none" w:sz="0" w:space="0" w:color="auto"/>
      </w:divBdr>
    </w:div>
    <w:div w:id="1723015676">
      <w:bodyDiv w:val="1"/>
      <w:marLeft w:val="0"/>
      <w:marRight w:val="0"/>
      <w:marTop w:val="0"/>
      <w:marBottom w:val="0"/>
      <w:divBdr>
        <w:top w:val="none" w:sz="0" w:space="0" w:color="auto"/>
        <w:left w:val="none" w:sz="0" w:space="0" w:color="auto"/>
        <w:bottom w:val="none" w:sz="0" w:space="0" w:color="auto"/>
        <w:right w:val="none" w:sz="0" w:space="0" w:color="auto"/>
      </w:divBdr>
    </w:div>
    <w:div w:id="1823157952">
      <w:bodyDiv w:val="1"/>
      <w:marLeft w:val="0"/>
      <w:marRight w:val="0"/>
      <w:marTop w:val="0"/>
      <w:marBottom w:val="0"/>
      <w:divBdr>
        <w:top w:val="none" w:sz="0" w:space="0" w:color="auto"/>
        <w:left w:val="none" w:sz="0" w:space="0" w:color="auto"/>
        <w:bottom w:val="none" w:sz="0" w:space="0" w:color="auto"/>
        <w:right w:val="none" w:sz="0" w:space="0" w:color="auto"/>
      </w:divBdr>
    </w:div>
    <w:div w:id="1886604577">
      <w:bodyDiv w:val="1"/>
      <w:marLeft w:val="0"/>
      <w:marRight w:val="0"/>
      <w:marTop w:val="0"/>
      <w:marBottom w:val="0"/>
      <w:divBdr>
        <w:top w:val="none" w:sz="0" w:space="0" w:color="auto"/>
        <w:left w:val="none" w:sz="0" w:space="0" w:color="auto"/>
        <w:bottom w:val="none" w:sz="0" w:space="0" w:color="auto"/>
        <w:right w:val="none" w:sz="0" w:space="0" w:color="auto"/>
      </w:divBdr>
    </w:div>
    <w:div w:id="1945529877">
      <w:bodyDiv w:val="1"/>
      <w:marLeft w:val="0"/>
      <w:marRight w:val="0"/>
      <w:marTop w:val="0"/>
      <w:marBottom w:val="0"/>
      <w:divBdr>
        <w:top w:val="none" w:sz="0" w:space="0" w:color="auto"/>
        <w:left w:val="none" w:sz="0" w:space="0" w:color="auto"/>
        <w:bottom w:val="none" w:sz="0" w:space="0" w:color="auto"/>
        <w:right w:val="none" w:sz="0" w:space="0" w:color="auto"/>
      </w:divBdr>
    </w:div>
    <w:div w:id="1958024006">
      <w:bodyDiv w:val="1"/>
      <w:marLeft w:val="0"/>
      <w:marRight w:val="0"/>
      <w:marTop w:val="0"/>
      <w:marBottom w:val="0"/>
      <w:divBdr>
        <w:top w:val="none" w:sz="0" w:space="0" w:color="auto"/>
        <w:left w:val="none" w:sz="0" w:space="0" w:color="auto"/>
        <w:bottom w:val="none" w:sz="0" w:space="0" w:color="auto"/>
        <w:right w:val="none" w:sz="0" w:space="0" w:color="auto"/>
      </w:divBdr>
    </w:div>
    <w:div w:id="2062944853">
      <w:bodyDiv w:val="1"/>
      <w:marLeft w:val="0"/>
      <w:marRight w:val="0"/>
      <w:marTop w:val="0"/>
      <w:marBottom w:val="0"/>
      <w:divBdr>
        <w:top w:val="none" w:sz="0" w:space="0" w:color="auto"/>
        <w:left w:val="none" w:sz="0" w:space="0" w:color="auto"/>
        <w:bottom w:val="none" w:sz="0" w:space="0" w:color="auto"/>
        <w:right w:val="none" w:sz="0" w:space="0" w:color="auto"/>
      </w:divBdr>
    </w:div>
    <w:div w:id="20988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633</Words>
  <Characters>3611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VOLKAN ÇINAR</dc:creator>
  <cp:keywords/>
  <dc:description/>
  <cp:lastModifiedBy>ALİ VOLKAN ÇINAR</cp:lastModifiedBy>
  <cp:revision>9</cp:revision>
  <dcterms:created xsi:type="dcterms:W3CDTF">2025-03-08T08:59:00Z</dcterms:created>
  <dcterms:modified xsi:type="dcterms:W3CDTF">2025-03-08T12:39:00Z</dcterms:modified>
</cp:coreProperties>
</file>