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9059A6" w:rsidRDefault="009059A6">
      <w:pPr>
        <w:spacing w:line="480" w:lineRule="auto"/>
        <w:jc w:val="center"/>
        <w:rPr>
          <w:rFonts w:ascii="Times New Roman" w:eastAsia="Times New Roman" w:hAnsi="Times New Roman" w:cs="Times New Roman"/>
          <w:sz w:val="24"/>
          <w:szCs w:val="24"/>
        </w:rPr>
      </w:pPr>
    </w:p>
    <w:p w14:paraId="00000002" w14:textId="77777777" w:rsidR="009059A6" w:rsidRDefault="009059A6">
      <w:pPr>
        <w:spacing w:line="480" w:lineRule="auto"/>
        <w:jc w:val="center"/>
        <w:rPr>
          <w:rFonts w:ascii="Times New Roman" w:eastAsia="Times New Roman" w:hAnsi="Times New Roman" w:cs="Times New Roman"/>
          <w:sz w:val="24"/>
          <w:szCs w:val="24"/>
        </w:rPr>
      </w:pPr>
    </w:p>
    <w:p w14:paraId="00000003" w14:textId="77777777" w:rsidR="009059A6" w:rsidRDefault="009059A6">
      <w:pPr>
        <w:spacing w:line="480" w:lineRule="auto"/>
        <w:jc w:val="center"/>
        <w:rPr>
          <w:rFonts w:ascii="Times New Roman" w:eastAsia="Times New Roman" w:hAnsi="Times New Roman" w:cs="Times New Roman"/>
          <w:sz w:val="24"/>
          <w:szCs w:val="24"/>
        </w:rPr>
      </w:pPr>
    </w:p>
    <w:p w14:paraId="00000004" w14:textId="77777777" w:rsidR="009059A6" w:rsidRDefault="009059A6">
      <w:pPr>
        <w:spacing w:line="480" w:lineRule="auto"/>
        <w:jc w:val="center"/>
        <w:rPr>
          <w:rFonts w:ascii="Times New Roman" w:eastAsia="Times New Roman" w:hAnsi="Times New Roman" w:cs="Times New Roman"/>
          <w:sz w:val="24"/>
          <w:szCs w:val="24"/>
        </w:rPr>
      </w:pPr>
    </w:p>
    <w:p w14:paraId="00000005" w14:textId="76C2656E" w:rsidR="009059A6" w:rsidRDefault="008B7AB9">
      <w:pPr>
        <w:spacing w:line="48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Module </w:t>
      </w:r>
      <w:r w:rsidR="004324BC">
        <w:rPr>
          <w:rFonts w:ascii="Times New Roman" w:eastAsia="Times New Roman" w:hAnsi="Times New Roman" w:cs="Times New Roman"/>
          <w:b/>
          <w:sz w:val="24"/>
          <w:szCs w:val="24"/>
        </w:rPr>
        <w:t>7</w:t>
      </w:r>
      <w:r>
        <w:rPr>
          <w:rFonts w:ascii="Times New Roman" w:eastAsia="Times New Roman" w:hAnsi="Times New Roman" w:cs="Times New Roman"/>
          <w:b/>
          <w:sz w:val="24"/>
          <w:szCs w:val="24"/>
        </w:rPr>
        <w:t xml:space="preserve">: </w:t>
      </w:r>
      <w:r w:rsidR="00D81084">
        <w:rPr>
          <w:rFonts w:ascii="Times New Roman" w:eastAsia="Times New Roman" w:hAnsi="Times New Roman" w:cs="Times New Roman"/>
          <w:b/>
          <w:sz w:val="24"/>
          <w:szCs w:val="24"/>
        </w:rPr>
        <w:t>Critical Thinking</w:t>
      </w:r>
    </w:p>
    <w:p w14:paraId="00000006" w14:textId="77777777" w:rsidR="009059A6" w:rsidRDefault="009059A6">
      <w:pPr>
        <w:spacing w:line="480" w:lineRule="auto"/>
        <w:jc w:val="center"/>
        <w:rPr>
          <w:rFonts w:ascii="Times New Roman" w:eastAsia="Times New Roman" w:hAnsi="Times New Roman" w:cs="Times New Roman"/>
          <w:b/>
          <w:sz w:val="24"/>
          <w:szCs w:val="24"/>
        </w:rPr>
      </w:pPr>
    </w:p>
    <w:p w14:paraId="00000007" w14:textId="70AFFA27" w:rsidR="009059A6" w:rsidRDefault="008B7AB9">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Alexander Vollen</w:t>
      </w:r>
    </w:p>
    <w:p w14:paraId="00000008" w14:textId="7F8F1716" w:rsidR="009059A6" w:rsidRDefault="008B7AB9">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Colorado State University Global</w:t>
      </w:r>
    </w:p>
    <w:p w14:paraId="00000009" w14:textId="7801D0FF" w:rsidR="009059A6" w:rsidRDefault="00546EEE">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MIS581</w:t>
      </w:r>
      <w:r w:rsidR="00EE23E2">
        <w:rPr>
          <w:rFonts w:ascii="Times New Roman" w:eastAsia="Times New Roman" w:hAnsi="Times New Roman" w:cs="Times New Roman"/>
          <w:sz w:val="24"/>
          <w:szCs w:val="24"/>
        </w:rPr>
        <w:t xml:space="preserve">: </w:t>
      </w:r>
      <w:r w:rsidR="00B1107A">
        <w:rPr>
          <w:rFonts w:ascii="Times New Roman" w:eastAsia="Times New Roman" w:hAnsi="Times New Roman" w:cs="Times New Roman"/>
          <w:sz w:val="24"/>
          <w:szCs w:val="24"/>
        </w:rPr>
        <w:t>Principles of Machine Learning</w:t>
      </w:r>
    </w:p>
    <w:p w14:paraId="0000000A" w14:textId="66B4EA3D" w:rsidR="009059A6" w:rsidRDefault="00546EEE">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Steve Chung</w:t>
      </w:r>
    </w:p>
    <w:p w14:paraId="0000000B" w14:textId="4799635B" w:rsidR="009059A6" w:rsidRDefault="002E660E">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April 2</w:t>
      </w:r>
      <w:r w:rsidRPr="002E660E">
        <w:rPr>
          <w:rFonts w:ascii="Times New Roman" w:eastAsia="Times New Roman" w:hAnsi="Times New Roman" w:cs="Times New Roman"/>
          <w:sz w:val="24"/>
          <w:szCs w:val="24"/>
          <w:vertAlign w:val="superscript"/>
        </w:rPr>
        <w:t>nd</w:t>
      </w:r>
      <w:r w:rsidR="00322B81">
        <w:rPr>
          <w:rFonts w:ascii="Times New Roman" w:eastAsia="Times New Roman" w:hAnsi="Times New Roman" w:cs="Times New Roman"/>
          <w:sz w:val="24"/>
          <w:szCs w:val="24"/>
        </w:rPr>
        <w:t>, 2026</w:t>
      </w:r>
    </w:p>
    <w:p w14:paraId="327D6C89" w14:textId="77777777" w:rsidR="008D7339" w:rsidRDefault="008D7339">
      <w:pPr>
        <w:spacing w:line="480" w:lineRule="auto"/>
        <w:jc w:val="center"/>
        <w:rPr>
          <w:rFonts w:ascii="Times New Roman" w:eastAsia="Times New Roman" w:hAnsi="Times New Roman" w:cs="Times New Roman"/>
          <w:sz w:val="24"/>
          <w:szCs w:val="24"/>
        </w:rPr>
      </w:pPr>
    </w:p>
    <w:p w14:paraId="3A50AD52" w14:textId="77777777" w:rsidR="008D7339" w:rsidRDefault="008D7339">
      <w:pPr>
        <w:spacing w:line="480" w:lineRule="auto"/>
        <w:jc w:val="center"/>
        <w:rPr>
          <w:rFonts w:ascii="Times New Roman" w:eastAsia="Times New Roman" w:hAnsi="Times New Roman" w:cs="Times New Roman"/>
          <w:sz w:val="24"/>
          <w:szCs w:val="24"/>
        </w:rPr>
      </w:pPr>
    </w:p>
    <w:p w14:paraId="1A13A377" w14:textId="77777777" w:rsidR="008D7339" w:rsidRDefault="008D7339">
      <w:pPr>
        <w:spacing w:line="480" w:lineRule="auto"/>
        <w:jc w:val="center"/>
        <w:rPr>
          <w:rFonts w:ascii="Times New Roman" w:eastAsia="Times New Roman" w:hAnsi="Times New Roman" w:cs="Times New Roman"/>
          <w:sz w:val="24"/>
          <w:szCs w:val="24"/>
        </w:rPr>
      </w:pPr>
    </w:p>
    <w:p w14:paraId="15731A6F" w14:textId="77777777" w:rsidR="008D7339" w:rsidRDefault="008D7339">
      <w:pPr>
        <w:spacing w:line="480" w:lineRule="auto"/>
        <w:jc w:val="center"/>
        <w:rPr>
          <w:rFonts w:ascii="Times New Roman" w:eastAsia="Times New Roman" w:hAnsi="Times New Roman" w:cs="Times New Roman"/>
          <w:sz w:val="24"/>
          <w:szCs w:val="24"/>
        </w:rPr>
      </w:pPr>
    </w:p>
    <w:p w14:paraId="094D3AC4" w14:textId="77777777" w:rsidR="008D7339" w:rsidRDefault="008D7339">
      <w:pPr>
        <w:spacing w:line="480" w:lineRule="auto"/>
        <w:jc w:val="center"/>
        <w:rPr>
          <w:rFonts w:ascii="Times New Roman" w:eastAsia="Times New Roman" w:hAnsi="Times New Roman" w:cs="Times New Roman"/>
          <w:sz w:val="24"/>
          <w:szCs w:val="24"/>
        </w:rPr>
      </w:pPr>
    </w:p>
    <w:p w14:paraId="5002F3B6" w14:textId="77777777" w:rsidR="008D7339" w:rsidRDefault="008D7339">
      <w:pPr>
        <w:spacing w:line="480" w:lineRule="auto"/>
        <w:jc w:val="center"/>
        <w:rPr>
          <w:rFonts w:ascii="Times New Roman" w:eastAsia="Times New Roman" w:hAnsi="Times New Roman" w:cs="Times New Roman"/>
          <w:sz w:val="24"/>
          <w:szCs w:val="24"/>
        </w:rPr>
      </w:pPr>
    </w:p>
    <w:p w14:paraId="38562ADA" w14:textId="77777777" w:rsidR="008D7339" w:rsidRDefault="008D7339">
      <w:pPr>
        <w:spacing w:line="480" w:lineRule="auto"/>
        <w:jc w:val="center"/>
        <w:rPr>
          <w:rFonts w:ascii="Times New Roman" w:eastAsia="Times New Roman" w:hAnsi="Times New Roman" w:cs="Times New Roman"/>
          <w:sz w:val="24"/>
          <w:szCs w:val="24"/>
        </w:rPr>
      </w:pPr>
    </w:p>
    <w:p w14:paraId="6988C6C0" w14:textId="77777777" w:rsidR="008D7339" w:rsidRDefault="008D7339">
      <w:pPr>
        <w:spacing w:line="480" w:lineRule="auto"/>
        <w:jc w:val="center"/>
        <w:rPr>
          <w:rFonts w:ascii="Times New Roman" w:eastAsia="Times New Roman" w:hAnsi="Times New Roman" w:cs="Times New Roman"/>
          <w:sz w:val="24"/>
          <w:szCs w:val="24"/>
        </w:rPr>
      </w:pPr>
    </w:p>
    <w:p w14:paraId="3CE86C6B" w14:textId="77777777" w:rsidR="008D7339" w:rsidRDefault="008D7339">
      <w:pPr>
        <w:spacing w:line="480" w:lineRule="auto"/>
        <w:jc w:val="center"/>
        <w:rPr>
          <w:rFonts w:ascii="Times New Roman" w:eastAsia="Times New Roman" w:hAnsi="Times New Roman" w:cs="Times New Roman"/>
          <w:sz w:val="24"/>
          <w:szCs w:val="24"/>
        </w:rPr>
      </w:pPr>
    </w:p>
    <w:p w14:paraId="39ECDA80" w14:textId="77777777" w:rsidR="008D7339" w:rsidRDefault="008D7339">
      <w:pPr>
        <w:spacing w:line="480" w:lineRule="auto"/>
        <w:jc w:val="center"/>
        <w:rPr>
          <w:rFonts w:ascii="Times New Roman" w:eastAsia="Times New Roman" w:hAnsi="Times New Roman" w:cs="Times New Roman"/>
          <w:sz w:val="24"/>
          <w:szCs w:val="24"/>
        </w:rPr>
      </w:pPr>
    </w:p>
    <w:p w14:paraId="33E47824" w14:textId="77777777" w:rsidR="008D7339" w:rsidRDefault="008D7339">
      <w:pPr>
        <w:spacing w:line="480" w:lineRule="auto"/>
        <w:jc w:val="center"/>
        <w:rPr>
          <w:rFonts w:ascii="Times New Roman" w:eastAsia="Times New Roman" w:hAnsi="Times New Roman" w:cs="Times New Roman"/>
          <w:sz w:val="24"/>
          <w:szCs w:val="24"/>
        </w:rPr>
      </w:pPr>
    </w:p>
    <w:p w14:paraId="74E46EEF" w14:textId="77777777" w:rsidR="007C60C7" w:rsidRDefault="007C60C7" w:rsidP="001775B9">
      <w:pPr>
        <w:spacing w:line="480" w:lineRule="auto"/>
        <w:rPr>
          <w:rFonts w:ascii="Times New Roman" w:eastAsia="Times New Roman" w:hAnsi="Times New Roman" w:cs="Times New Roman"/>
          <w:sz w:val="24"/>
          <w:szCs w:val="24"/>
        </w:rPr>
      </w:pPr>
    </w:p>
    <w:p w14:paraId="1FAF50BF" w14:textId="77777777" w:rsidR="00A17EBA" w:rsidRPr="00870D57" w:rsidRDefault="00A17EBA" w:rsidP="001775B9">
      <w:pPr>
        <w:spacing w:line="480" w:lineRule="auto"/>
        <w:rPr>
          <w:rFonts w:ascii="Times New Roman" w:hAnsi="Times New Roman" w:cs="Times New Roman"/>
          <w:i/>
          <w:iCs/>
        </w:rPr>
      </w:pPr>
    </w:p>
    <w:p w14:paraId="2EDD8C49" w14:textId="06B208C8" w:rsidR="00E22341" w:rsidRDefault="000C74D2" w:rsidP="00C456F6">
      <w:pPr>
        <w:spacing w:line="480" w:lineRule="auto"/>
        <w:jc w:val="center"/>
        <w:rPr>
          <w:rFonts w:ascii="Times New Roman" w:hAnsi="Times New Roman" w:cs="Times New Roman"/>
          <w:b/>
          <w:bCs/>
          <w:sz w:val="24"/>
          <w:szCs w:val="24"/>
        </w:rPr>
      </w:pPr>
      <w:r>
        <w:rPr>
          <w:rFonts w:ascii="Times New Roman" w:hAnsi="Times New Roman" w:cs="Times New Roman"/>
          <w:b/>
          <w:bCs/>
          <w:sz w:val="24"/>
          <w:szCs w:val="24"/>
        </w:rPr>
        <w:lastRenderedPageBreak/>
        <w:t xml:space="preserve">Module </w:t>
      </w:r>
      <w:r w:rsidR="004324BC">
        <w:rPr>
          <w:rFonts w:ascii="Times New Roman" w:hAnsi="Times New Roman" w:cs="Times New Roman"/>
          <w:b/>
          <w:bCs/>
          <w:sz w:val="24"/>
          <w:szCs w:val="24"/>
        </w:rPr>
        <w:t>7</w:t>
      </w:r>
      <w:r>
        <w:rPr>
          <w:rFonts w:ascii="Times New Roman" w:hAnsi="Times New Roman" w:cs="Times New Roman"/>
          <w:b/>
          <w:bCs/>
          <w:sz w:val="24"/>
          <w:szCs w:val="24"/>
        </w:rPr>
        <w:t xml:space="preserve">: </w:t>
      </w:r>
      <w:r w:rsidR="00A623D9">
        <w:rPr>
          <w:rFonts w:ascii="Times New Roman" w:hAnsi="Times New Roman" w:cs="Times New Roman"/>
          <w:b/>
          <w:bCs/>
          <w:sz w:val="24"/>
          <w:szCs w:val="24"/>
        </w:rPr>
        <w:t>Critical Thinking</w:t>
      </w:r>
    </w:p>
    <w:p w14:paraId="1E0A754D" w14:textId="23D7E654" w:rsidR="001A11D2" w:rsidRDefault="004C0DCE" w:rsidP="00CE24E0">
      <w:pPr>
        <w:spacing w:line="480" w:lineRule="auto"/>
        <w:rPr>
          <w:rFonts w:ascii="Times New Roman" w:hAnsi="Times New Roman" w:cs="Times New Roman"/>
          <w:b/>
          <w:bCs/>
          <w:sz w:val="24"/>
          <w:szCs w:val="24"/>
          <w:lang w:val="en-US"/>
        </w:rPr>
      </w:pPr>
      <w:r>
        <w:rPr>
          <w:rFonts w:ascii="Times New Roman" w:hAnsi="Times New Roman" w:cs="Times New Roman"/>
          <w:b/>
          <w:bCs/>
          <w:sz w:val="24"/>
          <w:szCs w:val="24"/>
          <w:lang w:val="en-US"/>
        </w:rPr>
        <w:t>Intro</w:t>
      </w:r>
      <w:r w:rsidR="008A6946">
        <w:rPr>
          <w:rFonts w:ascii="Times New Roman" w:hAnsi="Times New Roman" w:cs="Times New Roman"/>
          <w:b/>
          <w:bCs/>
          <w:sz w:val="24"/>
          <w:szCs w:val="24"/>
          <w:lang w:val="en-US"/>
        </w:rPr>
        <w:t>duction</w:t>
      </w:r>
    </w:p>
    <w:p w14:paraId="5AD4370D" w14:textId="06AE962F" w:rsidR="008A6946" w:rsidRDefault="008A6946" w:rsidP="008B23A7">
      <w:pPr>
        <w:spacing w:line="48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Trade between the United States and Canada is one of the most </w:t>
      </w:r>
      <w:r w:rsidR="008F3497">
        <w:rPr>
          <w:rFonts w:ascii="Times New Roman" w:hAnsi="Times New Roman" w:cs="Times New Roman"/>
          <w:sz w:val="24"/>
          <w:szCs w:val="24"/>
          <w:lang w:val="en-US"/>
        </w:rPr>
        <w:t xml:space="preserve">deeply integrated economic relationships in the world. Canada’s </w:t>
      </w:r>
      <w:r w:rsidR="00520EE9">
        <w:rPr>
          <w:rFonts w:ascii="Times New Roman" w:hAnsi="Times New Roman" w:cs="Times New Roman"/>
          <w:sz w:val="24"/>
          <w:szCs w:val="24"/>
          <w:lang w:val="en-US"/>
        </w:rPr>
        <w:t xml:space="preserve">merchandise </w:t>
      </w:r>
      <w:r w:rsidR="008F3497">
        <w:rPr>
          <w:rFonts w:ascii="Times New Roman" w:hAnsi="Times New Roman" w:cs="Times New Roman"/>
          <w:sz w:val="24"/>
          <w:szCs w:val="24"/>
          <w:lang w:val="en-US"/>
        </w:rPr>
        <w:t xml:space="preserve">exports </w:t>
      </w:r>
      <w:r w:rsidR="00520EE9">
        <w:rPr>
          <w:rFonts w:ascii="Times New Roman" w:hAnsi="Times New Roman" w:cs="Times New Roman"/>
          <w:sz w:val="24"/>
          <w:szCs w:val="24"/>
          <w:lang w:val="en-US"/>
        </w:rPr>
        <w:t>to the United States account for roughly three-quarters of its total exports and are equivalent to nearly one-quarter of the Canadian GDP, making the country un</w:t>
      </w:r>
      <w:r w:rsidR="00D76A6F">
        <w:rPr>
          <w:rFonts w:ascii="Times New Roman" w:hAnsi="Times New Roman" w:cs="Times New Roman"/>
          <w:sz w:val="24"/>
          <w:szCs w:val="24"/>
          <w:lang w:val="en-US"/>
        </w:rPr>
        <w:t>iquely vulnerable to disruptions in this relationship (Towe, 2025). When tariff policy shifts</w:t>
      </w:r>
      <w:r w:rsidR="00160F2A">
        <w:rPr>
          <w:rFonts w:ascii="Times New Roman" w:hAnsi="Times New Roman" w:cs="Times New Roman"/>
          <w:sz w:val="24"/>
          <w:szCs w:val="24"/>
          <w:lang w:val="en-US"/>
        </w:rPr>
        <w:t>, the effects extend well beyond trade balances, touching all parts of the supply chain</w:t>
      </w:r>
      <w:r w:rsidR="008E0338">
        <w:rPr>
          <w:rFonts w:ascii="Times New Roman" w:hAnsi="Times New Roman" w:cs="Times New Roman"/>
          <w:sz w:val="24"/>
          <w:szCs w:val="24"/>
          <w:lang w:val="en-US"/>
        </w:rPr>
        <w:t xml:space="preserve">. Such as manufacturers, workers, distributors, and consumers on both sides of the border across interconnected supply chains in steel, aluminum, automotive, and other industries. </w:t>
      </w:r>
    </w:p>
    <w:p w14:paraId="5E7334A5" w14:textId="74EBF639" w:rsidR="008E0338" w:rsidRDefault="008E0338" w:rsidP="00214A3E">
      <w:pPr>
        <w:spacing w:line="480" w:lineRule="auto"/>
        <w:ind w:firstLine="720"/>
        <w:rPr>
          <w:rFonts w:ascii="Times New Roman" w:hAnsi="Times New Roman" w:cs="Times New Roman"/>
          <w:sz w:val="24"/>
          <w:szCs w:val="24"/>
        </w:rPr>
      </w:pPr>
      <w:r>
        <w:rPr>
          <w:rFonts w:ascii="Times New Roman" w:hAnsi="Times New Roman" w:cs="Times New Roman"/>
          <w:sz w:val="24"/>
          <w:szCs w:val="24"/>
          <w:lang w:val="en-US"/>
        </w:rPr>
        <w:t xml:space="preserve">Recent tariff actions have </w:t>
      </w:r>
      <w:r w:rsidR="005B1C81">
        <w:rPr>
          <w:rFonts w:ascii="Times New Roman" w:hAnsi="Times New Roman" w:cs="Times New Roman"/>
          <w:sz w:val="24"/>
          <w:szCs w:val="24"/>
          <w:lang w:val="en-US"/>
        </w:rPr>
        <w:t xml:space="preserve">raised the importance of understanding how these policy shifts </w:t>
      </w:r>
      <w:r w:rsidR="00133BDF">
        <w:rPr>
          <w:rFonts w:ascii="Times New Roman" w:hAnsi="Times New Roman" w:cs="Times New Roman"/>
          <w:sz w:val="24"/>
          <w:szCs w:val="24"/>
          <w:lang w:val="en-US"/>
        </w:rPr>
        <w:t xml:space="preserve">produce statistically detectable changes in </w:t>
      </w:r>
      <w:r w:rsidR="008A376C">
        <w:rPr>
          <w:rFonts w:ascii="Times New Roman" w:hAnsi="Times New Roman" w:cs="Times New Roman"/>
          <w:sz w:val="24"/>
          <w:szCs w:val="24"/>
          <w:lang w:val="en-US"/>
        </w:rPr>
        <w:t>bilateral trade volumes, specifically whether Canada’s imports from the United States declined, whether</w:t>
      </w:r>
      <w:r w:rsidR="00FF06B1">
        <w:rPr>
          <w:rFonts w:ascii="Times New Roman" w:hAnsi="Times New Roman" w:cs="Times New Roman"/>
          <w:sz w:val="24"/>
          <w:szCs w:val="24"/>
          <w:lang w:val="en-US"/>
        </w:rPr>
        <w:t xml:space="preserve"> sourcing shifted to non-U.S</w:t>
      </w:r>
      <w:r w:rsidR="00851074">
        <w:rPr>
          <w:rFonts w:ascii="Times New Roman" w:hAnsi="Times New Roman" w:cs="Times New Roman"/>
          <w:sz w:val="24"/>
          <w:szCs w:val="24"/>
          <w:lang w:val="en-US"/>
        </w:rPr>
        <w:t>.</w:t>
      </w:r>
      <w:r w:rsidR="00FF06B1">
        <w:rPr>
          <w:rFonts w:ascii="Times New Roman" w:hAnsi="Times New Roman" w:cs="Times New Roman"/>
          <w:sz w:val="24"/>
          <w:szCs w:val="24"/>
          <w:lang w:val="en-US"/>
        </w:rPr>
        <w:t xml:space="preserve"> suppliers, and whether Canada’s exports to the United States weakened in the most tariff-exposed sectors of the economy. </w:t>
      </w:r>
      <w:r w:rsidR="00AF5208">
        <w:rPr>
          <w:rFonts w:ascii="Times New Roman" w:hAnsi="Times New Roman" w:cs="Times New Roman"/>
          <w:sz w:val="24"/>
          <w:szCs w:val="24"/>
          <w:lang w:val="en-US"/>
        </w:rPr>
        <w:t xml:space="preserve">These questions matter because the answers are not as obvious as they might appear, even when tariffs are clearly in place. A decline in imports from the United States does not automatically mean that tariffs caused demand to fall. If imports from the United States </w:t>
      </w:r>
      <w:r w:rsidR="00B772FC">
        <w:rPr>
          <w:rFonts w:ascii="Times New Roman" w:hAnsi="Times New Roman" w:cs="Times New Roman"/>
          <w:sz w:val="24"/>
          <w:szCs w:val="24"/>
          <w:lang w:val="en-US"/>
        </w:rPr>
        <w:t>drop while imports from non-U.S. countries rise for the same tariff-exposed product categories, the more likely explanation is trade diversion, a shift in sourcing driven by cost pressure tariffs create rather</w:t>
      </w:r>
      <w:r w:rsidR="00851074">
        <w:rPr>
          <w:rFonts w:ascii="Times New Roman" w:hAnsi="Times New Roman" w:cs="Times New Roman"/>
          <w:sz w:val="24"/>
          <w:szCs w:val="24"/>
          <w:lang w:val="en-US"/>
        </w:rPr>
        <w:t xml:space="preserve"> than a reduction in overall demand. </w:t>
      </w:r>
      <w:r w:rsidR="00D94D31">
        <w:rPr>
          <w:rFonts w:ascii="Times New Roman" w:hAnsi="Times New Roman" w:cs="Times New Roman"/>
          <w:sz w:val="24"/>
          <w:szCs w:val="24"/>
          <w:lang w:val="en-US"/>
        </w:rPr>
        <w:t>If</w:t>
      </w:r>
      <w:r w:rsidR="00851074">
        <w:rPr>
          <w:rFonts w:ascii="Times New Roman" w:hAnsi="Times New Roman" w:cs="Times New Roman"/>
          <w:sz w:val="24"/>
          <w:szCs w:val="24"/>
          <w:lang w:val="en-US"/>
        </w:rPr>
        <w:t xml:space="preserve"> imports decline across all supplier countries for those same products, that points toward a broader demand </w:t>
      </w:r>
      <w:r w:rsidR="00487E92">
        <w:rPr>
          <w:rFonts w:ascii="Times New Roman" w:hAnsi="Times New Roman" w:cs="Times New Roman"/>
          <w:sz w:val="24"/>
          <w:szCs w:val="24"/>
          <w:lang w:val="en-US"/>
        </w:rPr>
        <w:t xml:space="preserve">slowdown that tariffs alone may not fully explain. Complicating both interpretations are factors such as exchange rate movements, inflation, seasonal demand cycles, supply chain </w:t>
      </w:r>
      <w:r w:rsidR="00D94D31">
        <w:rPr>
          <w:rFonts w:ascii="Times New Roman" w:hAnsi="Times New Roman" w:cs="Times New Roman"/>
          <w:sz w:val="24"/>
          <w:szCs w:val="24"/>
          <w:lang w:val="en-US"/>
        </w:rPr>
        <w:t>disruptions</w:t>
      </w:r>
      <w:r w:rsidR="00487E92">
        <w:rPr>
          <w:rFonts w:ascii="Times New Roman" w:hAnsi="Times New Roman" w:cs="Times New Roman"/>
          <w:sz w:val="24"/>
          <w:szCs w:val="24"/>
          <w:lang w:val="en-US"/>
        </w:rPr>
        <w:t xml:space="preserve">, and </w:t>
      </w:r>
      <w:r w:rsidR="00D94D31">
        <w:rPr>
          <w:rFonts w:ascii="Times New Roman" w:hAnsi="Times New Roman" w:cs="Times New Roman"/>
          <w:sz w:val="24"/>
          <w:szCs w:val="24"/>
          <w:lang w:val="en-US"/>
        </w:rPr>
        <w:t xml:space="preserve">broader economic </w:t>
      </w:r>
      <w:r w:rsidR="00D94D31">
        <w:rPr>
          <w:rFonts w:ascii="Times New Roman" w:hAnsi="Times New Roman" w:cs="Times New Roman"/>
          <w:sz w:val="24"/>
          <w:szCs w:val="24"/>
          <w:lang w:val="en-US"/>
        </w:rPr>
        <w:lastRenderedPageBreak/>
        <w:t>conditions</w:t>
      </w:r>
      <w:r w:rsidR="0037727C">
        <w:rPr>
          <w:rFonts w:ascii="Times New Roman" w:hAnsi="Times New Roman" w:cs="Times New Roman"/>
          <w:sz w:val="24"/>
          <w:szCs w:val="24"/>
          <w:lang w:val="en-US"/>
        </w:rPr>
        <w:t xml:space="preserve"> that can shift trade </w:t>
      </w:r>
      <w:r w:rsidR="008D2EB8">
        <w:rPr>
          <w:rFonts w:ascii="Times New Roman" w:hAnsi="Times New Roman" w:cs="Times New Roman"/>
          <w:sz w:val="24"/>
          <w:szCs w:val="24"/>
          <w:lang w:val="en-US"/>
        </w:rPr>
        <w:t>amounts</w:t>
      </w:r>
      <w:r w:rsidR="0037727C">
        <w:rPr>
          <w:rFonts w:ascii="Times New Roman" w:hAnsi="Times New Roman" w:cs="Times New Roman"/>
          <w:sz w:val="24"/>
          <w:szCs w:val="24"/>
          <w:lang w:val="en-US"/>
        </w:rPr>
        <w:t xml:space="preserve"> independently of tariff policy. </w:t>
      </w:r>
      <w:r w:rsidR="00417346">
        <w:rPr>
          <w:rFonts w:ascii="Times New Roman" w:hAnsi="Times New Roman" w:cs="Times New Roman"/>
          <w:sz w:val="24"/>
          <w:szCs w:val="24"/>
          <w:lang w:val="en-US"/>
        </w:rPr>
        <w:t>For this reason, the results of this analysis are presented as evidence of an association between tariff periods and trade outcomes rather than definitive proof of causation.</w:t>
      </w:r>
      <w:r w:rsidR="00E84A90">
        <w:rPr>
          <w:rFonts w:ascii="Times New Roman" w:hAnsi="Times New Roman" w:cs="Times New Roman"/>
          <w:sz w:val="24"/>
          <w:szCs w:val="24"/>
          <w:lang w:val="en-US"/>
        </w:rPr>
        <w:t xml:space="preserve"> </w:t>
      </w:r>
      <w:r w:rsidR="0032288D">
        <w:rPr>
          <w:rFonts w:ascii="Times New Roman" w:hAnsi="Times New Roman" w:cs="Times New Roman"/>
          <w:sz w:val="24"/>
          <w:szCs w:val="24"/>
          <w:lang w:val="en-US"/>
        </w:rPr>
        <w:t xml:space="preserve">Distinguishing between these possible explanations leads to different strategic and organizational responses, which is precisely why a data-driven approach is necessary rather than relying on assumptions. </w:t>
      </w:r>
      <w:r w:rsidR="001913B1" w:rsidRPr="001913B1">
        <w:rPr>
          <w:rFonts w:ascii="Times New Roman" w:hAnsi="Times New Roman" w:cs="Times New Roman"/>
          <w:sz w:val="24"/>
          <w:szCs w:val="24"/>
        </w:rPr>
        <w:t>It is also important to note that this research does not attempt to fully account for overall demand shifts or all variables that influence trade</w:t>
      </w:r>
      <w:r w:rsidR="00DD261F">
        <w:rPr>
          <w:rFonts w:ascii="Times New Roman" w:hAnsi="Times New Roman" w:cs="Times New Roman"/>
          <w:sz w:val="24"/>
          <w:szCs w:val="24"/>
        </w:rPr>
        <w:t>;</w:t>
      </w:r>
      <w:r w:rsidR="001913B1" w:rsidRPr="001913B1">
        <w:rPr>
          <w:rFonts w:ascii="Times New Roman" w:hAnsi="Times New Roman" w:cs="Times New Roman"/>
          <w:sz w:val="24"/>
          <w:szCs w:val="24"/>
        </w:rPr>
        <w:t xml:space="preserve"> it is focused specifically on comparing trade volumes during tariff-active periods against non-tariff periods for a defined set of product categories. This is one focused piece of a much larger and more complex trade equation.</w:t>
      </w:r>
    </w:p>
    <w:p w14:paraId="169A5D2E" w14:textId="4D8ADC4D" w:rsidR="00826C82" w:rsidRDefault="00826C82" w:rsidP="00214A3E">
      <w:pPr>
        <w:spacing w:line="480" w:lineRule="auto"/>
        <w:ind w:firstLine="720"/>
        <w:rPr>
          <w:rFonts w:ascii="Times New Roman" w:hAnsi="Times New Roman" w:cs="Times New Roman"/>
          <w:sz w:val="24"/>
          <w:szCs w:val="24"/>
        </w:rPr>
      </w:pPr>
      <w:r w:rsidRPr="00826C82">
        <w:rPr>
          <w:rFonts w:ascii="Times New Roman" w:hAnsi="Times New Roman" w:cs="Times New Roman"/>
          <w:sz w:val="24"/>
          <w:szCs w:val="24"/>
        </w:rPr>
        <w:t xml:space="preserve">The tariff environment between the United States and Canada has gone through two distinct episodes that shape this analysis. In March 2018, the United States applied Section 232 tariffs to Canadian steel and aluminum products, and Canada responded with countermeasures covering C$16.6 billion in U.S. imports (Canada, Department of Finance, 2025a). Those tariffs were mutually removed in May 2019, though uncertainty remained even after the episode ended. The Canada-United States-Mexico Agreement entered into force on July 1, 2020, providing the current framework for trade between the two countries. A second wave of tariff escalation began in March 2025, and while most of those measures were removed on September 1, 2025, duties on steel, aluminum, and automobiles remained active (Canada, Department of Finance, 2025b). These two episodes define the tariff-active periods used in this analysis and are the reason steel, aluminum, and automobiles were selected as the three sector groups for study. The steel group includes HS codes 720825, 720851, 720916, 721070, and 721310, covering flat-rolled steel products and steel bars and rods. The aluminum group includes HS codes 760110, 760120, 760421, 760612, and 760711, covering unwrought aluminum, profiles, sheet, and foil products. </w:t>
      </w:r>
      <w:r w:rsidRPr="00826C82">
        <w:rPr>
          <w:rFonts w:ascii="Times New Roman" w:hAnsi="Times New Roman" w:cs="Times New Roman"/>
          <w:sz w:val="24"/>
          <w:szCs w:val="24"/>
        </w:rPr>
        <w:lastRenderedPageBreak/>
        <w:t xml:space="preserve">The automobile group includes HS codes 870323, 870324, 870421, 870840, and 870899, covering passenger vehicles, </w:t>
      </w:r>
      <w:r>
        <w:rPr>
          <w:rFonts w:ascii="Times New Roman" w:hAnsi="Times New Roman" w:cs="Times New Roman"/>
          <w:sz w:val="24"/>
          <w:szCs w:val="24"/>
        </w:rPr>
        <w:t>light-duty</w:t>
      </w:r>
      <w:r w:rsidRPr="00826C82">
        <w:rPr>
          <w:rFonts w:ascii="Times New Roman" w:hAnsi="Times New Roman" w:cs="Times New Roman"/>
          <w:sz w:val="24"/>
          <w:szCs w:val="24"/>
        </w:rPr>
        <w:t xml:space="preserve"> trucks, transmission systems, and motor vehicle parts. Together</w:t>
      </w:r>
      <w:r>
        <w:rPr>
          <w:rFonts w:ascii="Times New Roman" w:hAnsi="Times New Roman" w:cs="Times New Roman"/>
          <w:sz w:val="24"/>
          <w:szCs w:val="24"/>
        </w:rPr>
        <w:t>,</w:t>
      </w:r>
      <w:r w:rsidRPr="00826C82">
        <w:rPr>
          <w:rFonts w:ascii="Times New Roman" w:hAnsi="Times New Roman" w:cs="Times New Roman"/>
          <w:sz w:val="24"/>
          <w:szCs w:val="24"/>
        </w:rPr>
        <w:t xml:space="preserve"> these 15 codes represent the core tariff-exposed products across the three sectors and form the basis of all analysis conducted in this project.</w:t>
      </w:r>
    </w:p>
    <w:p w14:paraId="507D9E5C" w14:textId="4221C7A0" w:rsidR="00AF1D98" w:rsidRPr="008A6946" w:rsidRDefault="00604D53" w:rsidP="00214A3E">
      <w:pPr>
        <w:spacing w:line="480" w:lineRule="auto"/>
        <w:ind w:firstLine="720"/>
        <w:rPr>
          <w:rFonts w:ascii="Times New Roman" w:hAnsi="Times New Roman" w:cs="Times New Roman"/>
          <w:sz w:val="24"/>
          <w:szCs w:val="24"/>
          <w:lang w:val="en-US"/>
        </w:rPr>
      </w:pPr>
      <w:r w:rsidRPr="00604D53">
        <w:rPr>
          <w:rFonts w:ascii="Times New Roman" w:hAnsi="Times New Roman" w:cs="Times New Roman"/>
          <w:sz w:val="24"/>
          <w:szCs w:val="24"/>
        </w:rPr>
        <w:t>The purpose of this study is to examine whether the two tariff episodes produced statistically detectable changes in trade flows for these 15 tariff-exposed HS codes across the steel, aluminum, and automobile sectors. Using monthly trade data from the U.S. International Trade Commission and Statistics Canada spanning January 2012 through January 2026, this analysis compares trade volumes during tariff-active periods against non-tariff periods to test three research questions and their associated hypotheses. The study draws on descriptive statistics, Mann-Whitney U testing, and ordinary least squares regression to evaluate whether Canada's imports from the United States declined, whether trade diverted to non-U.S. suppliers, and whether Canada's exports to the United States weakened during tariff periods. In addition, a predictive forecast is developed to project how trade volumes in these sectors may trend under two scenarios, one in which current tariffs remain in place and one in which they are removed, providing a forward-looking perspective to complement the historical analysis. The findings are intended to give organizations, analysts, and policymakers a cleaner, evidence-based picture of how tariff policy has moved the needle on cross-border trade in these sectors, not as a definitive explanation of all forces at play, but as a focused and transparent look at one important piece of a complex trade relationship.</w:t>
      </w:r>
    </w:p>
    <w:p w14:paraId="689AF415" w14:textId="604780ED" w:rsidR="005D2832" w:rsidRDefault="005D2832" w:rsidP="00BD0FEA">
      <w:pPr>
        <w:spacing w:line="480" w:lineRule="auto"/>
        <w:ind w:firstLine="720"/>
        <w:rPr>
          <w:rFonts w:ascii="Times New Roman" w:hAnsi="Times New Roman" w:cs="Times New Roman"/>
          <w:sz w:val="24"/>
          <w:szCs w:val="24"/>
          <w:lang w:val="en-US"/>
        </w:rPr>
      </w:pPr>
      <w:r w:rsidRPr="005D2832">
        <w:rPr>
          <w:rFonts w:ascii="Times New Roman" w:hAnsi="Times New Roman" w:cs="Times New Roman"/>
          <w:sz w:val="24"/>
          <w:szCs w:val="24"/>
          <w:lang w:val="en-US"/>
        </w:rPr>
        <w:t xml:space="preserve">The objectives of this study are directly tied to the research questions and the broader problem of understanding how tariff policy affects cross-border trade patterns between the United States and Canada. The first objective is to measure whether Canada's average monthly </w:t>
      </w:r>
      <w:r w:rsidRPr="005D2832">
        <w:rPr>
          <w:rFonts w:ascii="Times New Roman" w:hAnsi="Times New Roman" w:cs="Times New Roman"/>
          <w:sz w:val="24"/>
          <w:szCs w:val="24"/>
          <w:lang w:val="en-US"/>
        </w:rPr>
        <w:lastRenderedPageBreak/>
        <w:t xml:space="preserve">imports from the United States declined during tariff-active periods compared to non-tariff periods for the selected steel, aluminum, and automobile HS code groups. The second objective is to determine whether Canada increased imports of those same product categories from non-U.S. countries during tariff periods, which would indicate trade diversion rather than an overall </w:t>
      </w:r>
      <w:r w:rsidR="003320F5">
        <w:rPr>
          <w:rFonts w:ascii="Times New Roman" w:hAnsi="Times New Roman" w:cs="Times New Roman"/>
          <w:sz w:val="24"/>
          <w:szCs w:val="24"/>
          <w:lang w:val="en-US"/>
        </w:rPr>
        <w:t>demand reduction</w:t>
      </w:r>
      <w:r w:rsidRPr="005D2832">
        <w:rPr>
          <w:rFonts w:ascii="Times New Roman" w:hAnsi="Times New Roman" w:cs="Times New Roman"/>
          <w:sz w:val="24"/>
          <w:szCs w:val="24"/>
          <w:lang w:val="en-US"/>
        </w:rPr>
        <w:t xml:space="preserve">. The third objective is to examine whether Canada's exports to the United States weakened during tariff periods for the same product groups, providing a view of how tariff conflict may affect trade in both directions. Beyond hypothesis testing, a fourth objective is to develop a predictive forecast that projects how trade volumes in these sectors may trend under two scenarios, one where </w:t>
      </w:r>
      <w:r w:rsidR="003320F5">
        <w:rPr>
          <w:rFonts w:ascii="Times New Roman" w:hAnsi="Times New Roman" w:cs="Times New Roman"/>
          <w:sz w:val="24"/>
          <w:szCs w:val="24"/>
          <w:lang w:val="en-US"/>
        </w:rPr>
        <w:t xml:space="preserve">the </w:t>
      </w:r>
      <w:r w:rsidRPr="005D2832">
        <w:rPr>
          <w:rFonts w:ascii="Times New Roman" w:hAnsi="Times New Roman" w:cs="Times New Roman"/>
          <w:sz w:val="24"/>
          <w:szCs w:val="24"/>
          <w:lang w:val="en-US"/>
        </w:rPr>
        <w:t xml:space="preserve">current </w:t>
      </w:r>
      <w:r w:rsidR="003320F5">
        <w:rPr>
          <w:rFonts w:ascii="Times New Roman" w:hAnsi="Times New Roman" w:cs="Times New Roman"/>
          <w:sz w:val="24"/>
          <w:szCs w:val="24"/>
          <w:lang w:val="en-US"/>
        </w:rPr>
        <w:t>tariff</w:t>
      </w:r>
      <w:r w:rsidRPr="005D2832">
        <w:rPr>
          <w:rFonts w:ascii="Times New Roman" w:hAnsi="Times New Roman" w:cs="Times New Roman"/>
          <w:sz w:val="24"/>
          <w:szCs w:val="24"/>
          <w:lang w:val="en-US"/>
        </w:rPr>
        <w:t xml:space="preserve"> remain</w:t>
      </w:r>
      <w:r w:rsidR="003320F5">
        <w:rPr>
          <w:rFonts w:ascii="Times New Roman" w:hAnsi="Times New Roman" w:cs="Times New Roman"/>
          <w:sz w:val="24"/>
          <w:szCs w:val="24"/>
          <w:lang w:val="en-US"/>
        </w:rPr>
        <w:t>s</w:t>
      </w:r>
      <w:r w:rsidRPr="005D2832">
        <w:rPr>
          <w:rFonts w:ascii="Times New Roman" w:hAnsi="Times New Roman" w:cs="Times New Roman"/>
          <w:sz w:val="24"/>
          <w:szCs w:val="24"/>
          <w:lang w:val="en-US"/>
        </w:rPr>
        <w:t xml:space="preserve"> in place and one where they are removed, to provide a forward-looking perspective for decision makers. Together</w:t>
      </w:r>
      <w:r w:rsidR="003320F5">
        <w:rPr>
          <w:rFonts w:ascii="Times New Roman" w:hAnsi="Times New Roman" w:cs="Times New Roman"/>
          <w:sz w:val="24"/>
          <w:szCs w:val="24"/>
          <w:lang w:val="en-US"/>
        </w:rPr>
        <w:t>,</w:t>
      </w:r>
      <w:r w:rsidRPr="005D2832">
        <w:rPr>
          <w:rFonts w:ascii="Times New Roman" w:hAnsi="Times New Roman" w:cs="Times New Roman"/>
          <w:sz w:val="24"/>
          <w:szCs w:val="24"/>
          <w:lang w:val="en-US"/>
        </w:rPr>
        <w:t xml:space="preserve"> these objectives are designed to produce a transparent, repeatable analysis that gives organizations and policymakers an evidence-based foundation for understanding tariff impacts rather than relying on assumptions or headline-level interpretations.</w:t>
      </w:r>
    </w:p>
    <w:p w14:paraId="01DCA4EF" w14:textId="77777777" w:rsidR="006374C0" w:rsidRPr="006374C0" w:rsidRDefault="006374C0" w:rsidP="006374C0">
      <w:pPr>
        <w:spacing w:line="480" w:lineRule="auto"/>
        <w:rPr>
          <w:rFonts w:ascii="Times New Roman" w:hAnsi="Times New Roman" w:cs="Times New Roman"/>
          <w:sz w:val="24"/>
          <w:szCs w:val="24"/>
          <w:lang w:val="en-US"/>
        </w:rPr>
      </w:pPr>
      <w:r w:rsidRPr="006374C0">
        <w:rPr>
          <w:rFonts w:ascii="Times New Roman" w:hAnsi="Times New Roman" w:cs="Times New Roman"/>
          <w:b/>
          <w:bCs/>
          <w:sz w:val="24"/>
          <w:szCs w:val="24"/>
          <w:lang w:val="en-US"/>
        </w:rPr>
        <w:t>Overview of Study</w:t>
      </w:r>
    </w:p>
    <w:p w14:paraId="08B00BF1" w14:textId="77777777" w:rsidR="006374C0" w:rsidRPr="006374C0" w:rsidRDefault="006374C0" w:rsidP="008B23A7">
      <w:pPr>
        <w:spacing w:line="480" w:lineRule="auto"/>
        <w:rPr>
          <w:rFonts w:ascii="Times New Roman" w:hAnsi="Times New Roman" w:cs="Times New Roman"/>
          <w:sz w:val="24"/>
          <w:szCs w:val="24"/>
          <w:lang w:val="en-US"/>
        </w:rPr>
      </w:pPr>
      <w:r w:rsidRPr="006374C0">
        <w:rPr>
          <w:rFonts w:ascii="Times New Roman" w:hAnsi="Times New Roman" w:cs="Times New Roman"/>
          <w:sz w:val="24"/>
          <w:szCs w:val="24"/>
          <w:lang w:val="en-US"/>
        </w:rPr>
        <w:t>This study examines the trade relationship between the United States and Canada during two distinct tariff episodes, using product-level monthly trade data to test whether tariff-active periods are associated with statistically detectable changes in cross-border trade flows. The analysis is organized around 15 tariff-exposed HS codes grouped into three sector clusters: steel, aluminum, and automobiles. These sectors were selected because they represent the product categories that remained subject to active Canadian counter-tariffs after September 1, 2025, making them the most policy-relevant groups for current analysis.</w:t>
      </w:r>
    </w:p>
    <w:p w14:paraId="64C6C8FC" w14:textId="77777777" w:rsidR="006374C0" w:rsidRPr="006374C0" w:rsidRDefault="006374C0" w:rsidP="006374C0">
      <w:pPr>
        <w:spacing w:line="480" w:lineRule="auto"/>
        <w:rPr>
          <w:rFonts w:ascii="Times New Roman" w:hAnsi="Times New Roman" w:cs="Times New Roman"/>
          <w:sz w:val="24"/>
          <w:szCs w:val="24"/>
          <w:lang w:val="en-US"/>
        </w:rPr>
      </w:pPr>
      <w:r w:rsidRPr="006374C0">
        <w:rPr>
          <w:rFonts w:ascii="Times New Roman" w:hAnsi="Times New Roman" w:cs="Times New Roman"/>
          <w:sz w:val="24"/>
          <w:szCs w:val="24"/>
          <w:lang w:val="en-US"/>
        </w:rPr>
        <w:t xml:space="preserve">Three datasets form the foundation of this study. The first is U.S. exports to Canada by HS code and month, sourced from the U.S. International Trade Commission </w:t>
      </w:r>
      <w:proofErr w:type="spellStart"/>
      <w:r w:rsidRPr="006374C0">
        <w:rPr>
          <w:rFonts w:ascii="Times New Roman" w:hAnsi="Times New Roman" w:cs="Times New Roman"/>
          <w:sz w:val="24"/>
          <w:szCs w:val="24"/>
          <w:lang w:val="en-US"/>
        </w:rPr>
        <w:t>DataWeb</w:t>
      </w:r>
      <w:proofErr w:type="spellEnd"/>
      <w:r w:rsidRPr="006374C0">
        <w:rPr>
          <w:rFonts w:ascii="Times New Roman" w:hAnsi="Times New Roman" w:cs="Times New Roman"/>
          <w:sz w:val="24"/>
          <w:szCs w:val="24"/>
          <w:lang w:val="en-US"/>
        </w:rPr>
        <w:t xml:space="preserve">, covering January </w:t>
      </w:r>
      <w:r w:rsidRPr="006374C0">
        <w:rPr>
          <w:rFonts w:ascii="Times New Roman" w:hAnsi="Times New Roman" w:cs="Times New Roman"/>
          <w:sz w:val="24"/>
          <w:szCs w:val="24"/>
          <w:lang w:val="en-US"/>
        </w:rPr>
        <w:lastRenderedPageBreak/>
        <w:t xml:space="preserve">2012 through January 2026. The second is Canada's imports from all countries by HS code, sourced from Statistics Canada Trade Data Online, which allows U.S. and non-U.S. import values to be separated and compared. The third is U.S. imports from Canada by HS code and month, also sourced from the U.S. International Trade Commission </w:t>
      </w:r>
      <w:proofErr w:type="spellStart"/>
      <w:r w:rsidRPr="006374C0">
        <w:rPr>
          <w:rFonts w:ascii="Times New Roman" w:hAnsi="Times New Roman" w:cs="Times New Roman"/>
          <w:sz w:val="24"/>
          <w:szCs w:val="24"/>
          <w:lang w:val="en-US"/>
        </w:rPr>
        <w:t>DataWeb</w:t>
      </w:r>
      <w:proofErr w:type="spellEnd"/>
      <w:r w:rsidRPr="006374C0">
        <w:rPr>
          <w:rFonts w:ascii="Times New Roman" w:hAnsi="Times New Roman" w:cs="Times New Roman"/>
          <w:sz w:val="24"/>
          <w:szCs w:val="24"/>
          <w:lang w:val="en-US"/>
        </w:rPr>
        <w:t>, which serves as a proxy for Canada's exports to the United States. Together these three datasets make it possible to examine trade flows from multiple directions and test whether tariff periods are associated with changes in sourcing patterns, import volumes, and export activity.</w:t>
      </w:r>
    </w:p>
    <w:p w14:paraId="3919515E" w14:textId="77777777" w:rsidR="006374C0" w:rsidRPr="006374C0" w:rsidRDefault="006374C0" w:rsidP="00BD0FEA">
      <w:pPr>
        <w:spacing w:line="480" w:lineRule="auto"/>
        <w:ind w:firstLine="720"/>
        <w:rPr>
          <w:rFonts w:ascii="Times New Roman" w:hAnsi="Times New Roman" w:cs="Times New Roman"/>
          <w:sz w:val="24"/>
          <w:szCs w:val="24"/>
          <w:lang w:val="en-US"/>
        </w:rPr>
      </w:pPr>
      <w:r w:rsidRPr="006374C0">
        <w:rPr>
          <w:rFonts w:ascii="Times New Roman" w:hAnsi="Times New Roman" w:cs="Times New Roman"/>
          <w:sz w:val="24"/>
          <w:szCs w:val="24"/>
          <w:lang w:val="en-US"/>
        </w:rPr>
        <w:t>The study defines two tariff-active periods based on official policy announcements. The first covers March 2018 through April 2019, corresponding to the Section 232 steel and aluminum tariffs and Canada's retaliatory countermeasures. The second covers March 2025 onward, corresponding to the 2025 tariff escalation and the continuation of duties on steel, aluminum, and automobiles after September 1, 2025. All remaining months from January 2012 through the end of the dataset are coded as non-tariff periods, providing a long historical baseline that captures normal seasonality, demand cycles, and trade volatility prior to and between the two episodes.</w:t>
      </w:r>
    </w:p>
    <w:p w14:paraId="1B5347EF" w14:textId="7F236CE5" w:rsidR="006374C0" w:rsidRPr="006374C0" w:rsidRDefault="006374C0" w:rsidP="00BD0FEA">
      <w:pPr>
        <w:spacing w:line="480" w:lineRule="auto"/>
        <w:ind w:firstLine="720"/>
        <w:rPr>
          <w:rFonts w:ascii="Times New Roman" w:hAnsi="Times New Roman" w:cs="Times New Roman"/>
          <w:sz w:val="24"/>
          <w:szCs w:val="24"/>
          <w:lang w:val="en-US"/>
        </w:rPr>
      </w:pPr>
      <w:r w:rsidRPr="006374C0">
        <w:rPr>
          <w:rFonts w:ascii="Times New Roman" w:hAnsi="Times New Roman" w:cs="Times New Roman"/>
          <w:sz w:val="24"/>
          <w:szCs w:val="24"/>
          <w:lang w:val="en-US"/>
        </w:rPr>
        <w:t xml:space="preserve">The analytical approach begins with descriptive statistics to summarize average monthly trade values, total trade volumes, and variability by sector group and tariff period. Trend charts are used to visualize how trade flows moved over time relative to the tariff timeline. </w:t>
      </w:r>
      <w:r w:rsidR="002E51F5" w:rsidRPr="002E51F5">
        <w:rPr>
          <w:rFonts w:ascii="Times New Roman" w:hAnsi="Times New Roman" w:cs="Times New Roman"/>
          <w:sz w:val="24"/>
          <w:szCs w:val="24"/>
        </w:rPr>
        <w:t>Mann-Whitney U tests are then applied to compare the distributions of trade values between tariff-on and tariff-off periods, evaluating whether values from one group tend to rank systematically higher or lower than the other.</w:t>
      </w:r>
      <w:r w:rsidR="001E1A15">
        <w:rPr>
          <w:rFonts w:ascii="Times New Roman" w:hAnsi="Times New Roman" w:cs="Times New Roman"/>
          <w:sz w:val="24"/>
          <w:szCs w:val="24"/>
        </w:rPr>
        <w:t xml:space="preserve"> </w:t>
      </w:r>
      <w:r w:rsidRPr="006374C0">
        <w:rPr>
          <w:rFonts w:ascii="Times New Roman" w:hAnsi="Times New Roman" w:cs="Times New Roman"/>
          <w:sz w:val="24"/>
          <w:szCs w:val="24"/>
          <w:lang w:val="en-US"/>
        </w:rPr>
        <w:t>Ordinary least squares regression is also used to estimate the association between tariff periods and trade values while controlling for sector differences.</w:t>
      </w:r>
      <w:r w:rsidR="001E1A15">
        <w:rPr>
          <w:rFonts w:ascii="Times New Roman" w:hAnsi="Times New Roman" w:cs="Times New Roman"/>
          <w:sz w:val="24"/>
          <w:szCs w:val="24"/>
          <w:lang w:val="en-US"/>
        </w:rPr>
        <w:t xml:space="preserve"> </w:t>
      </w:r>
      <w:r w:rsidR="001E1A15" w:rsidRPr="001E1A15">
        <w:rPr>
          <w:rFonts w:ascii="Times New Roman" w:hAnsi="Times New Roman" w:cs="Times New Roman"/>
          <w:sz w:val="24"/>
          <w:szCs w:val="24"/>
        </w:rPr>
        <w:t xml:space="preserve">Finally, a predictive forecast is developed using a linear trend fit to the pre-tariff baseline period </w:t>
      </w:r>
      <w:r w:rsidR="001E1A15" w:rsidRPr="001E1A15">
        <w:rPr>
          <w:rFonts w:ascii="Times New Roman" w:hAnsi="Times New Roman" w:cs="Times New Roman"/>
          <w:sz w:val="24"/>
          <w:szCs w:val="24"/>
        </w:rPr>
        <w:lastRenderedPageBreak/>
        <w:t>of January 2012 through February 2018 as the foundation. The OLS beta estimated in the RQ3 regression serves as a tariff-effect adjustment applied to Scenario 1, while Scenario 2 projects the baseline trend forward without any tariff adjustment. Two scenarios are projected forward 24 months from January 2026, one assuming current tariffs remain in place and one assuming they are removed, to give decision makers a forward-looking perspective grounded in the observed historical data.</w:t>
      </w:r>
    </w:p>
    <w:p w14:paraId="64FB6BEC" w14:textId="77777777" w:rsidR="006374C0" w:rsidRDefault="006374C0" w:rsidP="001E1A15">
      <w:pPr>
        <w:spacing w:line="480" w:lineRule="auto"/>
        <w:ind w:firstLine="720"/>
        <w:rPr>
          <w:rFonts w:ascii="Times New Roman" w:hAnsi="Times New Roman" w:cs="Times New Roman"/>
          <w:sz w:val="24"/>
          <w:szCs w:val="24"/>
          <w:lang w:val="en-US"/>
        </w:rPr>
      </w:pPr>
      <w:r w:rsidRPr="006374C0">
        <w:rPr>
          <w:rFonts w:ascii="Times New Roman" w:hAnsi="Times New Roman" w:cs="Times New Roman"/>
          <w:sz w:val="24"/>
          <w:szCs w:val="24"/>
          <w:lang w:val="en-US"/>
        </w:rPr>
        <w:t>This study does not attempt to establish definitive causation between tariff policy and trade outcomes, nor does it account for all variables that influence trade volumes. Factors such as exchange rate movements, inflation, supply chain disruptions, and broader macroeconomic conditions can all affect trade independently of tariff policy. The results are therefore interpreted as evidence of association between tariff periods and trade outcomes, representing one focused and transparent piece of a much larger and more complex trade equation.</w:t>
      </w:r>
    </w:p>
    <w:p w14:paraId="001BBFF1" w14:textId="77777777" w:rsidR="009224DE" w:rsidRPr="009224DE" w:rsidRDefault="009224DE" w:rsidP="009224DE">
      <w:pPr>
        <w:spacing w:line="480" w:lineRule="auto"/>
        <w:rPr>
          <w:rFonts w:ascii="Times New Roman" w:hAnsi="Times New Roman" w:cs="Times New Roman"/>
          <w:sz w:val="24"/>
          <w:szCs w:val="24"/>
          <w:lang w:val="en-US"/>
        </w:rPr>
      </w:pPr>
      <w:r w:rsidRPr="009224DE">
        <w:rPr>
          <w:rFonts w:ascii="Times New Roman" w:hAnsi="Times New Roman" w:cs="Times New Roman"/>
          <w:b/>
          <w:bCs/>
          <w:sz w:val="24"/>
          <w:szCs w:val="24"/>
          <w:lang w:val="en-US"/>
        </w:rPr>
        <w:t>Research Questions and Hypotheses</w:t>
      </w:r>
    </w:p>
    <w:p w14:paraId="439F2E38" w14:textId="77777777" w:rsidR="009224DE" w:rsidRPr="009224DE" w:rsidRDefault="009224DE" w:rsidP="008B23A7">
      <w:pPr>
        <w:spacing w:line="480" w:lineRule="auto"/>
        <w:rPr>
          <w:rFonts w:ascii="Times New Roman" w:hAnsi="Times New Roman" w:cs="Times New Roman"/>
          <w:sz w:val="24"/>
          <w:szCs w:val="24"/>
          <w:lang w:val="en-US"/>
        </w:rPr>
      </w:pPr>
      <w:r w:rsidRPr="009224DE">
        <w:rPr>
          <w:rFonts w:ascii="Times New Roman" w:hAnsi="Times New Roman" w:cs="Times New Roman"/>
          <w:sz w:val="24"/>
          <w:szCs w:val="24"/>
          <w:lang w:val="en-US"/>
        </w:rPr>
        <w:t>This study is organized around three research questions, each tested across the steel, aluminum, and automobile sector groups.</w:t>
      </w:r>
    </w:p>
    <w:p w14:paraId="4CBCFC3D" w14:textId="77777777" w:rsidR="009224DE" w:rsidRPr="009224DE" w:rsidRDefault="009224DE" w:rsidP="009224DE">
      <w:pPr>
        <w:spacing w:line="480" w:lineRule="auto"/>
        <w:rPr>
          <w:rFonts w:ascii="Times New Roman" w:hAnsi="Times New Roman" w:cs="Times New Roman"/>
          <w:sz w:val="24"/>
          <w:szCs w:val="24"/>
          <w:lang w:val="en-US"/>
        </w:rPr>
      </w:pPr>
      <w:r w:rsidRPr="009224DE">
        <w:rPr>
          <w:rFonts w:ascii="Times New Roman" w:hAnsi="Times New Roman" w:cs="Times New Roman"/>
          <w:b/>
          <w:bCs/>
          <w:sz w:val="24"/>
          <w:szCs w:val="24"/>
          <w:lang w:val="en-US"/>
        </w:rPr>
        <w:t>RQ1:</w:t>
      </w:r>
      <w:r w:rsidRPr="009224DE">
        <w:rPr>
          <w:rFonts w:ascii="Times New Roman" w:hAnsi="Times New Roman" w:cs="Times New Roman"/>
          <w:sz w:val="24"/>
          <w:szCs w:val="24"/>
          <w:lang w:val="en-US"/>
        </w:rPr>
        <w:t xml:space="preserve"> For selected tariff-exposed steel, aluminum, and automobile HS code groups, did Canada's average monthly imports from the United States decline during tariff periods compared with non-tariff periods?</w:t>
      </w:r>
    </w:p>
    <w:p w14:paraId="09259132" w14:textId="77777777" w:rsidR="009224DE" w:rsidRPr="009224DE" w:rsidRDefault="009224DE" w:rsidP="009224DE">
      <w:pPr>
        <w:spacing w:line="480" w:lineRule="auto"/>
        <w:rPr>
          <w:rFonts w:ascii="Times New Roman" w:hAnsi="Times New Roman" w:cs="Times New Roman"/>
          <w:sz w:val="24"/>
          <w:szCs w:val="24"/>
          <w:lang w:val="en-US"/>
        </w:rPr>
      </w:pPr>
      <w:r w:rsidRPr="009224DE">
        <w:rPr>
          <w:rFonts w:ascii="Times New Roman" w:hAnsi="Times New Roman" w:cs="Times New Roman"/>
          <w:b/>
          <w:bCs/>
          <w:sz w:val="24"/>
          <w:szCs w:val="24"/>
          <w:lang w:val="en-US"/>
        </w:rPr>
        <w:t>H0₁:</w:t>
      </w:r>
      <w:r w:rsidRPr="009224DE">
        <w:rPr>
          <w:rFonts w:ascii="Times New Roman" w:hAnsi="Times New Roman" w:cs="Times New Roman"/>
          <w:sz w:val="24"/>
          <w:szCs w:val="24"/>
          <w:lang w:val="en-US"/>
        </w:rPr>
        <w:t xml:space="preserve"> There is no statistically significant difference in the average monthly value of Canada's imports from the United States for the selected steel, aluminum, and automobile groups during tariff periods compared with non-tariff periods.</w:t>
      </w:r>
    </w:p>
    <w:p w14:paraId="013FE743" w14:textId="77777777" w:rsidR="009224DE" w:rsidRPr="009224DE" w:rsidRDefault="009224DE" w:rsidP="009224DE">
      <w:pPr>
        <w:spacing w:line="480" w:lineRule="auto"/>
        <w:rPr>
          <w:rFonts w:ascii="Times New Roman" w:hAnsi="Times New Roman" w:cs="Times New Roman"/>
          <w:sz w:val="24"/>
          <w:szCs w:val="24"/>
          <w:lang w:val="en-US"/>
        </w:rPr>
      </w:pPr>
      <w:r w:rsidRPr="009224DE">
        <w:rPr>
          <w:rFonts w:ascii="Times New Roman" w:hAnsi="Times New Roman" w:cs="Times New Roman"/>
          <w:b/>
          <w:bCs/>
          <w:sz w:val="24"/>
          <w:szCs w:val="24"/>
          <w:lang w:val="en-US"/>
        </w:rPr>
        <w:lastRenderedPageBreak/>
        <w:t>H1₁:</w:t>
      </w:r>
      <w:r w:rsidRPr="009224DE">
        <w:rPr>
          <w:rFonts w:ascii="Times New Roman" w:hAnsi="Times New Roman" w:cs="Times New Roman"/>
          <w:sz w:val="24"/>
          <w:szCs w:val="24"/>
          <w:lang w:val="en-US"/>
        </w:rPr>
        <w:t xml:space="preserve"> The average monthly value of Canada's imports from the United States for the selected steel, aluminum, and automobile groups is lower during tariff periods than during non-tariff periods.</w:t>
      </w:r>
    </w:p>
    <w:p w14:paraId="0B979C62" w14:textId="77777777" w:rsidR="009224DE" w:rsidRPr="009224DE" w:rsidRDefault="009224DE" w:rsidP="009224DE">
      <w:pPr>
        <w:spacing w:line="480" w:lineRule="auto"/>
        <w:rPr>
          <w:rFonts w:ascii="Times New Roman" w:hAnsi="Times New Roman" w:cs="Times New Roman"/>
          <w:sz w:val="24"/>
          <w:szCs w:val="24"/>
          <w:lang w:val="en-US"/>
        </w:rPr>
      </w:pPr>
      <w:r w:rsidRPr="009224DE">
        <w:rPr>
          <w:rFonts w:ascii="Times New Roman" w:hAnsi="Times New Roman" w:cs="Times New Roman"/>
          <w:b/>
          <w:bCs/>
          <w:sz w:val="24"/>
          <w:szCs w:val="24"/>
          <w:lang w:val="en-US"/>
        </w:rPr>
        <w:t>RQ2:</w:t>
      </w:r>
      <w:r w:rsidRPr="009224DE">
        <w:rPr>
          <w:rFonts w:ascii="Times New Roman" w:hAnsi="Times New Roman" w:cs="Times New Roman"/>
          <w:sz w:val="24"/>
          <w:szCs w:val="24"/>
          <w:lang w:val="en-US"/>
        </w:rPr>
        <w:t xml:space="preserve"> For those same tariff-exposed groups, did Canada's average monthly imports from non-U.S. countries increase during tariff periods compared with non-tariff periods?</w:t>
      </w:r>
    </w:p>
    <w:p w14:paraId="52570111" w14:textId="77777777" w:rsidR="009224DE" w:rsidRPr="009224DE" w:rsidRDefault="009224DE" w:rsidP="009224DE">
      <w:pPr>
        <w:spacing w:line="480" w:lineRule="auto"/>
        <w:rPr>
          <w:rFonts w:ascii="Times New Roman" w:hAnsi="Times New Roman" w:cs="Times New Roman"/>
          <w:sz w:val="24"/>
          <w:szCs w:val="24"/>
          <w:lang w:val="en-US"/>
        </w:rPr>
      </w:pPr>
      <w:r w:rsidRPr="009224DE">
        <w:rPr>
          <w:rFonts w:ascii="Times New Roman" w:hAnsi="Times New Roman" w:cs="Times New Roman"/>
          <w:b/>
          <w:bCs/>
          <w:sz w:val="24"/>
          <w:szCs w:val="24"/>
          <w:lang w:val="en-US"/>
        </w:rPr>
        <w:t>H0₂:</w:t>
      </w:r>
      <w:r w:rsidRPr="009224DE">
        <w:rPr>
          <w:rFonts w:ascii="Times New Roman" w:hAnsi="Times New Roman" w:cs="Times New Roman"/>
          <w:sz w:val="24"/>
          <w:szCs w:val="24"/>
          <w:lang w:val="en-US"/>
        </w:rPr>
        <w:t xml:space="preserve"> There is no statistically significant difference in the average monthly value of Canada's imports from non-U.S. countries for the selected steel, aluminum, and automobile groups during tariff periods compared with non-tariff periods.</w:t>
      </w:r>
    </w:p>
    <w:p w14:paraId="6ED0C79F" w14:textId="77777777" w:rsidR="009224DE" w:rsidRPr="009224DE" w:rsidRDefault="009224DE" w:rsidP="009224DE">
      <w:pPr>
        <w:spacing w:line="480" w:lineRule="auto"/>
        <w:rPr>
          <w:rFonts w:ascii="Times New Roman" w:hAnsi="Times New Roman" w:cs="Times New Roman"/>
          <w:sz w:val="24"/>
          <w:szCs w:val="24"/>
          <w:lang w:val="en-US"/>
        </w:rPr>
      </w:pPr>
      <w:r w:rsidRPr="009224DE">
        <w:rPr>
          <w:rFonts w:ascii="Times New Roman" w:hAnsi="Times New Roman" w:cs="Times New Roman"/>
          <w:b/>
          <w:bCs/>
          <w:sz w:val="24"/>
          <w:szCs w:val="24"/>
          <w:lang w:val="en-US"/>
        </w:rPr>
        <w:t>H1₂:</w:t>
      </w:r>
      <w:r w:rsidRPr="009224DE">
        <w:rPr>
          <w:rFonts w:ascii="Times New Roman" w:hAnsi="Times New Roman" w:cs="Times New Roman"/>
          <w:sz w:val="24"/>
          <w:szCs w:val="24"/>
          <w:lang w:val="en-US"/>
        </w:rPr>
        <w:t xml:space="preserve"> The average monthly value of Canada's imports from non-U.S. countries for the selected steel, aluminum, and automobile groups is higher during tariff periods than during non-tariff periods.</w:t>
      </w:r>
    </w:p>
    <w:p w14:paraId="5A870A35" w14:textId="77777777" w:rsidR="009224DE" w:rsidRPr="009224DE" w:rsidRDefault="009224DE" w:rsidP="009224DE">
      <w:pPr>
        <w:spacing w:line="480" w:lineRule="auto"/>
        <w:rPr>
          <w:rFonts w:ascii="Times New Roman" w:hAnsi="Times New Roman" w:cs="Times New Roman"/>
          <w:sz w:val="24"/>
          <w:szCs w:val="24"/>
          <w:lang w:val="en-US"/>
        </w:rPr>
      </w:pPr>
      <w:r w:rsidRPr="009224DE">
        <w:rPr>
          <w:rFonts w:ascii="Times New Roman" w:hAnsi="Times New Roman" w:cs="Times New Roman"/>
          <w:b/>
          <w:bCs/>
          <w:sz w:val="24"/>
          <w:szCs w:val="24"/>
          <w:lang w:val="en-US"/>
        </w:rPr>
        <w:t>RQ3:</w:t>
      </w:r>
      <w:r w:rsidRPr="009224DE">
        <w:rPr>
          <w:rFonts w:ascii="Times New Roman" w:hAnsi="Times New Roman" w:cs="Times New Roman"/>
          <w:sz w:val="24"/>
          <w:szCs w:val="24"/>
          <w:lang w:val="en-US"/>
        </w:rPr>
        <w:t xml:space="preserve"> For those same tariff-exposed groups, did Canada's exports to the United States decline during tariff periods compared with non-tariff periods?</w:t>
      </w:r>
    </w:p>
    <w:p w14:paraId="099F7F61" w14:textId="77777777" w:rsidR="009224DE" w:rsidRPr="009224DE" w:rsidRDefault="009224DE" w:rsidP="009224DE">
      <w:pPr>
        <w:spacing w:line="480" w:lineRule="auto"/>
        <w:rPr>
          <w:rFonts w:ascii="Times New Roman" w:hAnsi="Times New Roman" w:cs="Times New Roman"/>
          <w:sz w:val="24"/>
          <w:szCs w:val="24"/>
          <w:lang w:val="en-US"/>
        </w:rPr>
      </w:pPr>
      <w:r w:rsidRPr="009224DE">
        <w:rPr>
          <w:rFonts w:ascii="Times New Roman" w:hAnsi="Times New Roman" w:cs="Times New Roman"/>
          <w:b/>
          <w:bCs/>
          <w:sz w:val="24"/>
          <w:szCs w:val="24"/>
          <w:lang w:val="en-US"/>
        </w:rPr>
        <w:t>H0₃:</w:t>
      </w:r>
      <w:r w:rsidRPr="009224DE">
        <w:rPr>
          <w:rFonts w:ascii="Times New Roman" w:hAnsi="Times New Roman" w:cs="Times New Roman"/>
          <w:sz w:val="24"/>
          <w:szCs w:val="24"/>
          <w:lang w:val="en-US"/>
        </w:rPr>
        <w:t xml:space="preserve"> There is no statistically significant difference in the average monthly value of Canada's exports to the United States for the selected steel, aluminum, and automobile groups during tariff periods compared with non-tariff periods.</w:t>
      </w:r>
    </w:p>
    <w:p w14:paraId="46E663D6" w14:textId="77777777" w:rsidR="009224DE" w:rsidRDefault="009224DE" w:rsidP="009224DE">
      <w:pPr>
        <w:spacing w:line="480" w:lineRule="auto"/>
        <w:rPr>
          <w:rFonts w:ascii="Times New Roman" w:hAnsi="Times New Roman" w:cs="Times New Roman"/>
          <w:sz w:val="24"/>
          <w:szCs w:val="24"/>
          <w:lang w:val="en-US"/>
        </w:rPr>
      </w:pPr>
      <w:r w:rsidRPr="009224DE">
        <w:rPr>
          <w:rFonts w:ascii="Times New Roman" w:hAnsi="Times New Roman" w:cs="Times New Roman"/>
          <w:b/>
          <w:bCs/>
          <w:sz w:val="24"/>
          <w:szCs w:val="24"/>
          <w:lang w:val="en-US"/>
        </w:rPr>
        <w:t>H1₃:</w:t>
      </w:r>
      <w:r w:rsidRPr="009224DE">
        <w:rPr>
          <w:rFonts w:ascii="Times New Roman" w:hAnsi="Times New Roman" w:cs="Times New Roman"/>
          <w:sz w:val="24"/>
          <w:szCs w:val="24"/>
          <w:lang w:val="en-US"/>
        </w:rPr>
        <w:t xml:space="preserve"> The average monthly value of Canada's exports to the United States for the selected steel, aluminum, and automobile groups is lower during tariff periods than during non-tariff periods.</w:t>
      </w:r>
    </w:p>
    <w:p w14:paraId="6C5FD224" w14:textId="77777777" w:rsidR="00986AF7" w:rsidRPr="009224DE" w:rsidRDefault="00986AF7" w:rsidP="009224DE">
      <w:pPr>
        <w:spacing w:line="480" w:lineRule="auto"/>
        <w:rPr>
          <w:rFonts w:ascii="Times New Roman" w:hAnsi="Times New Roman" w:cs="Times New Roman"/>
          <w:sz w:val="24"/>
          <w:szCs w:val="24"/>
          <w:lang w:val="en-US"/>
        </w:rPr>
      </w:pPr>
    </w:p>
    <w:p w14:paraId="7F7C0529" w14:textId="77777777" w:rsidR="00A02CAA" w:rsidRPr="00A02CAA" w:rsidRDefault="00A02CAA" w:rsidP="00A02CAA">
      <w:pPr>
        <w:spacing w:line="480" w:lineRule="auto"/>
        <w:rPr>
          <w:rFonts w:ascii="Times New Roman" w:hAnsi="Times New Roman" w:cs="Times New Roman"/>
          <w:sz w:val="24"/>
          <w:szCs w:val="24"/>
          <w:lang w:val="en-US"/>
        </w:rPr>
      </w:pPr>
      <w:r w:rsidRPr="00A02CAA">
        <w:rPr>
          <w:rFonts w:ascii="Times New Roman" w:hAnsi="Times New Roman" w:cs="Times New Roman"/>
          <w:b/>
          <w:bCs/>
          <w:sz w:val="24"/>
          <w:szCs w:val="24"/>
          <w:lang w:val="en-US"/>
        </w:rPr>
        <w:t>Literature Review</w:t>
      </w:r>
    </w:p>
    <w:p w14:paraId="2C3AA754" w14:textId="692322B8" w:rsidR="00A02CAA" w:rsidRPr="00A02CAA" w:rsidRDefault="00A02CAA" w:rsidP="008B23A7">
      <w:pPr>
        <w:spacing w:line="480" w:lineRule="auto"/>
        <w:rPr>
          <w:rFonts w:ascii="Times New Roman" w:hAnsi="Times New Roman" w:cs="Times New Roman"/>
          <w:sz w:val="24"/>
          <w:szCs w:val="24"/>
          <w:lang w:val="en-US"/>
        </w:rPr>
      </w:pPr>
      <w:r w:rsidRPr="00A02CAA">
        <w:rPr>
          <w:rFonts w:ascii="Times New Roman" w:hAnsi="Times New Roman" w:cs="Times New Roman"/>
          <w:sz w:val="24"/>
          <w:szCs w:val="24"/>
          <w:lang w:val="en-US"/>
        </w:rPr>
        <w:t>The literature supporting this research covers historical trade policy analysis, simulation-based modeling, and empirical economic research, all of which connect to the core questions of how tariffs affect cross-border trade flows between the United States and Canada.</w:t>
      </w:r>
      <w:r w:rsidR="0022407E">
        <w:rPr>
          <w:rFonts w:ascii="Times New Roman" w:hAnsi="Times New Roman" w:cs="Times New Roman"/>
          <w:sz w:val="24"/>
          <w:szCs w:val="24"/>
          <w:lang w:val="en-US"/>
        </w:rPr>
        <w:t xml:space="preserve"> </w:t>
      </w:r>
      <w:r w:rsidRPr="00A02CAA">
        <w:rPr>
          <w:rFonts w:ascii="Times New Roman" w:hAnsi="Times New Roman" w:cs="Times New Roman"/>
          <w:sz w:val="24"/>
          <w:szCs w:val="24"/>
          <w:lang w:val="en-US"/>
        </w:rPr>
        <w:t xml:space="preserve">Trade between the </w:t>
      </w:r>
      <w:r w:rsidRPr="00A02CAA">
        <w:rPr>
          <w:rFonts w:ascii="Times New Roman" w:hAnsi="Times New Roman" w:cs="Times New Roman"/>
          <w:sz w:val="24"/>
          <w:szCs w:val="24"/>
          <w:lang w:val="en-US"/>
        </w:rPr>
        <w:lastRenderedPageBreak/>
        <w:t>two countries has long been shaped by policy decisions that carry real economic consequences on both sides of the border. Canada and Mexico's exports to the United States account for over 20% of their respective GDP, making both economies especially exposed to shifts in U.S. trade policy (May, 2025). Research modeling extreme tariff scenarios projects that Canada could experience GDP losses of nearly 4.5% below baseline under a targeted 25% tariff environment, which is the most severe projected outcome of any country analyzed in that research (May, 2025). This context reinforces why understanding the product-level effects of tariff episodes matters rather than relying on aggregate economic assumptions alone.</w:t>
      </w:r>
    </w:p>
    <w:p w14:paraId="61321908" w14:textId="77777777" w:rsidR="00A02CAA" w:rsidRPr="00A02CAA" w:rsidRDefault="00A02CAA" w:rsidP="00A02CAA">
      <w:pPr>
        <w:spacing w:line="480" w:lineRule="auto"/>
        <w:rPr>
          <w:rFonts w:ascii="Times New Roman" w:hAnsi="Times New Roman" w:cs="Times New Roman"/>
          <w:sz w:val="24"/>
          <w:szCs w:val="24"/>
          <w:lang w:val="en-US"/>
        </w:rPr>
      </w:pPr>
      <w:r w:rsidRPr="00A02CAA">
        <w:rPr>
          <w:rFonts w:ascii="Times New Roman" w:hAnsi="Times New Roman" w:cs="Times New Roman"/>
          <w:sz w:val="24"/>
          <w:szCs w:val="24"/>
          <w:lang w:val="en-US"/>
        </w:rPr>
        <w:t>At the bilateral level, the interdependence between the U.S. and Canadian economies means that tariff escalation carries costs for both sides rather than producing clear winners. The high economic costs of both initial U.S. tariffs and retaliatory Canadian measures highlight how deeply connected the two economies are across major industries (Liu, 2026). This is particularly relevant to the current study because it supports the expectation that tariff periods should produce observable changes in trade data, while also reinforcing the need to avoid drawing absolute conclusions given the range of other economic forces that can influence trade volumes at the same time.</w:t>
      </w:r>
    </w:p>
    <w:p w14:paraId="59F727BD" w14:textId="022D41E4" w:rsidR="00A02CAA" w:rsidRPr="00A02CAA" w:rsidRDefault="00A02CAA" w:rsidP="00283C40">
      <w:pPr>
        <w:spacing w:line="480" w:lineRule="auto"/>
        <w:ind w:firstLine="720"/>
        <w:rPr>
          <w:rFonts w:ascii="Times New Roman" w:hAnsi="Times New Roman" w:cs="Times New Roman"/>
          <w:sz w:val="24"/>
          <w:szCs w:val="24"/>
          <w:lang w:val="en-US"/>
        </w:rPr>
      </w:pPr>
      <w:r w:rsidRPr="00A02CAA">
        <w:rPr>
          <w:rFonts w:ascii="Times New Roman" w:hAnsi="Times New Roman" w:cs="Times New Roman"/>
          <w:sz w:val="24"/>
          <w:szCs w:val="24"/>
          <w:lang w:val="en-US"/>
        </w:rPr>
        <w:t>Simulation-based research using the International Trade Closeness Model finds that protectionist trade policies result in economic inefficiencies, inflationary pressures, and market distortions across agriculture, manufacturing, heavy industry, and services (Ruiz Estrada et al., 2025). The model also demonstrates a near-perfect correlation</w:t>
      </w:r>
      <w:r w:rsidR="002F33A4">
        <w:rPr>
          <w:rFonts w:ascii="Times New Roman" w:hAnsi="Times New Roman" w:cs="Times New Roman"/>
          <w:sz w:val="24"/>
          <w:szCs w:val="24"/>
          <w:lang w:val="en-US"/>
        </w:rPr>
        <w:t xml:space="preserve"> (very close to 1)</w:t>
      </w:r>
      <w:r w:rsidRPr="00A02CAA">
        <w:rPr>
          <w:rFonts w:ascii="Times New Roman" w:hAnsi="Times New Roman" w:cs="Times New Roman"/>
          <w:sz w:val="24"/>
          <w:szCs w:val="24"/>
          <w:lang w:val="en-US"/>
        </w:rPr>
        <w:t xml:space="preserve"> between tariff escalation and increasing trade closeness, suggesting that higher tariff barriers are strongly associated with reduced trade openness across multiple sectors (Ruiz Estrada et al., 2025). This is directly relevant to the steel, aluminum, and automobile sectors examined in this study, as </w:t>
      </w:r>
      <w:r w:rsidRPr="00A02CAA">
        <w:rPr>
          <w:rFonts w:ascii="Times New Roman" w:hAnsi="Times New Roman" w:cs="Times New Roman"/>
          <w:sz w:val="24"/>
          <w:szCs w:val="24"/>
          <w:lang w:val="en-US"/>
        </w:rPr>
        <w:lastRenderedPageBreak/>
        <w:t>those sectors showed the highest closeness scores in the model's analysis of U.S. and Canada trade patterns.</w:t>
      </w:r>
    </w:p>
    <w:p w14:paraId="79BC63B6" w14:textId="77777777" w:rsidR="00A02CAA" w:rsidRPr="00A02CAA" w:rsidRDefault="00A02CAA" w:rsidP="002F33A4">
      <w:pPr>
        <w:spacing w:line="480" w:lineRule="auto"/>
        <w:ind w:firstLine="720"/>
        <w:rPr>
          <w:rFonts w:ascii="Times New Roman" w:hAnsi="Times New Roman" w:cs="Times New Roman"/>
          <w:sz w:val="24"/>
          <w:szCs w:val="24"/>
          <w:lang w:val="en-US"/>
        </w:rPr>
      </w:pPr>
      <w:r w:rsidRPr="00A02CAA">
        <w:rPr>
          <w:rFonts w:ascii="Times New Roman" w:hAnsi="Times New Roman" w:cs="Times New Roman"/>
          <w:sz w:val="24"/>
          <w:szCs w:val="24"/>
          <w:lang w:val="en-US"/>
        </w:rPr>
        <w:t>Historical empirical research on the Canada-U.S. Free Trade Agreement provides useful grounding for understanding how trade policy changes reshape economic outcomes over time. The FTA created substantial long-run productivity benefits, though the short-run worker displacement costs were also substantial (</w:t>
      </w:r>
      <w:proofErr w:type="spellStart"/>
      <w:r w:rsidRPr="00A02CAA">
        <w:rPr>
          <w:rFonts w:ascii="Times New Roman" w:hAnsi="Times New Roman" w:cs="Times New Roman"/>
          <w:sz w:val="24"/>
          <w:szCs w:val="24"/>
          <w:lang w:val="en-US"/>
        </w:rPr>
        <w:t>Trefler</w:t>
      </w:r>
      <w:proofErr w:type="spellEnd"/>
      <w:r w:rsidRPr="00A02CAA">
        <w:rPr>
          <w:rFonts w:ascii="Times New Roman" w:hAnsi="Times New Roman" w:cs="Times New Roman"/>
          <w:sz w:val="24"/>
          <w:szCs w:val="24"/>
          <w:lang w:val="en-US"/>
        </w:rPr>
        <w:t>, 2001). This is relevant because it shows that trade policy changes between the two countries produce measurable sector-level effects that can be difficult to separate from broader economic trends, which is a challenge this study addresses by using a clearly defined tariff timeline and a long pre-tariff baseline period for comparison.</w:t>
      </w:r>
    </w:p>
    <w:p w14:paraId="4B4A2617" w14:textId="275DC59A" w:rsidR="00A02CAA" w:rsidRPr="00A02CAA" w:rsidRDefault="00A02CAA" w:rsidP="00A02CAA">
      <w:pPr>
        <w:spacing w:line="480" w:lineRule="auto"/>
        <w:rPr>
          <w:rFonts w:ascii="Times New Roman" w:hAnsi="Times New Roman" w:cs="Times New Roman"/>
          <w:sz w:val="24"/>
          <w:szCs w:val="24"/>
          <w:lang w:val="en-US"/>
        </w:rPr>
      </w:pPr>
      <w:r w:rsidRPr="00A02CAA">
        <w:rPr>
          <w:rFonts w:ascii="Times New Roman" w:hAnsi="Times New Roman" w:cs="Times New Roman"/>
          <w:sz w:val="24"/>
          <w:szCs w:val="24"/>
          <w:lang w:val="en-US"/>
        </w:rPr>
        <w:t>Together</w:t>
      </w:r>
      <w:r w:rsidR="00283C40">
        <w:rPr>
          <w:rFonts w:ascii="Times New Roman" w:hAnsi="Times New Roman" w:cs="Times New Roman"/>
          <w:sz w:val="24"/>
          <w:szCs w:val="24"/>
          <w:lang w:val="en-US"/>
        </w:rPr>
        <w:t>,</w:t>
      </w:r>
      <w:r w:rsidRPr="00A02CAA">
        <w:rPr>
          <w:rFonts w:ascii="Times New Roman" w:hAnsi="Times New Roman" w:cs="Times New Roman"/>
          <w:sz w:val="24"/>
          <w:szCs w:val="24"/>
          <w:lang w:val="en-US"/>
        </w:rPr>
        <w:t xml:space="preserve"> these sources support the analytical framework of this study by confirming that tariff policy between the United States and Canada has historically produced measurable trade and economic effects, while also reinforcing the importance of presenting findings as associations rather than absolute causal conclusions.</w:t>
      </w:r>
    </w:p>
    <w:p w14:paraId="56709D7A" w14:textId="77777777" w:rsidR="004B3B40" w:rsidRPr="004B3B40" w:rsidRDefault="004B3B40" w:rsidP="004B3B40">
      <w:pPr>
        <w:spacing w:line="480" w:lineRule="auto"/>
        <w:rPr>
          <w:rFonts w:ascii="Times New Roman" w:hAnsi="Times New Roman" w:cs="Times New Roman"/>
          <w:sz w:val="24"/>
          <w:szCs w:val="24"/>
          <w:lang w:val="en-US"/>
        </w:rPr>
      </w:pPr>
      <w:r w:rsidRPr="004B3B40">
        <w:rPr>
          <w:rFonts w:ascii="Times New Roman" w:hAnsi="Times New Roman" w:cs="Times New Roman"/>
          <w:b/>
          <w:bCs/>
          <w:sz w:val="24"/>
          <w:szCs w:val="24"/>
          <w:lang w:val="en-US"/>
        </w:rPr>
        <w:t>Research Design</w:t>
      </w:r>
    </w:p>
    <w:p w14:paraId="39563D71" w14:textId="77777777" w:rsidR="004B3B40" w:rsidRPr="004B3B40" w:rsidRDefault="004B3B40" w:rsidP="004B3B40">
      <w:pPr>
        <w:spacing w:line="480" w:lineRule="auto"/>
        <w:rPr>
          <w:rFonts w:ascii="Times New Roman" w:hAnsi="Times New Roman" w:cs="Times New Roman"/>
          <w:sz w:val="24"/>
          <w:szCs w:val="24"/>
          <w:lang w:val="en-US"/>
        </w:rPr>
      </w:pPr>
      <w:r w:rsidRPr="004B3B40">
        <w:rPr>
          <w:rFonts w:ascii="Times New Roman" w:hAnsi="Times New Roman" w:cs="Times New Roman"/>
          <w:b/>
          <w:bCs/>
          <w:sz w:val="24"/>
          <w:szCs w:val="24"/>
          <w:lang w:val="en-US"/>
        </w:rPr>
        <w:t>Methodology</w:t>
      </w:r>
    </w:p>
    <w:p w14:paraId="3C7FF603" w14:textId="77777777" w:rsidR="004B3B40" w:rsidRPr="004B3B40" w:rsidRDefault="004B3B40" w:rsidP="008B23A7">
      <w:pPr>
        <w:spacing w:line="480" w:lineRule="auto"/>
        <w:rPr>
          <w:rFonts w:ascii="Times New Roman" w:hAnsi="Times New Roman" w:cs="Times New Roman"/>
          <w:sz w:val="24"/>
          <w:szCs w:val="24"/>
          <w:lang w:val="en-US"/>
        </w:rPr>
      </w:pPr>
      <w:r w:rsidRPr="004B3B40">
        <w:rPr>
          <w:rFonts w:ascii="Times New Roman" w:hAnsi="Times New Roman" w:cs="Times New Roman"/>
          <w:sz w:val="24"/>
          <w:szCs w:val="24"/>
          <w:lang w:val="en-US"/>
        </w:rPr>
        <w:t>This study uses a quantitative research design based on secondary trade data. Quantitative methods were chosen because the research questions require numerical comparison of trade values across defined time periods, which calls for statistical testing rather than qualitative interpretation. The data are observational in nature, meaning the study does not manipulate any variables or conduct experiments, but instead analyzes patterns in existing trade records to test whether tariff periods are associated with statistically detectable differences in trade volumes.</w:t>
      </w:r>
    </w:p>
    <w:p w14:paraId="140DA264" w14:textId="1C7FBB2B" w:rsidR="004B3B40" w:rsidRPr="004B3B40" w:rsidRDefault="004B3B40" w:rsidP="004B3B40">
      <w:pPr>
        <w:spacing w:line="480" w:lineRule="auto"/>
        <w:rPr>
          <w:rFonts w:ascii="Times New Roman" w:hAnsi="Times New Roman" w:cs="Times New Roman"/>
          <w:sz w:val="24"/>
          <w:szCs w:val="24"/>
          <w:lang w:val="en-US"/>
        </w:rPr>
      </w:pPr>
      <w:r w:rsidRPr="004B3B40">
        <w:rPr>
          <w:rFonts w:ascii="Times New Roman" w:hAnsi="Times New Roman" w:cs="Times New Roman"/>
          <w:sz w:val="24"/>
          <w:szCs w:val="24"/>
          <w:lang w:val="en-US"/>
        </w:rPr>
        <w:t xml:space="preserve">The primary unit of analysis is the monthly trade value in U.S. dollars for each of the 15 selected HS codes, grouped into three sector clusters. Each monthly observation is coded as either a </w:t>
      </w:r>
      <w:r w:rsidRPr="004B3B40">
        <w:rPr>
          <w:rFonts w:ascii="Times New Roman" w:hAnsi="Times New Roman" w:cs="Times New Roman"/>
          <w:sz w:val="24"/>
          <w:szCs w:val="24"/>
          <w:lang w:val="en-US"/>
        </w:rPr>
        <w:lastRenderedPageBreak/>
        <w:t>tariff-active period or a non-tariff period based on the official tariff timeline, which allows direct comparison of trade behavior under the two conditions. This design is straightforward, repeatable, and transparent</w:t>
      </w:r>
      <w:r>
        <w:rPr>
          <w:rFonts w:ascii="Times New Roman" w:hAnsi="Times New Roman" w:cs="Times New Roman"/>
          <w:sz w:val="24"/>
          <w:szCs w:val="24"/>
          <w:lang w:val="en-US"/>
        </w:rPr>
        <w:t>.</w:t>
      </w:r>
    </w:p>
    <w:p w14:paraId="04CCB594" w14:textId="77777777" w:rsidR="00B00EF1" w:rsidRPr="00B00EF1" w:rsidRDefault="00B00EF1" w:rsidP="00B00EF1">
      <w:pPr>
        <w:spacing w:line="480" w:lineRule="auto"/>
        <w:rPr>
          <w:rFonts w:ascii="Times New Roman" w:hAnsi="Times New Roman" w:cs="Times New Roman"/>
          <w:sz w:val="24"/>
          <w:szCs w:val="24"/>
          <w:lang w:val="en-US"/>
        </w:rPr>
      </w:pPr>
      <w:r w:rsidRPr="00B00EF1">
        <w:rPr>
          <w:rFonts w:ascii="Times New Roman" w:hAnsi="Times New Roman" w:cs="Times New Roman"/>
          <w:b/>
          <w:bCs/>
          <w:sz w:val="24"/>
          <w:szCs w:val="24"/>
          <w:lang w:val="en-US"/>
        </w:rPr>
        <w:t>Methods</w:t>
      </w:r>
    </w:p>
    <w:p w14:paraId="3C5E9129" w14:textId="77777777" w:rsidR="00B00EF1" w:rsidRPr="00B00EF1" w:rsidRDefault="00B00EF1" w:rsidP="002F33A4">
      <w:pPr>
        <w:spacing w:line="480" w:lineRule="auto"/>
        <w:ind w:firstLine="720"/>
        <w:rPr>
          <w:rFonts w:ascii="Times New Roman" w:hAnsi="Times New Roman" w:cs="Times New Roman"/>
          <w:sz w:val="24"/>
          <w:szCs w:val="24"/>
          <w:lang w:val="en-US"/>
        </w:rPr>
      </w:pPr>
      <w:r w:rsidRPr="00B00EF1">
        <w:rPr>
          <w:rFonts w:ascii="Times New Roman" w:hAnsi="Times New Roman" w:cs="Times New Roman"/>
          <w:sz w:val="24"/>
          <w:szCs w:val="24"/>
          <w:lang w:val="en-US"/>
        </w:rPr>
        <w:t>The analytical process follows a structured sequence. Descriptive statistics are calculated first for each sector group and tariff period, including average monthly trade value, total trade value, and standard deviation. These summaries provide a baseline understanding of the data and help identify any outliers or unusual observations before hypothesis testing begins. Trend charts are also produced to visualize how trade flows moved over time relative to the tariff timeline, giving important context to the statistical results.</w:t>
      </w:r>
    </w:p>
    <w:p w14:paraId="54A1050A" w14:textId="77777777" w:rsidR="009634A9" w:rsidRDefault="009634A9" w:rsidP="002F33A4">
      <w:pPr>
        <w:spacing w:line="480" w:lineRule="auto"/>
        <w:ind w:firstLine="720"/>
        <w:rPr>
          <w:rFonts w:ascii="Times New Roman" w:hAnsi="Times New Roman" w:cs="Times New Roman"/>
          <w:sz w:val="24"/>
          <w:szCs w:val="24"/>
        </w:rPr>
      </w:pPr>
      <w:r w:rsidRPr="009634A9">
        <w:rPr>
          <w:rFonts w:ascii="Times New Roman" w:hAnsi="Times New Roman" w:cs="Times New Roman"/>
          <w:sz w:val="24"/>
          <w:szCs w:val="24"/>
        </w:rPr>
        <w:t>To test the three research hypotheses, Mann-Whitney U tests are applied to compare the distributions of trade values between tariff-on and tariff-off periods for each research question and sector group. The Mann-Whitney U test was selected because it does not require the data to follow a normal distribution, which is appropriate given that monthly trade data tends to be right-skewed with occasional large outliers. Rather than comparing means, this test evaluates whether values from one group tend to rank systematically higher or lower than values from the other group, making it well suited for detecting shifts in trade patterns between tariff-active and non-tariff periods.</w:t>
      </w:r>
    </w:p>
    <w:p w14:paraId="2575667C" w14:textId="524C4FDF" w:rsidR="00B00EF1" w:rsidRPr="00B00EF1" w:rsidRDefault="00B00EF1" w:rsidP="002F33A4">
      <w:pPr>
        <w:spacing w:line="480" w:lineRule="auto"/>
        <w:ind w:firstLine="720"/>
        <w:rPr>
          <w:rFonts w:ascii="Times New Roman" w:hAnsi="Times New Roman" w:cs="Times New Roman"/>
          <w:sz w:val="24"/>
          <w:szCs w:val="24"/>
          <w:lang w:val="en-US"/>
        </w:rPr>
      </w:pPr>
      <w:r w:rsidRPr="00B00EF1">
        <w:rPr>
          <w:rFonts w:ascii="Times New Roman" w:hAnsi="Times New Roman" w:cs="Times New Roman"/>
          <w:sz w:val="24"/>
          <w:szCs w:val="24"/>
          <w:lang w:val="en-US"/>
        </w:rPr>
        <w:t xml:space="preserve">Ordinary least squares regression is also applied using a tariff dummy variable coded as one for tariff-active months and zero for non-tariff months, with sector indicator variables included to control for differences across the steel, aluminum, and automobile groups. This approach estimates the association between tariff periods and trade values in a way that accounts </w:t>
      </w:r>
      <w:r w:rsidRPr="00B00EF1">
        <w:rPr>
          <w:rFonts w:ascii="Times New Roman" w:hAnsi="Times New Roman" w:cs="Times New Roman"/>
          <w:sz w:val="24"/>
          <w:szCs w:val="24"/>
          <w:lang w:val="en-US"/>
        </w:rPr>
        <w:lastRenderedPageBreak/>
        <w:t>for sector-level variation and provides a quantitative estimate of the magnitude of any detected difference.</w:t>
      </w:r>
    </w:p>
    <w:p w14:paraId="001D4185" w14:textId="77777777" w:rsidR="00ED2254" w:rsidRDefault="00ED2254" w:rsidP="00ED2254">
      <w:pPr>
        <w:spacing w:line="480" w:lineRule="auto"/>
        <w:ind w:firstLine="720"/>
        <w:rPr>
          <w:rFonts w:ascii="Times New Roman" w:hAnsi="Times New Roman" w:cs="Times New Roman"/>
          <w:sz w:val="24"/>
          <w:szCs w:val="24"/>
        </w:rPr>
      </w:pPr>
      <w:r w:rsidRPr="00ED2254">
        <w:rPr>
          <w:rFonts w:ascii="Times New Roman" w:hAnsi="Times New Roman" w:cs="Times New Roman"/>
          <w:sz w:val="24"/>
          <w:szCs w:val="24"/>
        </w:rPr>
        <w:t>Finally, a predictive forecast is developed using a linear trend fit to the pre-tariff baseline period of January 2012 through February 2018 as the foundation. The OLS beta estimated in the RQ3 regression serves as a tariff-effect adjustment applied to Scenario 1, while Scenario 2 projects the baseline trend forward without any tariff adjustment. Two scenarios are projected forward 24 months from January 2026, one assuming current tariffs remain in place and one assuming they are removed, to give decision makers a forward-looking perspective grounded in the observed historical data.</w:t>
      </w:r>
    </w:p>
    <w:p w14:paraId="28CF1D27" w14:textId="591119F2" w:rsidR="00DD5EAB" w:rsidRPr="00DD5EAB" w:rsidRDefault="00DD5EAB" w:rsidP="00ED2254">
      <w:pPr>
        <w:spacing w:line="480" w:lineRule="auto"/>
        <w:rPr>
          <w:rFonts w:ascii="Times New Roman" w:hAnsi="Times New Roman" w:cs="Times New Roman"/>
          <w:sz w:val="24"/>
          <w:szCs w:val="24"/>
          <w:lang w:val="en-US"/>
        </w:rPr>
      </w:pPr>
      <w:r w:rsidRPr="00DD5EAB">
        <w:rPr>
          <w:rFonts w:ascii="Times New Roman" w:hAnsi="Times New Roman" w:cs="Times New Roman"/>
          <w:b/>
          <w:bCs/>
          <w:sz w:val="24"/>
          <w:szCs w:val="24"/>
          <w:lang w:val="en-US"/>
        </w:rPr>
        <w:t>Limitations</w:t>
      </w:r>
    </w:p>
    <w:p w14:paraId="2C9E3A8F" w14:textId="77777777" w:rsidR="00DD5EAB" w:rsidRPr="00DD5EAB" w:rsidRDefault="00DD5EAB" w:rsidP="00ED2254">
      <w:pPr>
        <w:spacing w:line="480" w:lineRule="auto"/>
        <w:rPr>
          <w:rFonts w:ascii="Times New Roman" w:hAnsi="Times New Roman" w:cs="Times New Roman"/>
          <w:sz w:val="24"/>
          <w:szCs w:val="24"/>
          <w:lang w:val="en-US"/>
        </w:rPr>
      </w:pPr>
      <w:r w:rsidRPr="00DD5EAB">
        <w:rPr>
          <w:rFonts w:ascii="Times New Roman" w:hAnsi="Times New Roman" w:cs="Times New Roman"/>
          <w:sz w:val="24"/>
          <w:szCs w:val="24"/>
          <w:lang w:val="en-US"/>
        </w:rPr>
        <w:t>Several limitations should be considered when interpreting the results of this study. The most significant is that the Canadian import data available through Statistics Canada Trade Data Online is provided at an annual frequency for the full historical period, while monthly data is only available for the most recent 24 months. This means that the trade diversion analysis for Research Question 2 relies on annual data for the majority of the study period and monthly data only for the 2025 tariff episode. While this approach is analytically defensible and transparently documented, it does introduce a difference in granularity between datasets that should be kept in mind when comparing results across research questions.</w:t>
      </w:r>
    </w:p>
    <w:p w14:paraId="4D394E2D" w14:textId="77777777" w:rsidR="00DD5EAB" w:rsidRPr="00DD5EAB" w:rsidRDefault="00DD5EAB" w:rsidP="002F33A4">
      <w:pPr>
        <w:spacing w:line="480" w:lineRule="auto"/>
        <w:ind w:firstLine="720"/>
        <w:rPr>
          <w:rFonts w:ascii="Times New Roman" w:hAnsi="Times New Roman" w:cs="Times New Roman"/>
          <w:sz w:val="24"/>
          <w:szCs w:val="24"/>
          <w:lang w:val="en-US"/>
        </w:rPr>
      </w:pPr>
      <w:r w:rsidRPr="00DD5EAB">
        <w:rPr>
          <w:rFonts w:ascii="Times New Roman" w:hAnsi="Times New Roman" w:cs="Times New Roman"/>
          <w:sz w:val="24"/>
          <w:szCs w:val="24"/>
          <w:lang w:val="en-US"/>
        </w:rPr>
        <w:t xml:space="preserve">A second limitation is that trade flows are influenced by many factors beyond tariff policy. Exchange rate movements, inflation, seasonal demand cycles, supply chain disruptions, and broader macroeconomic conditions can all shift trade volumes independently of whether tariffs are active. This study does not control for all of these variables, which means the results reflect associations between tariff periods and trade outcomes rather than isolated causal effects </w:t>
      </w:r>
      <w:r w:rsidRPr="00DD5EAB">
        <w:rPr>
          <w:rFonts w:ascii="Times New Roman" w:hAnsi="Times New Roman" w:cs="Times New Roman"/>
          <w:sz w:val="24"/>
          <w:szCs w:val="24"/>
          <w:lang w:val="en-US"/>
        </w:rPr>
        <w:lastRenderedPageBreak/>
        <w:t>of tariff policy alone. Events such as the COVID-19 pandemic in 2020 and the energy market disruptions following Russia's invasion of Ukraine in 2022 are notable examples of non-tariff factors that caused significant short-term movement in trade data during the study period.</w:t>
      </w:r>
    </w:p>
    <w:p w14:paraId="2A78E01A" w14:textId="77777777" w:rsidR="00DD5EAB" w:rsidRPr="00DD5EAB" w:rsidRDefault="00DD5EAB" w:rsidP="002F33A4">
      <w:pPr>
        <w:spacing w:line="480" w:lineRule="auto"/>
        <w:ind w:firstLine="720"/>
        <w:rPr>
          <w:rFonts w:ascii="Times New Roman" w:hAnsi="Times New Roman" w:cs="Times New Roman"/>
          <w:sz w:val="24"/>
          <w:szCs w:val="24"/>
          <w:lang w:val="en-US"/>
        </w:rPr>
      </w:pPr>
      <w:r w:rsidRPr="00DD5EAB">
        <w:rPr>
          <w:rFonts w:ascii="Times New Roman" w:hAnsi="Times New Roman" w:cs="Times New Roman"/>
          <w:sz w:val="24"/>
          <w:szCs w:val="24"/>
          <w:lang w:val="en-US"/>
        </w:rPr>
        <w:t>A third limitation involves data granularity. The datasets used in this study report monthly dollar values aggregated across all transactions for each HS code. More granular data showing individual shipment quantities, specific supplier identities, and unit-level pricing would allow for a more precise analysis of trade diversion and supply chain shifts. Without that level of detail, the analysis is limited to observing changes in aggregate dollar values, which can be influenced by price changes as well as volume changes.</w:t>
      </w:r>
    </w:p>
    <w:p w14:paraId="7A3A116B" w14:textId="77777777" w:rsidR="00DD5EAB" w:rsidRPr="00DD5EAB" w:rsidRDefault="00DD5EAB" w:rsidP="002F33A4">
      <w:pPr>
        <w:spacing w:line="480" w:lineRule="auto"/>
        <w:ind w:firstLine="720"/>
        <w:rPr>
          <w:rFonts w:ascii="Times New Roman" w:hAnsi="Times New Roman" w:cs="Times New Roman"/>
          <w:sz w:val="24"/>
          <w:szCs w:val="24"/>
          <w:lang w:val="en-US"/>
        </w:rPr>
      </w:pPr>
      <w:r w:rsidRPr="00DD5EAB">
        <w:rPr>
          <w:rFonts w:ascii="Times New Roman" w:hAnsi="Times New Roman" w:cs="Times New Roman"/>
          <w:sz w:val="24"/>
          <w:szCs w:val="24"/>
          <w:lang w:val="en-US"/>
        </w:rPr>
        <w:t>Finally, the 15 HS codes selected for this study represent a focused subset of tariff-exposed products and do not capture the full range of goods affected by U.S.-Canada tariff policy. The findings should therefore be interpreted as representative of the steel, aluminum, and automobile sectors specifically rather than as a comprehensive picture of all tariff impacts across the broader trade relationship.</w:t>
      </w:r>
    </w:p>
    <w:p w14:paraId="6EE1CC9D" w14:textId="77777777" w:rsidR="00CC04B7" w:rsidRPr="00CC04B7" w:rsidRDefault="00CC04B7" w:rsidP="00CC04B7">
      <w:pPr>
        <w:spacing w:line="480" w:lineRule="auto"/>
        <w:rPr>
          <w:rFonts w:ascii="Times New Roman" w:hAnsi="Times New Roman" w:cs="Times New Roman"/>
          <w:sz w:val="24"/>
          <w:szCs w:val="24"/>
          <w:lang w:val="en-US"/>
        </w:rPr>
      </w:pPr>
      <w:r w:rsidRPr="00CC04B7">
        <w:rPr>
          <w:rFonts w:ascii="Times New Roman" w:hAnsi="Times New Roman" w:cs="Times New Roman"/>
          <w:b/>
          <w:bCs/>
          <w:sz w:val="24"/>
          <w:szCs w:val="24"/>
          <w:lang w:val="en-US"/>
        </w:rPr>
        <w:t>Ethical Considerations</w:t>
      </w:r>
    </w:p>
    <w:p w14:paraId="6773A7A8" w14:textId="77777777" w:rsidR="00CC04B7" w:rsidRPr="00CC04B7" w:rsidRDefault="00CC04B7" w:rsidP="008B23A7">
      <w:pPr>
        <w:spacing w:line="480" w:lineRule="auto"/>
        <w:rPr>
          <w:rFonts w:ascii="Times New Roman" w:hAnsi="Times New Roman" w:cs="Times New Roman"/>
          <w:sz w:val="24"/>
          <w:szCs w:val="24"/>
          <w:lang w:val="en-US"/>
        </w:rPr>
      </w:pPr>
      <w:r w:rsidRPr="00CC04B7">
        <w:rPr>
          <w:rFonts w:ascii="Times New Roman" w:hAnsi="Times New Roman" w:cs="Times New Roman"/>
          <w:sz w:val="24"/>
          <w:szCs w:val="24"/>
          <w:lang w:val="en-US"/>
        </w:rPr>
        <w:t>Although this study uses publicly available trade data rather than data collected from human subjects, there are several ethical considerations worth addressing in the interest of responsible and transparent research.</w:t>
      </w:r>
    </w:p>
    <w:p w14:paraId="5AF3C55A" w14:textId="77777777" w:rsidR="00CC04B7" w:rsidRPr="00CC04B7" w:rsidRDefault="00CC04B7" w:rsidP="002F33A4">
      <w:pPr>
        <w:spacing w:line="480" w:lineRule="auto"/>
        <w:ind w:firstLine="720"/>
        <w:rPr>
          <w:rFonts w:ascii="Times New Roman" w:hAnsi="Times New Roman" w:cs="Times New Roman"/>
          <w:sz w:val="24"/>
          <w:szCs w:val="24"/>
          <w:lang w:val="en-US"/>
        </w:rPr>
      </w:pPr>
      <w:r w:rsidRPr="00CC04B7">
        <w:rPr>
          <w:rFonts w:ascii="Times New Roman" w:hAnsi="Times New Roman" w:cs="Times New Roman"/>
          <w:sz w:val="24"/>
          <w:szCs w:val="24"/>
          <w:lang w:val="en-US"/>
        </w:rPr>
        <w:t xml:space="preserve">The most important ethical consideration is avoiding the overstatement of findings. Trade flows can be influenced by many different factors simultaneously, and it would be irresponsible to present the results of this analysis as definitive proof that tariffs alone caused any observed changes in trade volumes. Exchange rates, inflation, supply chain disruptions, seasonal demand patterns, and broader economic conditions all play a role in shaping trade data. For this reason, </w:t>
      </w:r>
      <w:r w:rsidRPr="00CC04B7">
        <w:rPr>
          <w:rFonts w:ascii="Times New Roman" w:hAnsi="Times New Roman" w:cs="Times New Roman"/>
          <w:sz w:val="24"/>
          <w:szCs w:val="24"/>
          <w:lang w:val="en-US"/>
        </w:rPr>
        <w:lastRenderedPageBreak/>
        <w:t>findings are presented as associations between tariff periods and trade outcomes rather than absolute conclusions, and the limitations of the analysis are clearly acknowledged throughout the paper.</w:t>
      </w:r>
    </w:p>
    <w:p w14:paraId="54E6E80F" w14:textId="77777777" w:rsidR="00CC04B7" w:rsidRPr="00CC04B7" w:rsidRDefault="00CC04B7" w:rsidP="002F33A4">
      <w:pPr>
        <w:spacing w:line="480" w:lineRule="auto"/>
        <w:ind w:firstLine="720"/>
        <w:rPr>
          <w:rFonts w:ascii="Times New Roman" w:hAnsi="Times New Roman" w:cs="Times New Roman"/>
          <w:sz w:val="24"/>
          <w:szCs w:val="24"/>
          <w:lang w:val="en-US"/>
        </w:rPr>
      </w:pPr>
      <w:r w:rsidRPr="00CC04B7">
        <w:rPr>
          <w:rFonts w:ascii="Times New Roman" w:hAnsi="Times New Roman" w:cs="Times New Roman"/>
          <w:sz w:val="24"/>
          <w:szCs w:val="24"/>
          <w:lang w:val="en-US"/>
        </w:rPr>
        <w:t>A second ethical consideration involves fairness in how results are presented. Tariffs and trade policy are politically charged topics, and there is a risk of bias in how data is selected, interpreted, or framed. To reduce this risk, the datasets used in this study are publicly available official sources from both the U.S. and Canadian governments, and the analytical process is documented transparently so that it can be reviewed and replicated. No data was selectively excluded to support a preferred outcome, and the results are reported regardless of whether they support or fail to support the alternative hypotheses.</w:t>
      </w:r>
    </w:p>
    <w:p w14:paraId="39616389" w14:textId="77777777" w:rsidR="00CC04B7" w:rsidRPr="00CC04B7" w:rsidRDefault="00CC04B7" w:rsidP="002F33A4">
      <w:pPr>
        <w:spacing w:line="480" w:lineRule="auto"/>
        <w:ind w:firstLine="720"/>
        <w:rPr>
          <w:rFonts w:ascii="Times New Roman" w:hAnsi="Times New Roman" w:cs="Times New Roman"/>
          <w:sz w:val="24"/>
          <w:szCs w:val="24"/>
          <w:lang w:val="en-US"/>
        </w:rPr>
      </w:pPr>
      <w:r w:rsidRPr="00CC04B7">
        <w:rPr>
          <w:rFonts w:ascii="Times New Roman" w:hAnsi="Times New Roman" w:cs="Times New Roman"/>
          <w:sz w:val="24"/>
          <w:szCs w:val="24"/>
          <w:lang w:val="en-US"/>
        </w:rPr>
        <w:t>A third consideration involves data quality and consistency. The U.S. and Canadian datasets use harmonized HS6 classification codes, which were carefully verified to ensure that the same product categories are being compared across both datasets. Care was also taken to ensure that all values are reported in U.S. dollars to maintain consistency across the analysis. These steps were taken to ensure that the findings reflect actual trade patterns rather than artifacts of inconsistent data handling.</w:t>
      </w:r>
    </w:p>
    <w:p w14:paraId="683461AC" w14:textId="0E1445BB" w:rsidR="00CC04B7" w:rsidRPr="00CC04B7" w:rsidRDefault="00CC04B7" w:rsidP="002F33A4">
      <w:pPr>
        <w:spacing w:line="480" w:lineRule="auto"/>
        <w:ind w:firstLine="720"/>
        <w:rPr>
          <w:rFonts w:ascii="Times New Roman" w:hAnsi="Times New Roman" w:cs="Times New Roman"/>
          <w:sz w:val="24"/>
          <w:szCs w:val="24"/>
          <w:lang w:val="en-US"/>
        </w:rPr>
      </w:pPr>
      <w:r w:rsidRPr="00CC04B7">
        <w:rPr>
          <w:rFonts w:ascii="Times New Roman" w:hAnsi="Times New Roman" w:cs="Times New Roman"/>
          <w:sz w:val="24"/>
          <w:szCs w:val="24"/>
          <w:lang w:val="en-US"/>
        </w:rPr>
        <w:t>Finally</w:t>
      </w:r>
      <w:r w:rsidR="002F33A4">
        <w:rPr>
          <w:rFonts w:ascii="Times New Roman" w:hAnsi="Times New Roman" w:cs="Times New Roman"/>
          <w:sz w:val="24"/>
          <w:szCs w:val="24"/>
          <w:lang w:val="en-US"/>
        </w:rPr>
        <w:t>,</w:t>
      </w:r>
      <w:r w:rsidRPr="00CC04B7">
        <w:rPr>
          <w:rFonts w:ascii="Times New Roman" w:hAnsi="Times New Roman" w:cs="Times New Roman"/>
          <w:sz w:val="24"/>
          <w:szCs w:val="24"/>
          <w:lang w:val="en-US"/>
        </w:rPr>
        <w:t xml:space="preserve"> it is worth acknowledging that tariffs affect real people, not just numbers in a dataset. Changes in trade policy can impact manufacturers, workers, distributors, and consumers on both sides of the border. While this study focuses on aggregate trade data, the human dimension of these economic shifts is an important part of the broader context and should not be lost in the technical analysis.</w:t>
      </w:r>
    </w:p>
    <w:p w14:paraId="760C57F5" w14:textId="43383495" w:rsidR="00283237" w:rsidRPr="00283237" w:rsidRDefault="0099020F" w:rsidP="00283237">
      <w:pPr>
        <w:spacing w:line="480" w:lineRule="auto"/>
        <w:rPr>
          <w:rFonts w:ascii="Times New Roman" w:hAnsi="Times New Roman" w:cs="Times New Roman"/>
          <w:sz w:val="24"/>
          <w:szCs w:val="24"/>
          <w:lang w:val="en-US"/>
        </w:rPr>
      </w:pPr>
      <w:r>
        <w:rPr>
          <w:rFonts w:ascii="Times New Roman" w:hAnsi="Times New Roman" w:cs="Times New Roman"/>
          <w:b/>
          <w:bCs/>
          <w:sz w:val="24"/>
          <w:szCs w:val="24"/>
          <w:lang w:val="en-US"/>
        </w:rPr>
        <w:t>Transition to Findings</w:t>
      </w:r>
    </w:p>
    <w:p w14:paraId="035ED433" w14:textId="7E3973AC" w:rsidR="00101EE8" w:rsidRDefault="00101EE8" w:rsidP="00283237">
      <w:pPr>
        <w:spacing w:line="480" w:lineRule="auto"/>
        <w:rPr>
          <w:rFonts w:ascii="Times New Roman" w:hAnsi="Times New Roman" w:cs="Times New Roman"/>
          <w:sz w:val="24"/>
          <w:szCs w:val="24"/>
        </w:rPr>
      </w:pPr>
      <w:r w:rsidRPr="00101EE8">
        <w:rPr>
          <w:rFonts w:ascii="Times New Roman" w:hAnsi="Times New Roman" w:cs="Times New Roman"/>
          <w:sz w:val="24"/>
          <w:szCs w:val="24"/>
        </w:rPr>
        <w:lastRenderedPageBreak/>
        <w:t>This section has established the foundation for the analysis that follows. The research problem</w:t>
      </w:r>
      <w:r w:rsidR="00A76C1A">
        <w:rPr>
          <w:rFonts w:ascii="Times New Roman" w:hAnsi="Times New Roman" w:cs="Times New Roman"/>
          <w:sz w:val="24"/>
          <w:szCs w:val="24"/>
        </w:rPr>
        <w:t>s</w:t>
      </w:r>
      <w:r w:rsidRPr="00101EE8">
        <w:rPr>
          <w:rFonts w:ascii="Times New Roman" w:hAnsi="Times New Roman" w:cs="Times New Roman"/>
          <w:sz w:val="24"/>
          <w:szCs w:val="24"/>
        </w:rPr>
        <w:t xml:space="preserve"> ha</w:t>
      </w:r>
      <w:r w:rsidR="00A76C1A">
        <w:rPr>
          <w:rFonts w:ascii="Times New Roman" w:hAnsi="Times New Roman" w:cs="Times New Roman"/>
          <w:sz w:val="24"/>
          <w:szCs w:val="24"/>
        </w:rPr>
        <w:t>ve</w:t>
      </w:r>
      <w:r w:rsidRPr="00101EE8">
        <w:rPr>
          <w:rFonts w:ascii="Times New Roman" w:hAnsi="Times New Roman" w:cs="Times New Roman"/>
          <w:sz w:val="24"/>
          <w:szCs w:val="24"/>
        </w:rPr>
        <w:t xml:space="preserve"> been defined around two distinct U.S.-Canada tariff episodes and their potential effects on steel, aluminum, and automobile trade flows. Three research questions and their associated hypotheses have been developed, the datasets and analytical methods have been described, and the limitations and ethical considerations have been addressed transparently. The study compares trade volumes during tariff-active periods against non-tariff periods for 15 selected HS codes using data spanning January 2012 through January 2026. The following section presents the findings of that analysis, including descriptive statistics, hypothesis test results, and a two-scenario predictive forecast</w:t>
      </w:r>
      <w:r w:rsidR="000E36E7">
        <w:rPr>
          <w:rFonts w:ascii="Times New Roman" w:hAnsi="Times New Roman" w:cs="Times New Roman"/>
          <w:sz w:val="24"/>
          <w:szCs w:val="24"/>
        </w:rPr>
        <w:t>.</w:t>
      </w:r>
    </w:p>
    <w:p w14:paraId="165C5A48" w14:textId="51F371BA" w:rsidR="00BB1AF1" w:rsidRDefault="00085C30" w:rsidP="00283237">
      <w:pPr>
        <w:spacing w:line="480" w:lineRule="auto"/>
        <w:rPr>
          <w:rFonts w:ascii="Times New Roman" w:hAnsi="Times New Roman" w:cs="Times New Roman"/>
          <w:b/>
          <w:bCs/>
          <w:sz w:val="24"/>
          <w:szCs w:val="24"/>
          <w:lang w:val="en-US"/>
        </w:rPr>
      </w:pPr>
      <w:r>
        <w:rPr>
          <w:rFonts w:ascii="Times New Roman" w:hAnsi="Times New Roman" w:cs="Times New Roman"/>
          <w:b/>
          <w:bCs/>
          <w:sz w:val="24"/>
          <w:szCs w:val="24"/>
          <w:lang w:val="en-US"/>
        </w:rPr>
        <w:t>Findings</w:t>
      </w:r>
    </w:p>
    <w:p w14:paraId="438687ED" w14:textId="65DFB815" w:rsidR="000D630B" w:rsidRDefault="00C11173" w:rsidP="006E6AFB">
      <w:pPr>
        <w:spacing w:line="480" w:lineRule="auto"/>
        <w:rPr>
          <w:rFonts w:ascii="Times New Roman" w:hAnsi="Times New Roman" w:cs="Times New Roman"/>
          <w:sz w:val="24"/>
          <w:szCs w:val="24"/>
          <w:lang w:val="en-US"/>
        </w:rPr>
      </w:pPr>
      <w:r>
        <w:rPr>
          <w:rFonts w:ascii="Times New Roman" w:hAnsi="Times New Roman" w:cs="Times New Roman"/>
          <w:sz w:val="24"/>
          <w:szCs w:val="24"/>
          <w:lang w:val="en-US"/>
        </w:rPr>
        <w:t>Descriptive Statistics were calculated first to establish the baseline trade patterns in aluminum,</w:t>
      </w:r>
      <w:r w:rsidR="007C5079">
        <w:rPr>
          <w:rFonts w:ascii="Times New Roman" w:hAnsi="Times New Roman" w:cs="Times New Roman"/>
          <w:sz w:val="24"/>
          <w:szCs w:val="24"/>
          <w:lang w:val="en-US"/>
        </w:rPr>
        <w:t xml:space="preserve"> automotive, and steel sectors before moving into formal hypothesis testing. This step is important because the study is focused on comparing trade beh</w:t>
      </w:r>
      <w:r w:rsidR="00D74E21">
        <w:rPr>
          <w:rFonts w:ascii="Times New Roman" w:hAnsi="Times New Roman" w:cs="Times New Roman"/>
          <w:sz w:val="24"/>
          <w:szCs w:val="24"/>
          <w:lang w:val="en-US"/>
        </w:rPr>
        <w:t>avior during tariff-active and non-tariff periods</w:t>
      </w:r>
      <w:r w:rsidR="009848C5">
        <w:rPr>
          <w:rFonts w:ascii="Times New Roman" w:hAnsi="Times New Roman" w:cs="Times New Roman"/>
          <w:sz w:val="24"/>
          <w:szCs w:val="24"/>
          <w:lang w:val="en-US"/>
        </w:rPr>
        <w:t xml:space="preserve">, and the summary statistics provide a starting point for understanding the size, spread, </w:t>
      </w:r>
      <w:r w:rsidR="008E680F">
        <w:rPr>
          <w:rFonts w:ascii="Times New Roman" w:hAnsi="Times New Roman" w:cs="Times New Roman"/>
          <w:sz w:val="24"/>
          <w:szCs w:val="24"/>
          <w:lang w:val="en-US"/>
        </w:rPr>
        <w:t xml:space="preserve">and volatility of those trade flows over time. As described earlier in the paper, the analysis uses three connected datasets: U.S. exports to Canada, Canada’s imports by source country, and U.S. imports from </w:t>
      </w:r>
      <w:r w:rsidR="005D6F8C">
        <w:rPr>
          <w:rFonts w:ascii="Times New Roman" w:hAnsi="Times New Roman" w:cs="Times New Roman"/>
          <w:sz w:val="24"/>
          <w:szCs w:val="24"/>
          <w:lang w:val="en-US"/>
        </w:rPr>
        <w:t>Canada.</w:t>
      </w:r>
    </w:p>
    <w:p w14:paraId="02E134DF" w14:textId="45989A56" w:rsidR="007701E8" w:rsidRDefault="00A10D2C" w:rsidP="002F33A4">
      <w:pPr>
        <w:spacing w:line="480" w:lineRule="auto"/>
        <w:ind w:firstLine="720"/>
        <w:rPr>
          <w:rFonts w:ascii="Times New Roman" w:hAnsi="Times New Roman" w:cs="Times New Roman"/>
          <w:sz w:val="24"/>
          <w:szCs w:val="24"/>
        </w:rPr>
      </w:pPr>
      <w:r>
        <w:rPr>
          <w:rFonts w:ascii="Times New Roman" w:hAnsi="Times New Roman" w:cs="Times New Roman"/>
          <w:sz w:val="24"/>
          <w:szCs w:val="24"/>
        </w:rPr>
        <w:t>Figure 1</w:t>
      </w:r>
      <w:r w:rsidR="0032392D" w:rsidRPr="0032392D">
        <w:rPr>
          <w:rFonts w:ascii="Times New Roman" w:hAnsi="Times New Roman" w:cs="Times New Roman"/>
          <w:sz w:val="24"/>
          <w:szCs w:val="24"/>
        </w:rPr>
        <w:t xml:space="preserve"> presents the descriptive statistics for U.S. exports to Canada across all three sectors. The automotive sector dominated by a wide margin, with total exports of $8.90 billion over the study period compared with $1.74 billion for aluminum and $452.82 million for steel. The standard deviation for auto exports was also the largest at $18.09 million per month, reflecting greater volatility relative to the other two sectors.</w:t>
      </w:r>
    </w:p>
    <w:p w14:paraId="484B8570" w14:textId="23AC57CF" w:rsidR="0036516A" w:rsidRPr="006C0202" w:rsidRDefault="0036516A" w:rsidP="0036516A">
      <w:pPr>
        <w:spacing w:line="480" w:lineRule="auto"/>
        <w:rPr>
          <w:rFonts w:ascii="Times New Roman" w:hAnsi="Times New Roman" w:cs="Times New Roman"/>
          <w:sz w:val="24"/>
          <w:szCs w:val="24"/>
          <w:lang w:val="en-US"/>
        </w:rPr>
      </w:pPr>
      <w:r w:rsidRPr="00475BA2">
        <w:rPr>
          <w:rFonts w:ascii="Times New Roman" w:hAnsi="Times New Roman" w:cs="Times New Roman"/>
          <w:b/>
          <w:bCs/>
          <w:sz w:val="24"/>
          <w:szCs w:val="24"/>
        </w:rPr>
        <w:t xml:space="preserve">Figure </w:t>
      </w:r>
      <w:r>
        <w:rPr>
          <w:rFonts w:ascii="Times New Roman" w:hAnsi="Times New Roman" w:cs="Times New Roman"/>
          <w:b/>
          <w:bCs/>
          <w:sz w:val="24"/>
          <w:szCs w:val="24"/>
        </w:rPr>
        <w:t>1</w:t>
      </w:r>
    </w:p>
    <w:p w14:paraId="198CC418" w14:textId="42047659" w:rsidR="0036516A" w:rsidRPr="0036516A" w:rsidRDefault="0036516A" w:rsidP="0036516A">
      <w:pPr>
        <w:spacing w:line="480" w:lineRule="auto"/>
        <w:rPr>
          <w:rFonts w:ascii="Times New Roman" w:hAnsi="Times New Roman" w:cs="Times New Roman"/>
          <w:i/>
          <w:iCs/>
          <w:sz w:val="24"/>
          <w:szCs w:val="24"/>
        </w:rPr>
      </w:pPr>
      <w:r>
        <w:rPr>
          <w:rFonts w:ascii="Times New Roman" w:hAnsi="Times New Roman" w:cs="Times New Roman"/>
          <w:i/>
          <w:iCs/>
          <w:sz w:val="24"/>
          <w:szCs w:val="24"/>
        </w:rPr>
        <w:lastRenderedPageBreak/>
        <w:t>U.S.</w:t>
      </w:r>
      <w:r w:rsidR="00FC5F6D">
        <w:rPr>
          <w:rFonts w:ascii="Times New Roman" w:hAnsi="Times New Roman" w:cs="Times New Roman"/>
          <w:i/>
          <w:iCs/>
          <w:sz w:val="24"/>
          <w:szCs w:val="24"/>
        </w:rPr>
        <w:t xml:space="preserve"> Exports to Canada by Sector</w:t>
      </w:r>
    </w:p>
    <w:p w14:paraId="229C08D7" w14:textId="74A3A02F" w:rsidR="007701E8" w:rsidRDefault="00CD2079" w:rsidP="00CD2079">
      <w:pPr>
        <w:spacing w:line="480" w:lineRule="auto"/>
        <w:rPr>
          <w:rFonts w:ascii="Times New Roman" w:hAnsi="Times New Roman" w:cs="Times New Roman"/>
          <w:sz w:val="24"/>
          <w:szCs w:val="24"/>
        </w:rPr>
      </w:pPr>
      <w:r w:rsidRPr="00CD2079">
        <w:rPr>
          <w:rFonts w:ascii="Times New Roman" w:hAnsi="Times New Roman" w:cs="Times New Roman"/>
          <w:noProof/>
          <w:sz w:val="24"/>
          <w:szCs w:val="24"/>
        </w:rPr>
        <w:drawing>
          <wp:inline distT="0" distB="0" distL="0" distR="0" wp14:anchorId="279346EE" wp14:editId="1203E80E">
            <wp:extent cx="5942178" cy="2552700"/>
            <wp:effectExtent l="0" t="0" r="1905" b="0"/>
            <wp:docPr id="1010338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338151" name=""/>
                    <pic:cNvPicPr/>
                  </pic:nvPicPr>
                  <pic:blipFill>
                    <a:blip r:embed="rId7"/>
                    <a:stretch>
                      <a:fillRect/>
                    </a:stretch>
                  </pic:blipFill>
                  <pic:spPr>
                    <a:xfrm>
                      <a:off x="0" y="0"/>
                      <a:ext cx="5955278" cy="2558328"/>
                    </a:xfrm>
                    <a:prstGeom prst="rect">
                      <a:avLst/>
                    </a:prstGeom>
                  </pic:spPr>
                </pic:pic>
              </a:graphicData>
            </a:graphic>
          </wp:inline>
        </w:drawing>
      </w:r>
    </w:p>
    <w:p w14:paraId="3D800CC8" w14:textId="1092A593" w:rsidR="00CD2079" w:rsidRDefault="003B270F" w:rsidP="00B903F4">
      <w:pPr>
        <w:spacing w:line="480" w:lineRule="auto"/>
        <w:rPr>
          <w:rFonts w:ascii="Times New Roman" w:hAnsi="Times New Roman" w:cs="Times New Roman"/>
          <w:sz w:val="24"/>
          <w:szCs w:val="24"/>
        </w:rPr>
      </w:pPr>
      <w:r>
        <w:rPr>
          <w:rFonts w:ascii="Times New Roman" w:hAnsi="Times New Roman" w:cs="Times New Roman"/>
          <w:sz w:val="24"/>
          <w:szCs w:val="24"/>
        </w:rPr>
        <w:tab/>
      </w:r>
      <w:r w:rsidR="000E7A1F">
        <w:rPr>
          <w:rFonts w:ascii="Times New Roman" w:hAnsi="Times New Roman" w:cs="Times New Roman"/>
          <w:sz w:val="24"/>
          <w:szCs w:val="24"/>
        </w:rPr>
        <w:t>Figure</w:t>
      </w:r>
      <w:r w:rsidRPr="003B270F">
        <w:rPr>
          <w:rFonts w:ascii="Times New Roman" w:hAnsi="Times New Roman" w:cs="Times New Roman"/>
          <w:sz w:val="24"/>
          <w:szCs w:val="24"/>
        </w:rPr>
        <w:t xml:space="preserve"> 2 presents the descriptive statistics for U.S. imports from Canada. Import values were substantially larger than export values across all three sectors, with automotive imports totaling approximately $476.21 billion over the study period. The wide gap between minimum and maximum monthly values in each sector is consistent with right-skewed data rather than a normal distribution, which supports the use of the Mann-Whitney U test in the hypothesis testing that follows.</w:t>
      </w:r>
    </w:p>
    <w:p w14:paraId="677A7A21" w14:textId="48910BED" w:rsidR="00FC5F6D" w:rsidRPr="006C0202" w:rsidRDefault="00FC5F6D" w:rsidP="00FC5F6D">
      <w:pPr>
        <w:spacing w:line="480" w:lineRule="auto"/>
        <w:rPr>
          <w:rFonts w:ascii="Times New Roman" w:hAnsi="Times New Roman" w:cs="Times New Roman"/>
          <w:sz w:val="24"/>
          <w:szCs w:val="24"/>
          <w:lang w:val="en-US"/>
        </w:rPr>
      </w:pPr>
      <w:r w:rsidRPr="00475BA2">
        <w:rPr>
          <w:rFonts w:ascii="Times New Roman" w:hAnsi="Times New Roman" w:cs="Times New Roman"/>
          <w:b/>
          <w:bCs/>
          <w:sz w:val="24"/>
          <w:szCs w:val="24"/>
        </w:rPr>
        <w:t xml:space="preserve">Figure </w:t>
      </w:r>
      <w:r>
        <w:rPr>
          <w:rFonts w:ascii="Times New Roman" w:hAnsi="Times New Roman" w:cs="Times New Roman"/>
          <w:b/>
          <w:bCs/>
          <w:sz w:val="24"/>
          <w:szCs w:val="24"/>
        </w:rPr>
        <w:t>2</w:t>
      </w:r>
    </w:p>
    <w:p w14:paraId="59C4A1A7" w14:textId="0898AB85" w:rsidR="00FC5F6D" w:rsidRPr="00FC5F6D" w:rsidRDefault="00FC5F6D" w:rsidP="00B903F4">
      <w:pPr>
        <w:spacing w:line="480" w:lineRule="auto"/>
        <w:rPr>
          <w:rFonts w:ascii="Times New Roman" w:hAnsi="Times New Roman" w:cs="Times New Roman"/>
          <w:i/>
          <w:iCs/>
          <w:sz w:val="24"/>
          <w:szCs w:val="24"/>
        </w:rPr>
      </w:pPr>
      <w:r>
        <w:rPr>
          <w:rFonts w:ascii="Times New Roman" w:hAnsi="Times New Roman" w:cs="Times New Roman"/>
          <w:i/>
          <w:iCs/>
          <w:sz w:val="24"/>
          <w:szCs w:val="24"/>
        </w:rPr>
        <w:t>U.S. Imports from Canada by Sector</w:t>
      </w:r>
    </w:p>
    <w:p w14:paraId="05B32C23" w14:textId="14DB157A" w:rsidR="006C0202" w:rsidRPr="0036516A" w:rsidRDefault="003B270F" w:rsidP="00BA5C58">
      <w:pPr>
        <w:spacing w:line="480" w:lineRule="auto"/>
        <w:rPr>
          <w:rFonts w:ascii="Times New Roman" w:hAnsi="Times New Roman" w:cs="Times New Roman"/>
          <w:sz w:val="24"/>
          <w:szCs w:val="24"/>
        </w:rPr>
      </w:pPr>
      <w:r w:rsidRPr="003B270F">
        <w:rPr>
          <w:rFonts w:ascii="Times New Roman" w:hAnsi="Times New Roman" w:cs="Times New Roman"/>
          <w:noProof/>
          <w:sz w:val="24"/>
          <w:szCs w:val="24"/>
        </w:rPr>
        <w:lastRenderedPageBreak/>
        <w:drawing>
          <wp:inline distT="0" distB="0" distL="0" distR="0" wp14:anchorId="41E3C600" wp14:editId="0FD52CB7">
            <wp:extent cx="5956469" cy="2714625"/>
            <wp:effectExtent l="0" t="0" r="6350" b="0"/>
            <wp:docPr id="18387918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791831" name=""/>
                    <pic:cNvPicPr/>
                  </pic:nvPicPr>
                  <pic:blipFill>
                    <a:blip r:embed="rId8"/>
                    <a:stretch>
                      <a:fillRect/>
                    </a:stretch>
                  </pic:blipFill>
                  <pic:spPr>
                    <a:xfrm>
                      <a:off x="0" y="0"/>
                      <a:ext cx="5960479" cy="2716453"/>
                    </a:xfrm>
                    <a:prstGeom prst="rect">
                      <a:avLst/>
                    </a:prstGeom>
                  </pic:spPr>
                </pic:pic>
              </a:graphicData>
            </a:graphic>
          </wp:inline>
        </w:drawing>
      </w:r>
    </w:p>
    <w:p w14:paraId="0F8CC348" w14:textId="575F908F" w:rsidR="00BA5C58" w:rsidRPr="006C0202" w:rsidRDefault="00BA5C58" w:rsidP="00BA5C58">
      <w:pPr>
        <w:spacing w:line="480" w:lineRule="auto"/>
        <w:rPr>
          <w:rFonts w:ascii="Times New Roman" w:hAnsi="Times New Roman" w:cs="Times New Roman"/>
          <w:sz w:val="24"/>
          <w:szCs w:val="24"/>
          <w:lang w:val="en-US"/>
        </w:rPr>
      </w:pPr>
      <w:r w:rsidRPr="00475BA2">
        <w:rPr>
          <w:rFonts w:ascii="Times New Roman" w:hAnsi="Times New Roman" w:cs="Times New Roman"/>
          <w:b/>
          <w:bCs/>
          <w:sz w:val="24"/>
          <w:szCs w:val="24"/>
        </w:rPr>
        <w:t xml:space="preserve">Figure </w:t>
      </w:r>
      <w:r w:rsidR="00FC5F6D">
        <w:rPr>
          <w:rFonts w:ascii="Times New Roman" w:hAnsi="Times New Roman" w:cs="Times New Roman"/>
          <w:b/>
          <w:bCs/>
          <w:sz w:val="24"/>
          <w:szCs w:val="24"/>
        </w:rPr>
        <w:t>3</w:t>
      </w:r>
    </w:p>
    <w:p w14:paraId="262C5083" w14:textId="255CAA0F" w:rsidR="00BA5C58" w:rsidRDefault="00891481" w:rsidP="00BA5C58">
      <w:pPr>
        <w:spacing w:line="480" w:lineRule="auto"/>
        <w:rPr>
          <w:rFonts w:ascii="Times New Roman" w:hAnsi="Times New Roman" w:cs="Times New Roman"/>
          <w:i/>
          <w:iCs/>
          <w:sz w:val="24"/>
          <w:szCs w:val="24"/>
        </w:rPr>
      </w:pPr>
      <w:r>
        <w:rPr>
          <w:rFonts w:ascii="Times New Roman" w:hAnsi="Times New Roman" w:cs="Times New Roman"/>
          <w:i/>
          <w:iCs/>
          <w:sz w:val="24"/>
          <w:szCs w:val="24"/>
        </w:rPr>
        <w:t>U.S. Imports from Canada – Auto Monthly Trend</w:t>
      </w:r>
    </w:p>
    <w:p w14:paraId="3ED0429F" w14:textId="78EF463B" w:rsidR="00891481" w:rsidRDefault="0033111D" w:rsidP="00BA5C58">
      <w:pPr>
        <w:spacing w:line="480" w:lineRule="auto"/>
        <w:rPr>
          <w:rFonts w:ascii="Times New Roman" w:hAnsi="Times New Roman" w:cs="Times New Roman"/>
          <w:i/>
          <w:iCs/>
          <w:sz w:val="24"/>
          <w:szCs w:val="24"/>
        </w:rPr>
      </w:pPr>
      <w:r w:rsidRPr="0033111D">
        <w:rPr>
          <w:rFonts w:ascii="Times New Roman" w:hAnsi="Times New Roman" w:cs="Times New Roman"/>
          <w:i/>
          <w:iCs/>
          <w:noProof/>
          <w:sz w:val="24"/>
          <w:szCs w:val="24"/>
        </w:rPr>
        <w:drawing>
          <wp:inline distT="0" distB="0" distL="0" distR="0" wp14:anchorId="0E664C9C" wp14:editId="521E6F35">
            <wp:extent cx="5943600" cy="3206750"/>
            <wp:effectExtent l="0" t="0" r="0" b="0"/>
            <wp:docPr id="1435818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818315" name=""/>
                    <pic:cNvPicPr/>
                  </pic:nvPicPr>
                  <pic:blipFill>
                    <a:blip r:embed="rId9"/>
                    <a:stretch>
                      <a:fillRect/>
                    </a:stretch>
                  </pic:blipFill>
                  <pic:spPr>
                    <a:xfrm>
                      <a:off x="0" y="0"/>
                      <a:ext cx="5943600" cy="3206750"/>
                    </a:xfrm>
                    <a:prstGeom prst="rect">
                      <a:avLst/>
                    </a:prstGeom>
                  </pic:spPr>
                </pic:pic>
              </a:graphicData>
            </a:graphic>
          </wp:inline>
        </w:drawing>
      </w:r>
    </w:p>
    <w:p w14:paraId="490302A0" w14:textId="05509A81" w:rsidR="0033111D" w:rsidRDefault="001B6532" w:rsidP="002F33A4">
      <w:pPr>
        <w:spacing w:line="480" w:lineRule="auto"/>
        <w:ind w:firstLine="720"/>
        <w:rPr>
          <w:rFonts w:ascii="Times New Roman" w:hAnsi="Times New Roman" w:cs="Times New Roman"/>
          <w:sz w:val="24"/>
          <w:szCs w:val="24"/>
        </w:rPr>
      </w:pPr>
      <w:r w:rsidRPr="001B6532">
        <w:rPr>
          <w:rFonts w:ascii="Times New Roman" w:hAnsi="Times New Roman" w:cs="Times New Roman"/>
          <w:sz w:val="24"/>
          <w:szCs w:val="24"/>
        </w:rPr>
        <w:t xml:space="preserve">The monthly trend lines provide additional context because they show how trade changed over time rather than only where values were concentrated. For U.S. exports to Canada, the automotive sector showed the largest swings in monthly dollar values, while aluminum and steel moved in narrower ranges. The 12-month rolling averages help smooth short-term volatility and </w:t>
      </w:r>
      <w:r w:rsidRPr="001B6532">
        <w:rPr>
          <w:rFonts w:ascii="Times New Roman" w:hAnsi="Times New Roman" w:cs="Times New Roman"/>
          <w:sz w:val="24"/>
          <w:szCs w:val="24"/>
        </w:rPr>
        <w:lastRenderedPageBreak/>
        <w:t>show the broader direction of trade over time. In the export data, aluminum and steel both appear to have periods of decline followed by recovery, while auto exports show larger swings across the full sample period. These broader movements suggest that short-term observations alone would not fully capture the trend in bilateral trade.</w:t>
      </w:r>
    </w:p>
    <w:p w14:paraId="1C4FC19A" w14:textId="23DA398F" w:rsidR="00B15CD2" w:rsidRPr="00475BA2" w:rsidRDefault="00B15CD2" w:rsidP="00B15CD2">
      <w:pPr>
        <w:spacing w:line="480" w:lineRule="auto"/>
        <w:rPr>
          <w:rFonts w:ascii="Times New Roman" w:hAnsi="Times New Roman" w:cs="Times New Roman"/>
          <w:b/>
          <w:bCs/>
          <w:sz w:val="24"/>
          <w:szCs w:val="24"/>
        </w:rPr>
      </w:pPr>
      <w:r w:rsidRPr="00475BA2">
        <w:rPr>
          <w:rFonts w:ascii="Times New Roman" w:hAnsi="Times New Roman" w:cs="Times New Roman"/>
          <w:b/>
          <w:bCs/>
          <w:sz w:val="24"/>
          <w:szCs w:val="24"/>
        </w:rPr>
        <w:t xml:space="preserve">Figure </w:t>
      </w:r>
      <w:r w:rsidR="00FC5F6D">
        <w:rPr>
          <w:rFonts w:ascii="Times New Roman" w:hAnsi="Times New Roman" w:cs="Times New Roman"/>
          <w:b/>
          <w:bCs/>
          <w:sz w:val="24"/>
          <w:szCs w:val="24"/>
        </w:rPr>
        <w:t>4</w:t>
      </w:r>
    </w:p>
    <w:p w14:paraId="16ECFA6C" w14:textId="58546396" w:rsidR="00B15CD2" w:rsidRPr="00B15CD2" w:rsidRDefault="00B15CD2" w:rsidP="00BA5C58">
      <w:pPr>
        <w:spacing w:line="480" w:lineRule="auto"/>
        <w:rPr>
          <w:rFonts w:ascii="Times New Roman" w:hAnsi="Times New Roman" w:cs="Times New Roman"/>
          <w:i/>
          <w:iCs/>
          <w:sz w:val="24"/>
          <w:szCs w:val="24"/>
        </w:rPr>
      </w:pPr>
      <w:r>
        <w:rPr>
          <w:rFonts w:ascii="Times New Roman" w:hAnsi="Times New Roman" w:cs="Times New Roman"/>
          <w:i/>
          <w:iCs/>
          <w:sz w:val="24"/>
          <w:szCs w:val="24"/>
        </w:rPr>
        <w:t>U.S. Exports to Canada – Auto Monthly Trend</w:t>
      </w:r>
    </w:p>
    <w:p w14:paraId="267A9858" w14:textId="2E85498F" w:rsidR="00F03568" w:rsidRDefault="00B15CD2" w:rsidP="00BA5C58">
      <w:pPr>
        <w:spacing w:line="480" w:lineRule="auto"/>
        <w:rPr>
          <w:rFonts w:ascii="Times New Roman" w:hAnsi="Times New Roman" w:cs="Times New Roman"/>
          <w:sz w:val="24"/>
          <w:szCs w:val="24"/>
        </w:rPr>
      </w:pPr>
      <w:r w:rsidRPr="00B15CD2">
        <w:rPr>
          <w:rFonts w:ascii="Times New Roman" w:hAnsi="Times New Roman" w:cs="Times New Roman"/>
          <w:noProof/>
          <w:sz w:val="24"/>
          <w:szCs w:val="24"/>
        </w:rPr>
        <w:drawing>
          <wp:inline distT="0" distB="0" distL="0" distR="0" wp14:anchorId="4A63CBAA" wp14:editId="1FFFCC33">
            <wp:extent cx="5943600" cy="3189605"/>
            <wp:effectExtent l="0" t="0" r="0" b="0"/>
            <wp:docPr id="2011121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121815" name=""/>
                    <pic:cNvPicPr/>
                  </pic:nvPicPr>
                  <pic:blipFill>
                    <a:blip r:embed="rId10"/>
                    <a:stretch>
                      <a:fillRect/>
                    </a:stretch>
                  </pic:blipFill>
                  <pic:spPr>
                    <a:xfrm>
                      <a:off x="0" y="0"/>
                      <a:ext cx="5943600" cy="3189605"/>
                    </a:xfrm>
                    <a:prstGeom prst="rect">
                      <a:avLst/>
                    </a:prstGeom>
                  </pic:spPr>
                </pic:pic>
              </a:graphicData>
            </a:graphic>
          </wp:inline>
        </w:drawing>
      </w:r>
    </w:p>
    <w:p w14:paraId="565896B8" w14:textId="5216D6C9" w:rsidR="00B15CD2" w:rsidRPr="00475BA2" w:rsidRDefault="00B15CD2" w:rsidP="00B15CD2">
      <w:pPr>
        <w:spacing w:line="480" w:lineRule="auto"/>
        <w:rPr>
          <w:rFonts w:ascii="Times New Roman" w:hAnsi="Times New Roman" w:cs="Times New Roman"/>
          <w:b/>
          <w:bCs/>
          <w:sz w:val="24"/>
          <w:szCs w:val="24"/>
        </w:rPr>
      </w:pPr>
      <w:r w:rsidRPr="00475BA2">
        <w:rPr>
          <w:rFonts w:ascii="Times New Roman" w:hAnsi="Times New Roman" w:cs="Times New Roman"/>
          <w:b/>
          <w:bCs/>
          <w:sz w:val="24"/>
          <w:szCs w:val="24"/>
        </w:rPr>
        <w:t xml:space="preserve">Figure </w:t>
      </w:r>
      <w:r w:rsidR="00FC5F6D">
        <w:rPr>
          <w:rFonts w:ascii="Times New Roman" w:hAnsi="Times New Roman" w:cs="Times New Roman"/>
          <w:b/>
          <w:bCs/>
          <w:sz w:val="24"/>
          <w:szCs w:val="24"/>
        </w:rPr>
        <w:t>5</w:t>
      </w:r>
    </w:p>
    <w:p w14:paraId="1F9B0369" w14:textId="28BCD21F" w:rsidR="00B15CD2" w:rsidRPr="00B15CD2" w:rsidRDefault="00B15CD2" w:rsidP="00B15CD2">
      <w:pPr>
        <w:spacing w:line="480" w:lineRule="auto"/>
        <w:rPr>
          <w:rFonts w:ascii="Times New Roman" w:hAnsi="Times New Roman" w:cs="Times New Roman"/>
          <w:i/>
          <w:iCs/>
          <w:sz w:val="24"/>
          <w:szCs w:val="24"/>
        </w:rPr>
      </w:pPr>
      <w:r>
        <w:rPr>
          <w:rFonts w:ascii="Times New Roman" w:hAnsi="Times New Roman" w:cs="Times New Roman"/>
          <w:i/>
          <w:iCs/>
          <w:sz w:val="24"/>
          <w:szCs w:val="24"/>
        </w:rPr>
        <w:t xml:space="preserve">U.S. Exports to Canada – </w:t>
      </w:r>
      <w:r w:rsidR="00351B72">
        <w:rPr>
          <w:rFonts w:ascii="Times New Roman" w:hAnsi="Times New Roman" w:cs="Times New Roman"/>
          <w:i/>
          <w:iCs/>
          <w:sz w:val="24"/>
          <w:szCs w:val="24"/>
        </w:rPr>
        <w:t>Steel</w:t>
      </w:r>
      <w:r>
        <w:rPr>
          <w:rFonts w:ascii="Times New Roman" w:hAnsi="Times New Roman" w:cs="Times New Roman"/>
          <w:i/>
          <w:iCs/>
          <w:sz w:val="24"/>
          <w:szCs w:val="24"/>
        </w:rPr>
        <w:t xml:space="preserve"> Monthly Trend</w:t>
      </w:r>
    </w:p>
    <w:p w14:paraId="63372A24" w14:textId="30C3B434" w:rsidR="00B15CD2" w:rsidRDefault="00351B72" w:rsidP="00BA5C58">
      <w:pPr>
        <w:spacing w:line="480" w:lineRule="auto"/>
        <w:rPr>
          <w:rFonts w:ascii="Times New Roman" w:hAnsi="Times New Roman" w:cs="Times New Roman"/>
          <w:sz w:val="24"/>
          <w:szCs w:val="24"/>
        </w:rPr>
      </w:pPr>
      <w:r w:rsidRPr="00351B72">
        <w:rPr>
          <w:rFonts w:ascii="Times New Roman" w:hAnsi="Times New Roman" w:cs="Times New Roman"/>
          <w:noProof/>
          <w:sz w:val="24"/>
          <w:szCs w:val="24"/>
        </w:rPr>
        <w:lastRenderedPageBreak/>
        <w:drawing>
          <wp:inline distT="0" distB="0" distL="0" distR="0" wp14:anchorId="5EE4F745" wp14:editId="6ED578EC">
            <wp:extent cx="5943600" cy="3188335"/>
            <wp:effectExtent l="0" t="0" r="0" b="0"/>
            <wp:docPr id="8623549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354918" name=""/>
                    <pic:cNvPicPr/>
                  </pic:nvPicPr>
                  <pic:blipFill>
                    <a:blip r:embed="rId11"/>
                    <a:stretch>
                      <a:fillRect/>
                    </a:stretch>
                  </pic:blipFill>
                  <pic:spPr>
                    <a:xfrm>
                      <a:off x="0" y="0"/>
                      <a:ext cx="5943600" cy="3188335"/>
                    </a:xfrm>
                    <a:prstGeom prst="rect">
                      <a:avLst/>
                    </a:prstGeom>
                  </pic:spPr>
                </pic:pic>
              </a:graphicData>
            </a:graphic>
          </wp:inline>
        </w:drawing>
      </w:r>
    </w:p>
    <w:p w14:paraId="572C8CAD" w14:textId="1034B279" w:rsidR="00752011" w:rsidRDefault="00463E1E" w:rsidP="00752011">
      <w:pPr>
        <w:spacing w:line="480" w:lineRule="auto"/>
        <w:ind w:firstLine="720"/>
        <w:rPr>
          <w:rFonts w:ascii="Times New Roman" w:hAnsi="Times New Roman" w:cs="Times New Roman"/>
          <w:sz w:val="24"/>
          <w:szCs w:val="24"/>
          <w:lang w:val="en-US"/>
        </w:rPr>
      </w:pPr>
      <w:r>
        <w:rPr>
          <w:rFonts w:ascii="Times New Roman" w:hAnsi="Times New Roman" w:cs="Times New Roman"/>
          <w:sz w:val="24"/>
          <w:szCs w:val="24"/>
          <w:lang w:val="en-US"/>
        </w:rPr>
        <w:t>Figure 6</w:t>
      </w:r>
      <w:r w:rsidR="00752011" w:rsidRPr="00752011">
        <w:rPr>
          <w:rFonts w:ascii="Times New Roman" w:hAnsi="Times New Roman" w:cs="Times New Roman"/>
          <w:sz w:val="24"/>
          <w:szCs w:val="24"/>
          <w:lang w:val="en-US"/>
        </w:rPr>
        <w:t xml:space="preserve"> presents the descriptive statistics for Canadian annual imports across all three sectors. Automotive imports again dominated in scale, totaling approximately $429.52 billion from 2012 through 2025. Aluminum and steel remain important to this analysis despite their smaller scale because they are directly tied to the tariff policy episodes under study.</w:t>
      </w:r>
    </w:p>
    <w:p w14:paraId="64884050" w14:textId="1EAB1DC7" w:rsidR="00FC5F6D" w:rsidRPr="00475BA2" w:rsidRDefault="00FC5F6D" w:rsidP="00FC5F6D">
      <w:pPr>
        <w:spacing w:line="480" w:lineRule="auto"/>
        <w:rPr>
          <w:rFonts w:ascii="Times New Roman" w:hAnsi="Times New Roman" w:cs="Times New Roman"/>
          <w:b/>
          <w:bCs/>
          <w:sz w:val="24"/>
          <w:szCs w:val="24"/>
        </w:rPr>
      </w:pPr>
      <w:r w:rsidRPr="00475BA2">
        <w:rPr>
          <w:rFonts w:ascii="Times New Roman" w:hAnsi="Times New Roman" w:cs="Times New Roman"/>
          <w:b/>
          <w:bCs/>
          <w:sz w:val="24"/>
          <w:szCs w:val="24"/>
        </w:rPr>
        <w:t xml:space="preserve">Figure </w:t>
      </w:r>
      <w:r>
        <w:rPr>
          <w:rFonts w:ascii="Times New Roman" w:hAnsi="Times New Roman" w:cs="Times New Roman"/>
          <w:b/>
          <w:bCs/>
          <w:sz w:val="24"/>
          <w:szCs w:val="24"/>
        </w:rPr>
        <w:t>6</w:t>
      </w:r>
    </w:p>
    <w:p w14:paraId="3F09582B" w14:textId="276C3FC4" w:rsidR="00FC5F6D" w:rsidRPr="00752011" w:rsidRDefault="00FC5F6D" w:rsidP="00FC5F6D">
      <w:pPr>
        <w:spacing w:line="480" w:lineRule="auto"/>
        <w:rPr>
          <w:rFonts w:ascii="Times New Roman" w:hAnsi="Times New Roman" w:cs="Times New Roman"/>
          <w:i/>
          <w:iCs/>
          <w:sz w:val="24"/>
          <w:szCs w:val="24"/>
        </w:rPr>
      </w:pPr>
      <w:r>
        <w:rPr>
          <w:rFonts w:ascii="Times New Roman" w:hAnsi="Times New Roman" w:cs="Times New Roman"/>
          <w:i/>
          <w:iCs/>
          <w:sz w:val="24"/>
          <w:szCs w:val="24"/>
        </w:rPr>
        <w:t>Canadian Annual Imports by Sector</w:t>
      </w:r>
    </w:p>
    <w:p w14:paraId="34C58735" w14:textId="4ECB3B3F" w:rsidR="00166291" w:rsidRPr="001B6532" w:rsidRDefault="00166291" w:rsidP="00166291">
      <w:pPr>
        <w:spacing w:line="480" w:lineRule="auto"/>
        <w:rPr>
          <w:rFonts w:ascii="Times New Roman" w:hAnsi="Times New Roman" w:cs="Times New Roman"/>
          <w:sz w:val="24"/>
          <w:szCs w:val="24"/>
        </w:rPr>
      </w:pPr>
      <w:r w:rsidRPr="00166291">
        <w:rPr>
          <w:rFonts w:ascii="Times New Roman" w:hAnsi="Times New Roman" w:cs="Times New Roman"/>
          <w:noProof/>
          <w:sz w:val="24"/>
          <w:szCs w:val="24"/>
        </w:rPr>
        <w:drawing>
          <wp:inline distT="0" distB="0" distL="0" distR="0" wp14:anchorId="65ACC111" wp14:editId="37804F7C">
            <wp:extent cx="5838825" cy="2651985"/>
            <wp:effectExtent l="0" t="0" r="0" b="0"/>
            <wp:docPr id="1205131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131712" name=""/>
                    <pic:cNvPicPr/>
                  </pic:nvPicPr>
                  <pic:blipFill>
                    <a:blip r:embed="rId12"/>
                    <a:stretch>
                      <a:fillRect/>
                    </a:stretch>
                  </pic:blipFill>
                  <pic:spPr>
                    <a:xfrm>
                      <a:off x="0" y="0"/>
                      <a:ext cx="5844162" cy="2654409"/>
                    </a:xfrm>
                    <a:prstGeom prst="rect">
                      <a:avLst/>
                    </a:prstGeom>
                  </pic:spPr>
                </pic:pic>
              </a:graphicData>
            </a:graphic>
          </wp:inline>
        </w:drawing>
      </w:r>
    </w:p>
    <w:p w14:paraId="59665EEE" w14:textId="77777777" w:rsidR="00752011" w:rsidRDefault="00752011" w:rsidP="00752011">
      <w:pPr>
        <w:spacing w:line="480" w:lineRule="auto"/>
        <w:ind w:firstLine="720"/>
        <w:rPr>
          <w:rFonts w:ascii="Times New Roman" w:hAnsi="Times New Roman" w:cs="Times New Roman"/>
          <w:sz w:val="24"/>
          <w:szCs w:val="24"/>
        </w:rPr>
      </w:pPr>
      <w:r w:rsidRPr="00752011">
        <w:rPr>
          <w:rFonts w:ascii="Times New Roman" w:hAnsi="Times New Roman" w:cs="Times New Roman"/>
          <w:sz w:val="24"/>
          <w:szCs w:val="24"/>
        </w:rPr>
        <w:lastRenderedPageBreak/>
        <w:t>The annual source-group trend charts reveal meaningful shifts in how Canada sourced these products over time. In aluminum, non-U.S. imports surpassed U.S. imports by 2025. Steel shows the clearest shift, with non-U.S. imports exceeding U.S. imports in several later years. While these descriptive patterns do not establish causation, they are consistent with the possibility that tariff periods were associated with some reallocation of trade toward non-U.S. suppliers.</w:t>
      </w:r>
    </w:p>
    <w:p w14:paraId="7329977E" w14:textId="18C118B2" w:rsidR="00684AB2" w:rsidRPr="00475BA2" w:rsidRDefault="00684AB2" w:rsidP="00684AB2">
      <w:pPr>
        <w:spacing w:line="480" w:lineRule="auto"/>
        <w:rPr>
          <w:rFonts w:ascii="Times New Roman" w:hAnsi="Times New Roman" w:cs="Times New Roman"/>
          <w:b/>
          <w:bCs/>
          <w:sz w:val="24"/>
          <w:szCs w:val="24"/>
        </w:rPr>
      </w:pPr>
      <w:r w:rsidRPr="00475BA2">
        <w:rPr>
          <w:rFonts w:ascii="Times New Roman" w:hAnsi="Times New Roman" w:cs="Times New Roman"/>
          <w:b/>
          <w:bCs/>
          <w:sz w:val="24"/>
          <w:szCs w:val="24"/>
        </w:rPr>
        <w:t xml:space="preserve">Figure </w:t>
      </w:r>
      <w:r w:rsidR="00FC5F6D">
        <w:rPr>
          <w:rFonts w:ascii="Times New Roman" w:hAnsi="Times New Roman" w:cs="Times New Roman"/>
          <w:b/>
          <w:bCs/>
          <w:sz w:val="24"/>
          <w:szCs w:val="24"/>
        </w:rPr>
        <w:t>7</w:t>
      </w:r>
    </w:p>
    <w:p w14:paraId="3F6A7C26" w14:textId="77C48610" w:rsidR="00684AB2" w:rsidRPr="00684AB2" w:rsidRDefault="00684AB2" w:rsidP="00B903F4">
      <w:pPr>
        <w:spacing w:line="480" w:lineRule="auto"/>
        <w:rPr>
          <w:rFonts w:ascii="Times New Roman" w:hAnsi="Times New Roman" w:cs="Times New Roman"/>
          <w:i/>
          <w:iCs/>
          <w:sz w:val="24"/>
          <w:szCs w:val="24"/>
        </w:rPr>
      </w:pPr>
      <w:r>
        <w:rPr>
          <w:rFonts w:ascii="Times New Roman" w:hAnsi="Times New Roman" w:cs="Times New Roman"/>
          <w:i/>
          <w:iCs/>
          <w:sz w:val="24"/>
          <w:szCs w:val="24"/>
        </w:rPr>
        <w:t>C</w:t>
      </w:r>
      <w:r w:rsidR="00A14022">
        <w:rPr>
          <w:rFonts w:ascii="Times New Roman" w:hAnsi="Times New Roman" w:cs="Times New Roman"/>
          <w:i/>
          <w:iCs/>
          <w:sz w:val="24"/>
          <w:szCs w:val="24"/>
        </w:rPr>
        <w:t xml:space="preserve">anadian Imports (U.S. vs </w:t>
      </w:r>
      <w:r w:rsidR="002F7FB4">
        <w:rPr>
          <w:rFonts w:ascii="Times New Roman" w:hAnsi="Times New Roman" w:cs="Times New Roman"/>
          <w:i/>
          <w:iCs/>
          <w:sz w:val="24"/>
          <w:szCs w:val="24"/>
        </w:rPr>
        <w:t>Non-US)</w:t>
      </w:r>
      <w:r w:rsidR="00A14022">
        <w:rPr>
          <w:rFonts w:ascii="Times New Roman" w:hAnsi="Times New Roman" w:cs="Times New Roman"/>
          <w:i/>
          <w:iCs/>
          <w:sz w:val="24"/>
          <w:szCs w:val="24"/>
        </w:rPr>
        <w:t xml:space="preserve"> - </w:t>
      </w:r>
      <w:r w:rsidR="002F7FB4">
        <w:rPr>
          <w:rFonts w:ascii="Times New Roman" w:hAnsi="Times New Roman" w:cs="Times New Roman"/>
          <w:i/>
          <w:iCs/>
          <w:sz w:val="24"/>
          <w:szCs w:val="24"/>
        </w:rPr>
        <w:t>Aluminum</w:t>
      </w:r>
      <w:r>
        <w:rPr>
          <w:rFonts w:ascii="Times New Roman" w:hAnsi="Times New Roman" w:cs="Times New Roman"/>
          <w:i/>
          <w:iCs/>
          <w:sz w:val="24"/>
          <w:szCs w:val="24"/>
        </w:rPr>
        <w:t xml:space="preserve"> </w:t>
      </w:r>
      <w:r w:rsidR="00A14022">
        <w:rPr>
          <w:rFonts w:ascii="Times New Roman" w:hAnsi="Times New Roman" w:cs="Times New Roman"/>
          <w:i/>
          <w:iCs/>
          <w:sz w:val="24"/>
          <w:szCs w:val="24"/>
        </w:rPr>
        <w:t>(Annual Totals)</w:t>
      </w:r>
    </w:p>
    <w:p w14:paraId="15495BF9" w14:textId="285CCA63" w:rsidR="00DF4ABD" w:rsidRDefault="0029010C" w:rsidP="00B903F4">
      <w:pPr>
        <w:spacing w:line="480" w:lineRule="auto"/>
        <w:rPr>
          <w:rFonts w:ascii="Times New Roman" w:hAnsi="Times New Roman" w:cs="Times New Roman"/>
          <w:sz w:val="24"/>
          <w:szCs w:val="24"/>
          <w:lang w:val="en-US"/>
        </w:rPr>
      </w:pPr>
      <w:r w:rsidRPr="0029010C">
        <w:rPr>
          <w:rFonts w:ascii="Times New Roman" w:hAnsi="Times New Roman" w:cs="Times New Roman"/>
          <w:noProof/>
          <w:sz w:val="24"/>
          <w:szCs w:val="24"/>
          <w:lang w:val="en-US"/>
        </w:rPr>
        <w:drawing>
          <wp:inline distT="0" distB="0" distL="0" distR="0" wp14:anchorId="0ACCFD34" wp14:editId="74FFAD39">
            <wp:extent cx="5943600" cy="3215005"/>
            <wp:effectExtent l="0" t="0" r="0" b="4445"/>
            <wp:docPr id="658217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217996" name=""/>
                    <pic:cNvPicPr/>
                  </pic:nvPicPr>
                  <pic:blipFill>
                    <a:blip r:embed="rId13"/>
                    <a:stretch>
                      <a:fillRect/>
                    </a:stretch>
                  </pic:blipFill>
                  <pic:spPr>
                    <a:xfrm>
                      <a:off x="0" y="0"/>
                      <a:ext cx="5943600" cy="3215005"/>
                    </a:xfrm>
                    <a:prstGeom prst="rect">
                      <a:avLst/>
                    </a:prstGeom>
                  </pic:spPr>
                </pic:pic>
              </a:graphicData>
            </a:graphic>
          </wp:inline>
        </w:drawing>
      </w:r>
    </w:p>
    <w:p w14:paraId="568EE57D" w14:textId="3721ECAE" w:rsidR="002F7FB4" w:rsidRPr="00475BA2" w:rsidRDefault="002F7FB4" w:rsidP="002F7FB4">
      <w:pPr>
        <w:spacing w:line="480" w:lineRule="auto"/>
        <w:rPr>
          <w:rFonts w:ascii="Times New Roman" w:hAnsi="Times New Roman" w:cs="Times New Roman"/>
          <w:b/>
          <w:bCs/>
          <w:sz w:val="24"/>
          <w:szCs w:val="24"/>
        </w:rPr>
      </w:pPr>
      <w:r w:rsidRPr="00475BA2">
        <w:rPr>
          <w:rFonts w:ascii="Times New Roman" w:hAnsi="Times New Roman" w:cs="Times New Roman"/>
          <w:b/>
          <w:bCs/>
          <w:sz w:val="24"/>
          <w:szCs w:val="24"/>
        </w:rPr>
        <w:t xml:space="preserve">Figure </w:t>
      </w:r>
      <w:r w:rsidR="00FC5F6D">
        <w:rPr>
          <w:rFonts w:ascii="Times New Roman" w:hAnsi="Times New Roman" w:cs="Times New Roman"/>
          <w:b/>
          <w:bCs/>
          <w:sz w:val="24"/>
          <w:szCs w:val="24"/>
        </w:rPr>
        <w:t>8</w:t>
      </w:r>
    </w:p>
    <w:p w14:paraId="60B68EBD" w14:textId="4BA4A883" w:rsidR="002F7FB4" w:rsidRPr="00E13611" w:rsidRDefault="002F7FB4" w:rsidP="00B903F4">
      <w:pPr>
        <w:spacing w:line="480" w:lineRule="auto"/>
        <w:rPr>
          <w:rFonts w:ascii="Times New Roman" w:hAnsi="Times New Roman" w:cs="Times New Roman"/>
          <w:i/>
          <w:iCs/>
          <w:sz w:val="24"/>
          <w:szCs w:val="24"/>
        </w:rPr>
      </w:pPr>
      <w:r>
        <w:rPr>
          <w:rFonts w:ascii="Times New Roman" w:hAnsi="Times New Roman" w:cs="Times New Roman"/>
          <w:i/>
          <w:iCs/>
          <w:sz w:val="24"/>
          <w:szCs w:val="24"/>
        </w:rPr>
        <w:t>Canadian Imports (U.S. vs Non-US) - Auto (Annual Totals)</w:t>
      </w:r>
    </w:p>
    <w:p w14:paraId="6E9D21FD" w14:textId="41DEA0C2" w:rsidR="0045050C" w:rsidRDefault="001F0434" w:rsidP="00B903F4">
      <w:pPr>
        <w:spacing w:line="480" w:lineRule="auto"/>
        <w:rPr>
          <w:rFonts w:ascii="Times New Roman" w:hAnsi="Times New Roman" w:cs="Times New Roman"/>
          <w:sz w:val="24"/>
          <w:szCs w:val="24"/>
          <w:lang w:val="en-US"/>
        </w:rPr>
      </w:pPr>
      <w:r w:rsidRPr="001F0434">
        <w:rPr>
          <w:rFonts w:ascii="Times New Roman" w:hAnsi="Times New Roman" w:cs="Times New Roman"/>
          <w:noProof/>
          <w:sz w:val="24"/>
          <w:szCs w:val="24"/>
          <w:lang w:val="en-US"/>
        </w:rPr>
        <w:lastRenderedPageBreak/>
        <w:drawing>
          <wp:inline distT="0" distB="0" distL="0" distR="0" wp14:anchorId="14CA0C8B" wp14:editId="46B5A0B6">
            <wp:extent cx="5943600" cy="3200400"/>
            <wp:effectExtent l="0" t="0" r="0" b="0"/>
            <wp:docPr id="1237505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505126" name=""/>
                    <pic:cNvPicPr/>
                  </pic:nvPicPr>
                  <pic:blipFill>
                    <a:blip r:embed="rId14"/>
                    <a:stretch>
                      <a:fillRect/>
                    </a:stretch>
                  </pic:blipFill>
                  <pic:spPr>
                    <a:xfrm>
                      <a:off x="0" y="0"/>
                      <a:ext cx="5943600" cy="3200400"/>
                    </a:xfrm>
                    <a:prstGeom prst="rect">
                      <a:avLst/>
                    </a:prstGeom>
                  </pic:spPr>
                </pic:pic>
              </a:graphicData>
            </a:graphic>
          </wp:inline>
        </w:drawing>
      </w:r>
    </w:p>
    <w:p w14:paraId="368AB04E" w14:textId="34A1ECD6" w:rsidR="002F7FB4" w:rsidRPr="00475BA2" w:rsidRDefault="002F7FB4" w:rsidP="002F7FB4">
      <w:pPr>
        <w:spacing w:line="480" w:lineRule="auto"/>
        <w:rPr>
          <w:rFonts w:ascii="Times New Roman" w:hAnsi="Times New Roman" w:cs="Times New Roman"/>
          <w:b/>
          <w:bCs/>
          <w:sz w:val="24"/>
          <w:szCs w:val="24"/>
        </w:rPr>
      </w:pPr>
      <w:r w:rsidRPr="00475BA2">
        <w:rPr>
          <w:rFonts w:ascii="Times New Roman" w:hAnsi="Times New Roman" w:cs="Times New Roman"/>
          <w:b/>
          <w:bCs/>
          <w:sz w:val="24"/>
          <w:szCs w:val="24"/>
        </w:rPr>
        <w:t xml:space="preserve">Figure </w:t>
      </w:r>
      <w:r w:rsidR="00FC5F6D">
        <w:rPr>
          <w:rFonts w:ascii="Times New Roman" w:hAnsi="Times New Roman" w:cs="Times New Roman"/>
          <w:b/>
          <w:bCs/>
          <w:sz w:val="24"/>
          <w:szCs w:val="24"/>
        </w:rPr>
        <w:t>9</w:t>
      </w:r>
    </w:p>
    <w:p w14:paraId="26CCC353" w14:textId="4285B6C9" w:rsidR="00684AB2" w:rsidRPr="002F7FB4" w:rsidRDefault="002F7FB4" w:rsidP="00B903F4">
      <w:pPr>
        <w:spacing w:line="480" w:lineRule="auto"/>
        <w:rPr>
          <w:rFonts w:ascii="Times New Roman" w:hAnsi="Times New Roman" w:cs="Times New Roman"/>
          <w:i/>
          <w:iCs/>
          <w:sz w:val="24"/>
          <w:szCs w:val="24"/>
        </w:rPr>
      </w:pPr>
      <w:r>
        <w:rPr>
          <w:rFonts w:ascii="Times New Roman" w:hAnsi="Times New Roman" w:cs="Times New Roman"/>
          <w:i/>
          <w:iCs/>
          <w:sz w:val="24"/>
          <w:szCs w:val="24"/>
        </w:rPr>
        <w:t xml:space="preserve">Canadian Imports (U.S. vs Non-US) - </w:t>
      </w:r>
      <w:r w:rsidR="00FF5B3D">
        <w:rPr>
          <w:rFonts w:ascii="Times New Roman" w:hAnsi="Times New Roman" w:cs="Times New Roman"/>
          <w:i/>
          <w:iCs/>
          <w:sz w:val="24"/>
          <w:szCs w:val="24"/>
        </w:rPr>
        <w:t>Steel</w:t>
      </w:r>
      <w:r>
        <w:rPr>
          <w:rFonts w:ascii="Times New Roman" w:hAnsi="Times New Roman" w:cs="Times New Roman"/>
          <w:i/>
          <w:iCs/>
          <w:sz w:val="24"/>
          <w:szCs w:val="24"/>
        </w:rPr>
        <w:t xml:space="preserve"> (Annual Totals)</w:t>
      </w:r>
    </w:p>
    <w:p w14:paraId="4E79C10E" w14:textId="5BE778C6" w:rsidR="00684AB2" w:rsidRDefault="00684AB2" w:rsidP="00B903F4">
      <w:pPr>
        <w:spacing w:line="480" w:lineRule="auto"/>
        <w:rPr>
          <w:rFonts w:ascii="Times New Roman" w:hAnsi="Times New Roman" w:cs="Times New Roman"/>
          <w:sz w:val="24"/>
          <w:szCs w:val="24"/>
          <w:lang w:val="en-US"/>
        </w:rPr>
      </w:pPr>
      <w:r w:rsidRPr="00684AB2">
        <w:rPr>
          <w:rFonts w:ascii="Times New Roman" w:hAnsi="Times New Roman" w:cs="Times New Roman"/>
          <w:noProof/>
          <w:sz w:val="24"/>
          <w:szCs w:val="24"/>
          <w:lang w:val="en-US"/>
        </w:rPr>
        <w:drawing>
          <wp:inline distT="0" distB="0" distL="0" distR="0" wp14:anchorId="5A1121E4" wp14:editId="1893F6F5">
            <wp:extent cx="5943600" cy="3201670"/>
            <wp:effectExtent l="0" t="0" r="0" b="0"/>
            <wp:docPr id="66888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88334" name=""/>
                    <pic:cNvPicPr/>
                  </pic:nvPicPr>
                  <pic:blipFill>
                    <a:blip r:embed="rId15"/>
                    <a:stretch>
                      <a:fillRect/>
                    </a:stretch>
                  </pic:blipFill>
                  <pic:spPr>
                    <a:xfrm>
                      <a:off x="0" y="0"/>
                      <a:ext cx="5943600" cy="3201670"/>
                    </a:xfrm>
                    <a:prstGeom prst="rect">
                      <a:avLst/>
                    </a:prstGeom>
                  </pic:spPr>
                </pic:pic>
              </a:graphicData>
            </a:graphic>
          </wp:inline>
        </w:drawing>
      </w:r>
    </w:p>
    <w:p w14:paraId="4F3B5FB3" w14:textId="585B313B" w:rsidR="0034341A" w:rsidRDefault="00E71571" w:rsidP="002F33A4">
      <w:pPr>
        <w:spacing w:line="480" w:lineRule="auto"/>
        <w:ind w:firstLine="720"/>
        <w:rPr>
          <w:rFonts w:ascii="Times New Roman" w:hAnsi="Times New Roman" w:cs="Times New Roman"/>
          <w:sz w:val="24"/>
          <w:szCs w:val="24"/>
        </w:rPr>
      </w:pPr>
      <w:r w:rsidRPr="00E71571">
        <w:rPr>
          <w:rFonts w:ascii="Times New Roman" w:hAnsi="Times New Roman" w:cs="Times New Roman"/>
          <w:sz w:val="24"/>
          <w:szCs w:val="24"/>
        </w:rPr>
        <w:t xml:space="preserve">Overall, the descriptive statistics show three important findings. First, the automotive sector dominates the selected tariff-exposed groups in total dollar scale. Second, the monthly </w:t>
      </w:r>
      <w:r w:rsidRPr="00E71571">
        <w:rPr>
          <w:rFonts w:ascii="Times New Roman" w:hAnsi="Times New Roman" w:cs="Times New Roman"/>
          <w:sz w:val="24"/>
          <w:szCs w:val="24"/>
        </w:rPr>
        <w:lastRenderedPageBreak/>
        <w:t xml:space="preserve">trade data are not evenly distributed and instead show skewness, volatility, and occasional large spikes rather than a clear normal pattern. This is important because it supports the use of the </w:t>
      </w:r>
      <w:r w:rsidRPr="003A02EB">
        <w:rPr>
          <w:rFonts w:ascii="Times New Roman" w:hAnsi="Times New Roman" w:cs="Times New Roman"/>
          <w:sz w:val="24"/>
          <w:szCs w:val="24"/>
        </w:rPr>
        <w:t>Mann-Whitney U test</w:t>
      </w:r>
      <w:r w:rsidRPr="00E71571">
        <w:rPr>
          <w:rFonts w:ascii="Times New Roman" w:hAnsi="Times New Roman" w:cs="Times New Roman"/>
          <w:sz w:val="24"/>
          <w:szCs w:val="24"/>
        </w:rPr>
        <w:t xml:space="preserve"> in the next stage of the analysis. That test is appropriate here because it does not require the trade values to be normally distributed and is better suited for comparing tariff and non-tariff periods when the data contain outliers and uneven spread. Third, the annual Canadian source-group trends suggest that U.S. and non-U.S. suppliers did not move in the same way over time, especially in aluminum and steel. Together, these descriptive findings provide the baseline context for the formal hypothesis tests that follow.</w:t>
      </w:r>
    </w:p>
    <w:p w14:paraId="1E7F8A89" w14:textId="4087F205" w:rsidR="00AD2E89" w:rsidRDefault="00AD2E89" w:rsidP="00B903F4">
      <w:pPr>
        <w:spacing w:line="480" w:lineRule="auto"/>
        <w:rPr>
          <w:rFonts w:ascii="Times New Roman" w:hAnsi="Times New Roman" w:cs="Times New Roman"/>
          <w:b/>
          <w:bCs/>
          <w:sz w:val="24"/>
          <w:szCs w:val="24"/>
        </w:rPr>
      </w:pPr>
      <w:r>
        <w:rPr>
          <w:rFonts w:ascii="Times New Roman" w:hAnsi="Times New Roman" w:cs="Times New Roman"/>
          <w:b/>
          <w:bCs/>
          <w:sz w:val="24"/>
          <w:szCs w:val="24"/>
        </w:rPr>
        <w:t>Research Question 1: Canada’s Imports from the United States</w:t>
      </w:r>
    </w:p>
    <w:p w14:paraId="7DFE48F2" w14:textId="203D1503" w:rsidR="009F41A1" w:rsidRDefault="000562F7" w:rsidP="00B41FAC">
      <w:pPr>
        <w:spacing w:line="480" w:lineRule="auto"/>
        <w:rPr>
          <w:rFonts w:ascii="Times New Roman" w:hAnsi="Times New Roman" w:cs="Times New Roman"/>
          <w:sz w:val="24"/>
          <w:szCs w:val="24"/>
        </w:rPr>
      </w:pPr>
      <w:r w:rsidRPr="000562F7">
        <w:rPr>
          <w:rFonts w:ascii="Times New Roman" w:hAnsi="Times New Roman" w:cs="Times New Roman"/>
          <w:sz w:val="24"/>
          <w:szCs w:val="24"/>
        </w:rPr>
        <w:t>RQ1 asked whether Canada's average monthly imports from the United States declined during tariff periods compared with non-tariff periods. Two statistical methods were applied to evaluate this question: the Mann-Whitney U test and ordinary least squares regression. Both used monthly U.S. export values to Canada for each of the three sector groups, reflecting Canada's imports from the United States during periods when counter-tariff actions were active.</w:t>
      </w:r>
      <w:r>
        <w:rPr>
          <w:rFonts w:ascii="Times New Roman" w:hAnsi="Times New Roman" w:cs="Times New Roman"/>
          <w:sz w:val="24"/>
          <w:szCs w:val="24"/>
        </w:rPr>
        <w:t xml:space="preserve"> </w:t>
      </w:r>
      <w:r w:rsidR="00FE79A6" w:rsidRPr="00FE79A6">
        <w:rPr>
          <w:rFonts w:ascii="Times New Roman" w:hAnsi="Times New Roman" w:cs="Times New Roman"/>
          <w:sz w:val="24"/>
          <w:szCs w:val="24"/>
        </w:rPr>
        <w:t>As with all results in this analysis, the R² values reflect the limitations of aggregate data rather than a flaw in the analytical approach.</w:t>
      </w:r>
    </w:p>
    <w:p w14:paraId="56CD3D3A" w14:textId="4FA4BD48" w:rsidR="00B41FAC" w:rsidRPr="00475BA2" w:rsidRDefault="00B41FAC" w:rsidP="00B41FAC">
      <w:pPr>
        <w:spacing w:line="480" w:lineRule="auto"/>
        <w:rPr>
          <w:rFonts w:ascii="Times New Roman" w:hAnsi="Times New Roman" w:cs="Times New Roman"/>
          <w:b/>
          <w:bCs/>
          <w:sz w:val="24"/>
          <w:szCs w:val="24"/>
        </w:rPr>
      </w:pPr>
      <w:r w:rsidRPr="00475BA2">
        <w:rPr>
          <w:rFonts w:ascii="Times New Roman" w:hAnsi="Times New Roman" w:cs="Times New Roman"/>
          <w:b/>
          <w:bCs/>
          <w:sz w:val="24"/>
          <w:szCs w:val="24"/>
        </w:rPr>
        <w:t xml:space="preserve">Figure </w:t>
      </w:r>
      <w:r w:rsidR="00FC5F6D">
        <w:rPr>
          <w:rFonts w:ascii="Times New Roman" w:hAnsi="Times New Roman" w:cs="Times New Roman"/>
          <w:b/>
          <w:bCs/>
          <w:sz w:val="24"/>
          <w:szCs w:val="24"/>
        </w:rPr>
        <w:t>10</w:t>
      </w:r>
    </w:p>
    <w:p w14:paraId="1AB2AC6B" w14:textId="7389CF29" w:rsidR="00B41FAC" w:rsidRPr="002F7FB4" w:rsidRDefault="00194A48" w:rsidP="00B41FAC">
      <w:pPr>
        <w:spacing w:line="480" w:lineRule="auto"/>
        <w:rPr>
          <w:rFonts w:ascii="Times New Roman" w:hAnsi="Times New Roman" w:cs="Times New Roman"/>
          <w:i/>
          <w:iCs/>
          <w:sz w:val="24"/>
          <w:szCs w:val="24"/>
        </w:rPr>
      </w:pPr>
      <w:r>
        <w:rPr>
          <w:rFonts w:ascii="Times New Roman" w:hAnsi="Times New Roman" w:cs="Times New Roman"/>
          <w:i/>
          <w:iCs/>
          <w:sz w:val="24"/>
          <w:szCs w:val="24"/>
        </w:rPr>
        <w:t>Mann-Whitney Summary</w:t>
      </w:r>
      <w:r w:rsidR="00DD4ABB">
        <w:rPr>
          <w:rFonts w:ascii="Times New Roman" w:hAnsi="Times New Roman" w:cs="Times New Roman"/>
          <w:i/>
          <w:iCs/>
          <w:sz w:val="24"/>
          <w:szCs w:val="24"/>
        </w:rPr>
        <w:t xml:space="preserve"> RQ1</w:t>
      </w:r>
      <w:r>
        <w:rPr>
          <w:rFonts w:ascii="Times New Roman" w:hAnsi="Times New Roman" w:cs="Times New Roman"/>
          <w:i/>
          <w:iCs/>
          <w:sz w:val="24"/>
          <w:szCs w:val="24"/>
        </w:rPr>
        <w:t xml:space="preserve"> Results (Terminal)</w:t>
      </w:r>
    </w:p>
    <w:p w14:paraId="510A5722" w14:textId="7508D5EC" w:rsidR="00AD53D0" w:rsidRDefault="00194A48" w:rsidP="00B41FAC">
      <w:pPr>
        <w:spacing w:line="480" w:lineRule="auto"/>
        <w:rPr>
          <w:rFonts w:ascii="Times New Roman" w:hAnsi="Times New Roman" w:cs="Times New Roman"/>
          <w:sz w:val="24"/>
          <w:szCs w:val="24"/>
        </w:rPr>
      </w:pPr>
      <w:r w:rsidRPr="00194A48">
        <w:rPr>
          <w:rFonts w:ascii="Times New Roman" w:hAnsi="Times New Roman" w:cs="Times New Roman"/>
          <w:noProof/>
          <w:sz w:val="24"/>
          <w:szCs w:val="24"/>
        </w:rPr>
        <w:lastRenderedPageBreak/>
        <w:drawing>
          <wp:inline distT="0" distB="0" distL="0" distR="0" wp14:anchorId="6F03A502" wp14:editId="59C4687A">
            <wp:extent cx="4895850" cy="3913459"/>
            <wp:effectExtent l="0" t="0" r="0" b="0"/>
            <wp:docPr id="149233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33970" name=""/>
                    <pic:cNvPicPr/>
                  </pic:nvPicPr>
                  <pic:blipFill>
                    <a:blip r:embed="rId16"/>
                    <a:stretch>
                      <a:fillRect/>
                    </a:stretch>
                  </pic:blipFill>
                  <pic:spPr>
                    <a:xfrm>
                      <a:off x="0" y="0"/>
                      <a:ext cx="4911031" cy="3925594"/>
                    </a:xfrm>
                    <a:prstGeom prst="rect">
                      <a:avLst/>
                    </a:prstGeom>
                  </pic:spPr>
                </pic:pic>
              </a:graphicData>
            </a:graphic>
          </wp:inline>
        </w:drawing>
      </w:r>
    </w:p>
    <w:p w14:paraId="2391E8F7" w14:textId="2F98D1A2" w:rsidR="00194A48" w:rsidRPr="00475BA2" w:rsidRDefault="00194A48" w:rsidP="00194A48">
      <w:pPr>
        <w:spacing w:line="480" w:lineRule="auto"/>
        <w:rPr>
          <w:rFonts w:ascii="Times New Roman" w:hAnsi="Times New Roman" w:cs="Times New Roman"/>
          <w:b/>
          <w:bCs/>
          <w:sz w:val="24"/>
          <w:szCs w:val="24"/>
        </w:rPr>
      </w:pPr>
      <w:r w:rsidRPr="00475BA2">
        <w:rPr>
          <w:rFonts w:ascii="Times New Roman" w:hAnsi="Times New Roman" w:cs="Times New Roman"/>
          <w:b/>
          <w:bCs/>
          <w:sz w:val="24"/>
          <w:szCs w:val="24"/>
        </w:rPr>
        <w:t xml:space="preserve">Figure </w:t>
      </w:r>
      <w:r w:rsidR="00FC5F6D">
        <w:rPr>
          <w:rFonts w:ascii="Times New Roman" w:hAnsi="Times New Roman" w:cs="Times New Roman"/>
          <w:b/>
          <w:bCs/>
          <w:sz w:val="24"/>
          <w:szCs w:val="24"/>
        </w:rPr>
        <w:t>11</w:t>
      </w:r>
    </w:p>
    <w:p w14:paraId="2FA31F94" w14:textId="14D97268" w:rsidR="00194A48" w:rsidRPr="002F7FB4" w:rsidRDefault="002841B7" w:rsidP="00194A48">
      <w:pPr>
        <w:spacing w:line="480" w:lineRule="auto"/>
        <w:rPr>
          <w:rFonts w:ascii="Times New Roman" w:hAnsi="Times New Roman" w:cs="Times New Roman"/>
          <w:i/>
          <w:iCs/>
          <w:sz w:val="24"/>
          <w:szCs w:val="24"/>
        </w:rPr>
      </w:pPr>
      <w:r>
        <w:rPr>
          <w:rFonts w:ascii="Times New Roman" w:hAnsi="Times New Roman" w:cs="Times New Roman"/>
          <w:i/>
          <w:iCs/>
          <w:sz w:val="24"/>
          <w:szCs w:val="24"/>
        </w:rPr>
        <w:t>OLS Regression</w:t>
      </w:r>
      <w:r w:rsidR="00194A48">
        <w:rPr>
          <w:rFonts w:ascii="Times New Roman" w:hAnsi="Times New Roman" w:cs="Times New Roman"/>
          <w:i/>
          <w:iCs/>
          <w:sz w:val="24"/>
          <w:szCs w:val="24"/>
        </w:rPr>
        <w:t xml:space="preserve"> Summary</w:t>
      </w:r>
      <w:r w:rsidR="00DD4ABB">
        <w:rPr>
          <w:rFonts w:ascii="Times New Roman" w:hAnsi="Times New Roman" w:cs="Times New Roman"/>
          <w:i/>
          <w:iCs/>
          <w:sz w:val="24"/>
          <w:szCs w:val="24"/>
        </w:rPr>
        <w:t xml:space="preserve"> RQ1</w:t>
      </w:r>
      <w:r w:rsidR="00194A48">
        <w:rPr>
          <w:rFonts w:ascii="Times New Roman" w:hAnsi="Times New Roman" w:cs="Times New Roman"/>
          <w:i/>
          <w:iCs/>
          <w:sz w:val="24"/>
          <w:szCs w:val="24"/>
        </w:rPr>
        <w:t xml:space="preserve"> Results (Terminal)</w:t>
      </w:r>
    </w:p>
    <w:p w14:paraId="6636FB87" w14:textId="2FCA1235" w:rsidR="00194A48" w:rsidRDefault="002841B7" w:rsidP="00B41FAC">
      <w:pPr>
        <w:spacing w:line="480" w:lineRule="auto"/>
        <w:rPr>
          <w:rFonts w:ascii="Times New Roman" w:hAnsi="Times New Roman" w:cs="Times New Roman"/>
          <w:sz w:val="24"/>
          <w:szCs w:val="24"/>
        </w:rPr>
      </w:pPr>
      <w:r w:rsidRPr="002841B7">
        <w:rPr>
          <w:rFonts w:ascii="Times New Roman" w:hAnsi="Times New Roman" w:cs="Times New Roman"/>
          <w:noProof/>
          <w:sz w:val="24"/>
          <w:szCs w:val="24"/>
        </w:rPr>
        <w:drawing>
          <wp:inline distT="0" distB="0" distL="0" distR="0" wp14:anchorId="76294FB2" wp14:editId="350B2BEA">
            <wp:extent cx="4895850" cy="3100109"/>
            <wp:effectExtent l="0" t="0" r="0" b="5080"/>
            <wp:docPr id="2085081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081503" name=""/>
                    <pic:cNvPicPr/>
                  </pic:nvPicPr>
                  <pic:blipFill>
                    <a:blip r:embed="rId17"/>
                    <a:stretch>
                      <a:fillRect/>
                    </a:stretch>
                  </pic:blipFill>
                  <pic:spPr>
                    <a:xfrm>
                      <a:off x="0" y="0"/>
                      <a:ext cx="4899250" cy="3102262"/>
                    </a:xfrm>
                    <a:prstGeom prst="rect">
                      <a:avLst/>
                    </a:prstGeom>
                  </pic:spPr>
                </pic:pic>
              </a:graphicData>
            </a:graphic>
          </wp:inline>
        </w:drawing>
      </w:r>
    </w:p>
    <w:p w14:paraId="53323A49" w14:textId="70D7ECFD" w:rsidR="00946DF7" w:rsidRDefault="00946DF7" w:rsidP="00946DF7">
      <w:pPr>
        <w:spacing w:line="480" w:lineRule="auto"/>
        <w:ind w:firstLine="720"/>
        <w:rPr>
          <w:rFonts w:ascii="Times New Roman" w:hAnsi="Times New Roman" w:cs="Times New Roman"/>
          <w:sz w:val="24"/>
          <w:szCs w:val="24"/>
        </w:rPr>
      </w:pPr>
      <w:r w:rsidRPr="00946DF7">
        <w:rPr>
          <w:rFonts w:ascii="Times New Roman" w:hAnsi="Times New Roman" w:cs="Times New Roman"/>
          <w:sz w:val="24"/>
          <w:szCs w:val="24"/>
        </w:rPr>
        <w:lastRenderedPageBreak/>
        <w:t>Results varied meaningfully across sectors. For steel, the Mann-Whitney U test produced a statistic of 615.0 and a p-value of less than 0.001, leading to rejection of the null hypothesis. The distribution of monthly export values was significantly lower during tariff-on periods, with values tending to cluster around $1.28 million compared with $2.92 million during tariff-off periods. The OLS regression supported this finding, estimating a tariff-period beta of negative $1.64 million per month, which was also statistically significant (p &lt; 0.001, R² = 0.107). Both methods indicate that the distribution of steel exports to Canada was associated with lower values during counter-tariff periods.</w:t>
      </w:r>
    </w:p>
    <w:p w14:paraId="5F14728C" w14:textId="2477CF4A" w:rsidR="00946DF7" w:rsidRDefault="00D62AB5" w:rsidP="00946DF7">
      <w:pPr>
        <w:spacing w:line="480" w:lineRule="auto"/>
        <w:ind w:firstLine="720"/>
        <w:rPr>
          <w:rFonts w:ascii="Times New Roman" w:hAnsi="Times New Roman" w:cs="Times New Roman"/>
          <w:sz w:val="24"/>
          <w:szCs w:val="24"/>
        </w:rPr>
      </w:pPr>
      <w:r w:rsidRPr="00D62AB5">
        <w:rPr>
          <w:rFonts w:ascii="Times New Roman" w:hAnsi="Times New Roman" w:cs="Times New Roman"/>
          <w:sz w:val="24"/>
          <w:szCs w:val="24"/>
        </w:rPr>
        <w:t>For aluminum and automobiles, the results tell a different story. The counter-tariff actions do not appear to have materially shifted the distribution of U.S. exports in either sector. For aluminum, the Mann-Whitney U test produced a p-value of 1.000, and the OLS regression estimated a positive beta of approximately $2.10 million per month (p = 0.009), suggesting the distribution of aluminum exports to Canada shifted higher during tariff-active periods. For automobiles, the Mann-Whitney U test produced a p-value of 0.771, and the OLS regression estimated a positive but statistically insignificant beta of approximately $3.35 million per month (p = 0.394). In both cases, the null hypothesis could not be rejected.</w:t>
      </w:r>
    </w:p>
    <w:p w14:paraId="031CA6BD" w14:textId="4400A5E8" w:rsidR="00D62AB5" w:rsidRDefault="007341B1" w:rsidP="00946DF7">
      <w:pPr>
        <w:spacing w:line="480" w:lineRule="auto"/>
        <w:ind w:firstLine="720"/>
        <w:rPr>
          <w:rFonts w:ascii="Times New Roman" w:hAnsi="Times New Roman" w:cs="Times New Roman"/>
          <w:sz w:val="24"/>
          <w:szCs w:val="24"/>
        </w:rPr>
      </w:pPr>
      <w:r w:rsidRPr="007341B1">
        <w:rPr>
          <w:rFonts w:ascii="Times New Roman" w:hAnsi="Times New Roman" w:cs="Times New Roman"/>
          <w:sz w:val="24"/>
          <w:szCs w:val="24"/>
        </w:rPr>
        <w:t>Overall, the null hypothesis for RQ1 was rejected for steel only. The mixed results suggest that Canada's counter-tariff actions were not uniformly associated with reduced U.S. exports across all three sectors, and that other factors likely continued to drive aluminum and automobile trade volumes during the tariff periods studied.</w:t>
      </w:r>
    </w:p>
    <w:p w14:paraId="3ABDF1BF" w14:textId="77777777" w:rsidR="003008C8" w:rsidRPr="003008C8" w:rsidRDefault="003008C8" w:rsidP="003008C8">
      <w:pPr>
        <w:spacing w:line="480" w:lineRule="auto"/>
        <w:rPr>
          <w:rFonts w:ascii="Times New Roman" w:hAnsi="Times New Roman" w:cs="Times New Roman"/>
          <w:sz w:val="24"/>
          <w:szCs w:val="24"/>
          <w:lang w:val="en-US"/>
        </w:rPr>
      </w:pPr>
      <w:r w:rsidRPr="003008C8">
        <w:rPr>
          <w:rFonts w:ascii="Times New Roman" w:hAnsi="Times New Roman" w:cs="Times New Roman"/>
          <w:b/>
          <w:bCs/>
          <w:sz w:val="24"/>
          <w:szCs w:val="24"/>
          <w:lang w:val="en-US"/>
        </w:rPr>
        <w:t>Research Question 2: Canada's Imports from Non-U.S. Countries</w:t>
      </w:r>
    </w:p>
    <w:p w14:paraId="4892EA47" w14:textId="74D8C221" w:rsidR="002109B0" w:rsidRDefault="00F21489" w:rsidP="0013550A">
      <w:pPr>
        <w:spacing w:line="480" w:lineRule="auto"/>
        <w:rPr>
          <w:rFonts w:ascii="Times New Roman" w:hAnsi="Times New Roman" w:cs="Times New Roman"/>
          <w:sz w:val="24"/>
          <w:szCs w:val="24"/>
          <w:lang w:val="en-US"/>
        </w:rPr>
      </w:pPr>
      <w:r w:rsidRPr="00F21489">
        <w:rPr>
          <w:rFonts w:ascii="Times New Roman" w:hAnsi="Times New Roman" w:cs="Times New Roman"/>
          <w:sz w:val="24"/>
          <w:szCs w:val="24"/>
        </w:rPr>
        <w:t>RQ2 asked whether Canada's imports from non-U.S. countries increased during tariff periods, which would be consistent with trade diversion away from U.S. suppliers in response to counter-</w:t>
      </w:r>
      <w:r w:rsidRPr="00F21489">
        <w:rPr>
          <w:rFonts w:ascii="Times New Roman" w:hAnsi="Times New Roman" w:cs="Times New Roman"/>
          <w:sz w:val="24"/>
          <w:szCs w:val="24"/>
        </w:rPr>
        <w:lastRenderedPageBreak/>
        <w:t>tariff actions. The Mann-Whitney U test and OLS regression were both applied using annual Canadian import data by source country. Unlike RQ1, this analysis relies on annual rather than monthly data, resulting in only three tariff-on observations and eleven tariff-off observations per sector. This data constraint is the most significant limitation of RQ2 and directly affects the OLS model's ability to fit the data. With only 14 total observations per sector, no regression model would be expected to produce a strong fit regardless of the variables included. The low R² values observed throughout this analysis are therefore a reflection of insufficient data granularity rather than a flaw in the analytical approach. These constraints limit the statistical power of both tests and mean that findings should be interpreted with caution.</w:t>
      </w:r>
    </w:p>
    <w:p w14:paraId="24D39D9C" w14:textId="1866FB2A" w:rsidR="00DD4ABB" w:rsidRPr="00475BA2" w:rsidRDefault="00DD4ABB" w:rsidP="00DD4ABB">
      <w:pPr>
        <w:spacing w:line="480" w:lineRule="auto"/>
        <w:rPr>
          <w:rFonts w:ascii="Times New Roman" w:hAnsi="Times New Roman" w:cs="Times New Roman"/>
          <w:b/>
          <w:bCs/>
          <w:sz w:val="24"/>
          <w:szCs w:val="24"/>
        </w:rPr>
      </w:pPr>
      <w:r w:rsidRPr="00475BA2">
        <w:rPr>
          <w:rFonts w:ascii="Times New Roman" w:hAnsi="Times New Roman" w:cs="Times New Roman"/>
          <w:b/>
          <w:bCs/>
          <w:sz w:val="24"/>
          <w:szCs w:val="24"/>
        </w:rPr>
        <w:t>Figure 1</w:t>
      </w:r>
      <w:r w:rsidR="00FC5F6D">
        <w:rPr>
          <w:rFonts w:ascii="Times New Roman" w:hAnsi="Times New Roman" w:cs="Times New Roman"/>
          <w:b/>
          <w:bCs/>
          <w:sz w:val="24"/>
          <w:szCs w:val="24"/>
        </w:rPr>
        <w:t>2</w:t>
      </w:r>
    </w:p>
    <w:p w14:paraId="0756B7BE" w14:textId="3DA861CE" w:rsidR="00DD4ABB" w:rsidRPr="00F21489" w:rsidRDefault="00DD4ABB" w:rsidP="003008C8">
      <w:pPr>
        <w:spacing w:line="480" w:lineRule="auto"/>
        <w:rPr>
          <w:rFonts w:ascii="Times New Roman" w:hAnsi="Times New Roman" w:cs="Times New Roman"/>
          <w:i/>
          <w:iCs/>
          <w:sz w:val="24"/>
          <w:szCs w:val="24"/>
        </w:rPr>
      </w:pPr>
      <w:r>
        <w:rPr>
          <w:rFonts w:ascii="Times New Roman" w:hAnsi="Times New Roman" w:cs="Times New Roman"/>
          <w:i/>
          <w:iCs/>
          <w:sz w:val="24"/>
          <w:szCs w:val="24"/>
        </w:rPr>
        <w:t>Mann-Whitney Summary RQ</w:t>
      </w:r>
      <w:r w:rsidR="00F52E85">
        <w:rPr>
          <w:rFonts w:ascii="Times New Roman" w:hAnsi="Times New Roman" w:cs="Times New Roman"/>
          <w:i/>
          <w:iCs/>
          <w:sz w:val="24"/>
          <w:szCs w:val="24"/>
        </w:rPr>
        <w:t>2</w:t>
      </w:r>
      <w:r>
        <w:rPr>
          <w:rFonts w:ascii="Times New Roman" w:hAnsi="Times New Roman" w:cs="Times New Roman"/>
          <w:i/>
          <w:iCs/>
          <w:sz w:val="24"/>
          <w:szCs w:val="24"/>
        </w:rPr>
        <w:t xml:space="preserve"> Results (Terminal)</w:t>
      </w:r>
    </w:p>
    <w:p w14:paraId="449BD8F8" w14:textId="29DDBB65" w:rsidR="003F3601" w:rsidRPr="003008C8" w:rsidRDefault="00DD4ABB" w:rsidP="003008C8">
      <w:pPr>
        <w:spacing w:line="480" w:lineRule="auto"/>
        <w:rPr>
          <w:rFonts w:ascii="Times New Roman" w:hAnsi="Times New Roman" w:cs="Times New Roman"/>
          <w:sz w:val="24"/>
          <w:szCs w:val="24"/>
          <w:lang w:val="en-US"/>
        </w:rPr>
      </w:pPr>
      <w:r w:rsidRPr="00DD4ABB">
        <w:rPr>
          <w:rFonts w:ascii="Times New Roman" w:hAnsi="Times New Roman" w:cs="Times New Roman"/>
          <w:noProof/>
          <w:sz w:val="24"/>
          <w:szCs w:val="24"/>
          <w:lang w:val="en-US"/>
        </w:rPr>
        <w:drawing>
          <wp:inline distT="0" distB="0" distL="0" distR="0" wp14:anchorId="3A6AD581" wp14:editId="7E6D479F">
            <wp:extent cx="5251251" cy="3838575"/>
            <wp:effectExtent l="0" t="0" r="6985" b="0"/>
            <wp:docPr id="2027547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547441" name=""/>
                    <pic:cNvPicPr/>
                  </pic:nvPicPr>
                  <pic:blipFill>
                    <a:blip r:embed="rId18"/>
                    <a:stretch>
                      <a:fillRect/>
                    </a:stretch>
                  </pic:blipFill>
                  <pic:spPr>
                    <a:xfrm>
                      <a:off x="0" y="0"/>
                      <a:ext cx="5253115" cy="3839937"/>
                    </a:xfrm>
                    <a:prstGeom prst="rect">
                      <a:avLst/>
                    </a:prstGeom>
                  </pic:spPr>
                </pic:pic>
              </a:graphicData>
            </a:graphic>
          </wp:inline>
        </w:drawing>
      </w:r>
    </w:p>
    <w:p w14:paraId="36AD5B1B" w14:textId="395056FF" w:rsidR="00F52E85" w:rsidRPr="00475BA2" w:rsidRDefault="00F52E85" w:rsidP="00F52E85">
      <w:pPr>
        <w:spacing w:line="480" w:lineRule="auto"/>
        <w:rPr>
          <w:rFonts w:ascii="Times New Roman" w:hAnsi="Times New Roman" w:cs="Times New Roman"/>
          <w:b/>
          <w:bCs/>
          <w:sz w:val="24"/>
          <w:szCs w:val="24"/>
        </w:rPr>
      </w:pPr>
      <w:r w:rsidRPr="00475BA2">
        <w:rPr>
          <w:rFonts w:ascii="Times New Roman" w:hAnsi="Times New Roman" w:cs="Times New Roman"/>
          <w:b/>
          <w:bCs/>
          <w:sz w:val="24"/>
          <w:szCs w:val="24"/>
        </w:rPr>
        <w:t>Figure 1</w:t>
      </w:r>
      <w:r w:rsidR="00FC5F6D">
        <w:rPr>
          <w:rFonts w:ascii="Times New Roman" w:hAnsi="Times New Roman" w:cs="Times New Roman"/>
          <w:b/>
          <w:bCs/>
          <w:sz w:val="24"/>
          <w:szCs w:val="24"/>
        </w:rPr>
        <w:t>3</w:t>
      </w:r>
    </w:p>
    <w:p w14:paraId="338CEC8E" w14:textId="70591391" w:rsidR="00F52E85" w:rsidRPr="002F7FB4" w:rsidRDefault="00F52E85" w:rsidP="00F52E85">
      <w:pPr>
        <w:spacing w:line="480" w:lineRule="auto"/>
        <w:rPr>
          <w:rFonts w:ascii="Times New Roman" w:hAnsi="Times New Roman" w:cs="Times New Roman"/>
          <w:i/>
          <w:iCs/>
          <w:sz w:val="24"/>
          <w:szCs w:val="24"/>
        </w:rPr>
      </w:pPr>
      <w:r>
        <w:rPr>
          <w:rFonts w:ascii="Times New Roman" w:hAnsi="Times New Roman" w:cs="Times New Roman"/>
          <w:i/>
          <w:iCs/>
          <w:sz w:val="24"/>
          <w:szCs w:val="24"/>
        </w:rPr>
        <w:lastRenderedPageBreak/>
        <w:t>OLS Regression Summary RQ2 Results (Terminal)</w:t>
      </w:r>
    </w:p>
    <w:p w14:paraId="744F0172" w14:textId="5C2D311C" w:rsidR="00CA65AE" w:rsidRDefault="006A7852" w:rsidP="00CA65AE">
      <w:pPr>
        <w:spacing w:line="480" w:lineRule="auto"/>
        <w:rPr>
          <w:rFonts w:ascii="Times New Roman" w:hAnsi="Times New Roman" w:cs="Times New Roman"/>
          <w:sz w:val="24"/>
          <w:szCs w:val="24"/>
        </w:rPr>
      </w:pPr>
      <w:r w:rsidRPr="006A7852">
        <w:rPr>
          <w:rFonts w:ascii="Times New Roman" w:hAnsi="Times New Roman" w:cs="Times New Roman"/>
          <w:noProof/>
          <w:sz w:val="24"/>
          <w:szCs w:val="24"/>
        </w:rPr>
        <w:drawing>
          <wp:inline distT="0" distB="0" distL="0" distR="0" wp14:anchorId="4CC1EDB1" wp14:editId="46C87611">
            <wp:extent cx="5763429" cy="3324689"/>
            <wp:effectExtent l="0" t="0" r="8890" b="9525"/>
            <wp:docPr id="1522807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807629" name=""/>
                    <pic:cNvPicPr/>
                  </pic:nvPicPr>
                  <pic:blipFill>
                    <a:blip r:embed="rId19"/>
                    <a:stretch>
                      <a:fillRect/>
                    </a:stretch>
                  </pic:blipFill>
                  <pic:spPr>
                    <a:xfrm>
                      <a:off x="0" y="0"/>
                      <a:ext cx="5763429" cy="3324689"/>
                    </a:xfrm>
                    <a:prstGeom prst="rect">
                      <a:avLst/>
                    </a:prstGeom>
                  </pic:spPr>
                </pic:pic>
              </a:graphicData>
            </a:graphic>
          </wp:inline>
        </w:drawing>
      </w:r>
    </w:p>
    <w:p w14:paraId="4C5FB797" w14:textId="77777777" w:rsidR="007820ED" w:rsidRPr="007820ED" w:rsidRDefault="007820ED" w:rsidP="007820ED">
      <w:pPr>
        <w:spacing w:line="480" w:lineRule="auto"/>
        <w:ind w:firstLine="720"/>
        <w:rPr>
          <w:rFonts w:ascii="Times New Roman" w:hAnsi="Times New Roman" w:cs="Times New Roman"/>
          <w:sz w:val="24"/>
          <w:szCs w:val="24"/>
          <w:lang w:val="en-US"/>
        </w:rPr>
      </w:pPr>
      <w:r w:rsidRPr="007820ED">
        <w:rPr>
          <w:rFonts w:ascii="Times New Roman" w:hAnsi="Times New Roman" w:cs="Times New Roman"/>
          <w:sz w:val="24"/>
          <w:szCs w:val="24"/>
          <w:lang w:val="en-US"/>
        </w:rPr>
        <w:t>For steel, neither test detected a meaningful shift in the distribution of non-U.S. imports during tariff periods. The Mann-Whitney U test produced a p-value of 0.442, and the OLS regression estimated a slightly negative beta of $8.88 million per year (p = 0.930, R² = 0.001), indicating that the tariff dummy explains virtually none of the variation in the data. With an R² this close to zero, the model provides no meaningful explanatory power, which is consistent with having only three tariff-on observations to work with.</w:t>
      </w:r>
    </w:p>
    <w:p w14:paraId="0F12F493" w14:textId="77777777" w:rsidR="007820ED" w:rsidRPr="007820ED" w:rsidRDefault="007820ED" w:rsidP="007820ED">
      <w:pPr>
        <w:spacing w:line="480" w:lineRule="auto"/>
        <w:ind w:firstLine="720"/>
        <w:rPr>
          <w:rFonts w:ascii="Times New Roman" w:hAnsi="Times New Roman" w:cs="Times New Roman"/>
          <w:sz w:val="24"/>
          <w:szCs w:val="24"/>
          <w:lang w:val="en-US"/>
        </w:rPr>
      </w:pPr>
      <w:r w:rsidRPr="007820ED">
        <w:rPr>
          <w:rFonts w:ascii="Times New Roman" w:hAnsi="Times New Roman" w:cs="Times New Roman"/>
          <w:sz w:val="24"/>
          <w:szCs w:val="24"/>
          <w:lang w:val="en-US"/>
        </w:rPr>
        <w:t>For aluminum, results were directionally positive but did not reach statistical significance. The Mann-Whitney U test produced a p-value of 0.146, and the OLS regression estimated a positive beta of approximately $240.78 million per year (p = 0.371, R² = 0.067). The low R² again reflects the limited number of data points rather than an absence of a relationship. Monthly granular data covering a longer tariff period would be needed to draw more reliable conclusions for this sector.</w:t>
      </w:r>
    </w:p>
    <w:p w14:paraId="653D6146" w14:textId="77777777" w:rsidR="007820ED" w:rsidRPr="007820ED" w:rsidRDefault="007820ED" w:rsidP="007820ED">
      <w:pPr>
        <w:spacing w:line="480" w:lineRule="auto"/>
        <w:ind w:firstLine="720"/>
        <w:rPr>
          <w:rFonts w:ascii="Times New Roman" w:hAnsi="Times New Roman" w:cs="Times New Roman"/>
          <w:sz w:val="24"/>
          <w:szCs w:val="24"/>
          <w:lang w:val="en-US"/>
        </w:rPr>
      </w:pPr>
      <w:r w:rsidRPr="007820ED">
        <w:rPr>
          <w:rFonts w:ascii="Times New Roman" w:hAnsi="Times New Roman" w:cs="Times New Roman"/>
          <w:sz w:val="24"/>
          <w:szCs w:val="24"/>
          <w:lang w:val="en-US"/>
        </w:rPr>
        <w:lastRenderedPageBreak/>
        <w:t>For automobiles, the null hypothesis was rejected. The Mann-Whitney U test produced a p-value of 0.030, and the OLS regression estimated a positive beta of approximately $2.02 billion per year (p = 0.048, R² = 0.288). This is the strongest result in RQ2, though even here the R² indicates that the tariff period accounts for less than a third of the variation. Given the data constraints, this is the expected ceiling for explanatory power in this analysis and should not be interpreted as a model deficiency.</w:t>
      </w:r>
    </w:p>
    <w:p w14:paraId="0EED623D" w14:textId="784EB5C9" w:rsidR="00F21489" w:rsidRPr="007820ED" w:rsidRDefault="007820ED" w:rsidP="007820ED">
      <w:pPr>
        <w:spacing w:line="480" w:lineRule="auto"/>
        <w:ind w:firstLine="720"/>
        <w:rPr>
          <w:rFonts w:ascii="Times New Roman" w:hAnsi="Times New Roman" w:cs="Times New Roman"/>
          <w:sz w:val="24"/>
          <w:szCs w:val="24"/>
          <w:lang w:val="en-US"/>
        </w:rPr>
      </w:pPr>
      <w:r w:rsidRPr="007820ED">
        <w:rPr>
          <w:rFonts w:ascii="Times New Roman" w:hAnsi="Times New Roman" w:cs="Times New Roman"/>
          <w:sz w:val="24"/>
          <w:szCs w:val="24"/>
          <w:lang w:val="en-US"/>
        </w:rPr>
        <w:t>Overall, the null hypothesis for RQ2 was rejected for automobiles only. The consistently low R² values across all three sectors are best understood as a function of data availability rather than model inadequacy. More granular monthly data broken out by source country over a longer historical period would substantially improve the statistical power of this analysis and allow for more definitive conclusions about trade diversion behavior.</w:t>
      </w:r>
    </w:p>
    <w:p w14:paraId="734C4D9A" w14:textId="77777777" w:rsidR="007B6C65" w:rsidRPr="007B6C65" w:rsidRDefault="007B6C65" w:rsidP="007B6C65">
      <w:pPr>
        <w:spacing w:line="480" w:lineRule="auto"/>
        <w:rPr>
          <w:rFonts w:ascii="Times New Roman" w:hAnsi="Times New Roman" w:cs="Times New Roman"/>
          <w:b/>
          <w:bCs/>
          <w:sz w:val="24"/>
          <w:szCs w:val="24"/>
          <w:lang w:val="en-US"/>
        </w:rPr>
      </w:pPr>
      <w:r w:rsidRPr="007B6C65">
        <w:rPr>
          <w:rFonts w:ascii="Times New Roman" w:hAnsi="Times New Roman" w:cs="Times New Roman"/>
          <w:b/>
          <w:bCs/>
          <w:sz w:val="24"/>
          <w:szCs w:val="24"/>
          <w:lang w:val="en-US"/>
        </w:rPr>
        <w:t>Research Question 3: Canada's Exports to the United States</w:t>
      </w:r>
    </w:p>
    <w:p w14:paraId="03F9750B" w14:textId="00CDEE21" w:rsidR="002C408F" w:rsidRDefault="000601CC" w:rsidP="00AF58BE">
      <w:pPr>
        <w:spacing w:line="480" w:lineRule="auto"/>
        <w:rPr>
          <w:rFonts w:ascii="Times New Roman" w:hAnsi="Times New Roman" w:cs="Times New Roman"/>
          <w:sz w:val="24"/>
          <w:szCs w:val="24"/>
          <w:lang w:val="en-US"/>
        </w:rPr>
      </w:pPr>
      <w:r w:rsidRPr="000601CC">
        <w:rPr>
          <w:rFonts w:ascii="Times New Roman" w:hAnsi="Times New Roman" w:cs="Times New Roman"/>
          <w:sz w:val="24"/>
          <w:szCs w:val="24"/>
        </w:rPr>
        <w:t>RQ3 asked whether Canada's exports to the United States declined during tariff periods compared with non-tariff periods. This question examines the other direction of the trade relationship, looking at how tariff escalation may have affected Canada's ability to export into the U.S. market. The Mann-Whitney U test and OLS regression were both applied to monthly U.S. import values from Canada for each of the three sector groups. Like RQ1, this analysis benefits from a full monthly dataset with 25 tariff-on observations and 144 tariff-off observations per sector, providing considerably more statistical power than the annual data used in RQ2.</w:t>
      </w:r>
    </w:p>
    <w:p w14:paraId="7949512F" w14:textId="25D553B8" w:rsidR="00AF58BE" w:rsidRPr="00475BA2" w:rsidRDefault="00AF58BE" w:rsidP="00AF58BE">
      <w:pPr>
        <w:spacing w:line="480" w:lineRule="auto"/>
        <w:rPr>
          <w:rFonts w:ascii="Times New Roman" w:hAnsi="Times New Roman" w:cs="Times New Roman"/>
          <w:b/>
          <w:bCs/>
          <w:sz w:val="24"/>
          <w:szCs w:val="24"/>
        </w:rPr>
      </w:pPr>
      <w:r w:rsidRPr="00475BA2">
        <w:rPr>
          <w:rFonts w:ascii="Times New Roman" w:hAnsi="Times New Roman" w:cs="Times New Roman"/>
          <w:b/>
          <w:bCs/>
          <w:sz w:val="24"/>
          <w:szCs w:val="24"/>
        </w:rPr>
        <w:t>Figure 1</w:t>
      </w:r>
      <w:r w:rsidR="00FC5F6D">
        <w:rPr>
          <w:rFonts w:ascii="Times New Roman" w:hAnsi="Times New Roman" w:cs="Times New Roman"/>
          <w:b/>
          <w:bCs/>
          <w:sz w:val="24"/>
          <w:szCs w:val="24"/>
        </w:rPr>
        <w:t>4</w:t>
      </w:r>
    </w:p>
    <w:p w14:paraId="387CED80" w14:textId="689D082D" w:rsidR="00AF58BE" w:rsidRPr="003D17FC" w:rsidRDefault="00AF58BE" w:rsidP="00CA65AE">
      <w:pPr>
        <w:spacing w:line="480" w:lineRule="auto"/>
        <w:rPr>
          <w:rFonts w:ascii="Times New Roman" w:hAnsi="Times New Roman" w:cs="Times New Roman"/>
          <w:i/>
          <w:iCs/>
          <w:sz w:val="24"/>
          <w:szCs w:val="24"/>
        </w:rPr>
      </w:pPr>
      <w:r>
        <w:rPr>
          <w:rFonts w:ascii="Times New Roman" w:hAnsi="Times New Roman" w:cs="Times New Roman"/>
          <w:i/>
          <w:iCs/>
          <w:sz w:val="24"/>
          <w:szCs w:val="24"/>
        </w:rPr>
        <w:t>Mann-Whitney Summary RQ</w:t>
      </w:r>
      <w:r w:rsidR="003D17FC">
        <w:rPr>
          <w:rFonts w:ascii="Times New Roman" w:hAnsi="Times New Roman" w:cs="Times New Roman"/>
          <w:i/>
          <w:iCs/>
          <w:sz w:val="24"/>
          <w:szCs w:val="24"/>
        </w:rPr>
        <w:t>3</w:t>
      </w:r>
      <w:r>
        <w:rPr>
          <w:rFonts w:ascii="Times New Roman" w:hAnsi="Times New Roman" w:cs="Times New Roman"/>
          <w:i/>
          <w:iCs/>
          <w:sz w:val="24"/>
          <w:szCs w:val="24"/>
        </w:rPr>
        <w:t xml:space="preserve"> Results (Terminal)</w:t>
      </w:r>
    </w:p>
    <w:p w14:paraId="50D26AB2" w14:textId="2FC52082" w:rsidR="00CA65AE" w:rsidRDefault="00AF58BE" w:rsidP="00CA65AE">
      <w:pPr>
        <w:spacing w:line="480" w:lineRule="auto"/>
        <w:rPr>
          <w:rFonts w:ascii="Times New Roman" w:hAnsi="Times New Roman" w:cs="Times New Roman"/>
          <w:sz w:val="24"/>
          <w:szCs w:val="24"/>
        </w:rPr>
      </w:pPr>
      <w:r w:rsidRPr="00AF58BE">
        <w:rPr>
          <w:rFonts w:ascii="Times New Roman" w:hAnsi="Times New Roman" w:cs="Times New Roman"/>
          <w:noProof/>
          <w:sz w:val="24"/>
          <w:szCs w:val="24"/>
        </w:rPr>
        <w:lastRenderedPageBreak/>
        <w:drawing>
          <wp:inline distT="0" distB="0" distL="0" distR="0" wp14:anchorId="5C42F682" wp14:editId="070B94EC">
            <wp:extent cx="5115464" cy="4114800"/>
            <wp:effectExtent l="0" t="0" r="9525" b="0"/>
            <wp:docPr id="581136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136066" name=""/>
                    <pic:cNvPicPr/>
                  </pic:nvPicPr>
                  <pic:blipFill>
                    <a:blip r:embed="rId20"/>
                    <a:stretch>
                      <a:fillRect/>
                    </a:stretch>
                  </pic:blipFill>
                  <pic:spPr>
                    <a:xfrm>
                      <a:off x="0" y="0"/>
                      <a:ext cx="5128723" cy="4125466"/>
                    </a:xfrm>
                    <a:prstGeom prst="rect">
                      <a:avLst/>
                    </a:prstGeom>
                  </pic:spPr>
                </pic:pic>
              </a:graphicData>
            </a:graphic>
          </wp:inline>
        </w:drawing>
      </w:r>
    </w:p>
    <w:p w14:paraId="1A7FD5FA" w14:textId="61797AE5" w:rsidR="0052746E" w:rsidRPr="00475BA2" w:rsidRDefault="0052746E" w:rsidP="0052746E">
      <w:pPr>
        <w:spacing w:line="480" w:lineRule="auto"/>
        <w:rPr>
          <w:rFonts w:ascii="Times New Roman" w:hAnsi="Times New Roman" w:cs="Times New Roman"/>
          <w:b/>
          <w:bCs/>
          <w:sz w:val="24"/>
          <w:szCs w:val="24"/>
        </w:rPr>
      </w:pPr>
      <w:r w:rsidRPr="00475BA2">
        <w:rPr>
          <w:rFonts w:ascii="Times New Roman" w:hAnsi="Times New Roman" w:cs="Times New Roman"/>
          <w:b/>
          <w:bCs/>
          <w:sz w:val="24"/>
          <w:szCs w:val="24"/>
        </w:rPr>
        <w:t>Figure 1</w:t>
      </w:r>
      <w:r w:rsidR="00FC5F6D">
        <w:rPr>
          <w:rFonts w:ascii="Times New Roman" w:hAnsi="Times New Roman" w:cs="Times New Roman"/>
          <w:b/>
          <w:bCs/>
          <w:sz w:val="24"/>
          <w:szCs w:val="24"/>
        </w:rPr>
        <w:t>5</w:t>
      </w:r>
    </w:p>
    <w:p w14:paraId="35409244" w14:textId="1606DE04" w:rsidR="0052746E" w:rsidRPr="002F7FB4" w:rsidRDefault="0052746E" w:rsidP="0052746E">
      <w:pPr>
        <w:spacing w:line="480" w:lineRule="auto"/>
        <w:rPr>
          <w:rFonts w:ascii="Times New Roman" w:hAnsi="Times New Roman" w:cs="Times New Roman"/>
          <w:i/>
          <w:iCs/>
          <w:sz w:val="24"/>
          <w:szCs w:val="24"/>
        </w:rPr>
      </w:pPr>
      <w:r>
        <w:rPr>
          <w:rFonts w:ascii="Times New Roman" w:hAnsi="Times New Roman" w:cs="Times New Roman"/>
          <w:i/>
          <w:iCs/>
          <w:sz w:val="24"/>
          <w:szCs w:val="24"/>
        </w:rPr>
        <w:t>OLS Regression Summary RQ3 Results (Terminal)</w:t>
      </w:r>
    </w:p>
    <w:p w14:paraId="2E7A03E2" w14:textId="77777777" w:rsidR="0052746E" w:rsidRDefault="0052746E" w:rsidP="00CA65AE">
      <w:pPr>
        <w:spacing w:line="480" w:lineRule="auto"/>
        <w:rPr>
          <w:rFonts w:ascii="Times New Roman" w:hAnsi="Times New Roman" w:cs="Times New Roman"/>
          <w:sz w:val="24"/>
          <w:szCs w:val="24"/>
        </w:rPr>
      </w:pPr>
    </w:p>
    <w:p w14:paraId="3C7A9025" w14:textId="1D087B8B" w:rsidR="00CA65AE" w:rsidRDefault="0052746E" w:rsidP="00CA65AE">
      <w:pPr>
        <w:spacing w:line="480" w:lineRule="auto"/>
        <w:rPr>
          <w:rFonts w:ascii="Times New Roman" w:hAnsi="Times New Roman" w:cs="Times New Roman"/>
          <w:sz w:val="24"/>
          <w:szCs w:val="24"/>
        </w:rPr>
      </w:pPr>
      <w:r w:rsidRPr="0052746E">
        <w:rPr>
          <w:rFonts w:ascii="Times New Roman" w:hAnsi="Times New Roman" w:cs="Times New Roman"/>
          <w:noProof/>
          <w:sz w:val="24"/>
          <w:szCs w:val="24"/>
        </w:rPr>
        <w:lastRenderedPageBreak/>
        <w:drawing>
          <wp:inline distT="0" distB="0" distL="0" distR="0" wp14:anchorId="697847C1" wp14:editId="4665A329">
            <wp:extent cx="5572903" cy="3267531"/>
            <wp:effectExtent l="0" t="0" r="8890" b="9525"/>
            <wp:docPr id="1969914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914593" name=""/>
                    <pic:cNvPicPr/>
                  </pic:nvPicPr>
                  <pic:blipFill>
                    <a:blip r:embed="rId21"/>
                    <a:stretch>
                      <a:fillRect/>
                    </a:stretch>
                  </pic:blipFill>
                  <pic:spPr>
                    <a:xfrm>
                      <a:off x="0" y="0"/>
                      <a:ext cx="5572903" cy="3267531"/>
                    </a:xfrm>
                    <a:prstGeom prst="rect">
                      <a:avLst/>
                    </a:prstGeom>
                  </pic:spPr>
                </pic:pic>
              </a:graphicData>
            </a:graphic>
          </wp:inline>
        </w:drawing>
      </w:r>
    </w:p>
    <w:p w14:paraId="4A2CC03D" w14:textId="77777777" w:rsidR="000A3A0D" w:rsidRPr="000A3A0D" w:rsidRDefault="000A3A0D" w:rsidP="000A3A0D">
      <w:pPr>
        <w:spacing w:line="480" w:lineRule="auto"/>
        <w:rPr>
          <w:rFonts w:ascii="Times New Roman" w:hAnsi="Times New Roman" w:cs="Times New Roman"/>
          <w:sz w:val="24"/>
          <w:szCs w:val="24"/>
          <w:lang w:val="en-US"/>
        </w:rPr>
      </w:pPr>
      <w:r w:rsidRPr="000A3A0D">
        <w:rPr>
          <w:rFonts w:ascii="Times New Roman" w:hAnsi="Times New Roman" w:cs="Times New Roman"/>
          <w:sz w:val="24"/>
          <w:szCs w:val="24"/>
          <w:lang w:val="en-US"/>
        </w:rPr>
        <w:t>For steel, the Mann-Whitney U test produced a statistic of 1,204.0 and a p-value of 0.004, leading to rejection of the null hypothesis. The distribution of monthly import values was significantly lower during tariff-on periods, with values tending to cluster around $17.04 million compared with $23.90 million during tariff-off periods. The OLS regression estimated a negative beta of approximately $6.86 million per month (p = 0.003, R² = 0.050), supporting the conclusion that the distribution of Canadian steel exports to the United States was associated with lower values during tariff-active periods.</w:t>
      </w:r>
    </w:p>
    <w:p w14:paraId="31D7C8B7" w14:textId="77777777" w:rsidR="000A3A0D" w:rsidRPr="000A3A0D" w:rsidRDefault="000A3A0D" w:rsidP="000A3A0D">
      <w:pPr>
        <w:spacing w:line="480" w:lineRule="auto"/>
        <w:rPr>
          <w:rFonts w:ascii="Times New Roman" w:hAnsi="Times New Roman" w:cs="Times New Roman"/>
          <w:sz w:val="24"/>
          <w:szCs w:val="24"/>
          <w:lang w:val="en-US"/>
        </w:rPr>
      </w:pPr>
      <w:r w:rsidRPr="000A3A0D">
        <w:rPr>
          <w:rFonts w:ascii="Times New Roman" w:hAnsi="Times New Roman" w:cs="Times New Roman"/>
          <w:sz w:val="24"/>
          <w:szCs w:val="24"/>
          <w:lang w:val="en-US"/>
        </w:rPr>
        <w:t xml:space="preserve">For aluminum, the Mann-Whitney U test produced a statistic of 1,418.0 and a p-value of 0.046, leading to rejection of the null hypothesis. The distribution of monthly import values tended to be lower during tariff-on periods, with values clustering around $475.21 million compared with $537.12 million during tariff-off periods. However, the OLS regression estimated a negative beta of approximately $61.91 million per month but did not reach statistical significance (p = 0.076, R² = 0.019). The mixed signals between the two methods, combined with the low R² value, </w:t>
      </w:r>
      <w:r w:rsidRPr="000A3A0D">
        <w:rPr>
          <w:rFonts w:ascii="Times New Roman" w:hAnsi="Times New Roman" w:cs="Times New Roman"/>
          <w:sz w:val="24"/>
          <w:szCs w:val="24"/>
          <w:lang w:val="en-US"/>
        </w:rPr>
        <w:lastRenderedPageBreak/>
        <w:t>suggest that while there is some evidence of a downward shift in the distribution of Canadian aluminum exports during tariff periods, the relationship is not as clearly defined as it is for steel.</w:t>
      </w:r>
    </w:p>
    <w:p w14:paraId="3E3BE52E" w14:textId="77777777" w:rsidR="000A3A0D" w:rsidRPr="000A3A0D" w:rsidRDefault="000A3A0D" w:rsidP="000A3A0D">
      <w:pPr>
        <w:spacing w:line="480" w:lineRule="auto"/>
        <w:rPr>
          <w:rFonts w:ascii="Times New Roman" w:hAnsi="Times New Roman" w:cs="Times New Roman"/>
          <w:sz w:val="24"/>
          <w:szCs w:val="24"/>
          <w:lang w:val="en-US"/>
        </w:rPr>
      </w:pPr>
      <w:r w:rsidRPr="000A3A0D">
        <w:rPr>
          <w:rFonts w:ascii="Times New Roman" w:hAnsi="Times New Roman" w:cs="Times New Roman"/>
          <w:sz w:val="24"/>
          <w:szCs w:val="24"/>
          <w:lang w:val="en-US"/>
        </w:rPr>
        <w:t>For automobiles, both methods produced strong results. The Mann-Whitney U test produced a statistic of 1,029.0 and a p-value of less than 0.001, and the OLS regression estimated a negative beta of approximately $745.73 million per month (p &lt; 0.001, R² = 0.073). The distribution of monthly import values was significantly lower during tariff-on periods, with values tending to cluster around $2.18 billion compared with $2.93 billion during tariff-off periods. Both methods indicate that the distribution of Canadian automotive exports to the United States shifted meaningfully lower during tariff-active periods, and the auto sector's large dollar values make this the most economically significant finding across all three RQs.</w:t>
      </w:r>
    </w:p>
    <w:p w14:paraId="32EEBFF0" w14:textId="6BB3EFAC" w:rsidR="000601CC" w:rsidRPr="000A3A0D" w:rsidRDefault="000A3A0D" w:rsidP="00CA65AE">
      <w:pPr>
        <w:spacing w:line="480" w:lineRule="auto"/>
        <w:rPr>
          <w:rFonts w:ascii="Times New Roman" w:hAnsi="Times New Roman" w:cs="Times New Roman"/>
          <w:sz w:val="24"/>
          <w:szCs w:val="24"/>
          <w:lang w:val="en-US"/>
        </w:rPr>
      </w:pPr>
      <w:r w:rsidRPr="000A3A0D">
        <w:rPr>
          <w:rFonts w:ascii="Times New Roman" w:hAnsi="Times New Roman" w:cs="Times New Roman"/>
          <w:sz w:val="24"/>
          <w:szCs w:val="24"/>
          <w:lang w:val="en-US"/>
        </w:rPr>
        <w:t>Overall, the null hypothesis for RQ3 was rejected across all three sectors, making it the strongest result in the study. While the R² values are modest, indicating that tariff periods alone do not explain all variation in trade as stated throughout the paper, the consistency of the directional finding across steel, aluminum, and automobiles suggests that tariff escalation was associated with a broad-based weakening of Canada's exports to the United States during the periods being analyzed.</w:t>
      </w:r>
    </w:p>
    <w:p w14:paraId="039C4CAF" w14:textId="77777777" w:rsidR="00475BA2" w:rsidRPr="00475BA2" w:rsidRDefault="00475BA2" w:rsidP="00475BA2">
      <w:pPr>
        <w:spacing w:line="480" w:lineRule="auto"/>
        <w:rPr>
          <w:rFonts w:ascii="Times New Roman" w:hAnsi="Times New Roman" w:cs="Times New Roman"/>
          <w:sz w:val="24"/>
          <w:szCs w:val="24"/>
          <w:lang w:val="en-US"/>
        </w:rPr>
      </w:pPr>
      <w:r w:rsidRPr="00475BA2">
        <w:rPr>
          <w:rFonts w:ascii="Times New Roman" w:hAnsi="Times New Roman" w:cs="Times New Roman"/>
          <w:b/>
          <w:bCs/>
          <w:sz w:val="24"/>
          <w:szCs w:val="24"/>
          <w:lang w:val="en-US"/>
        </w:rPr>
        <w:t>Predictive Forecast: Canada's Exports to the United States</w:t>
      </w:r>
    </w:p>
    <w:p w14:paraId="7C2D74EF" w14:textId="77777777" w:rsidR="0013550A" w:rsidRDefault="00475BA2" w:rsidP="0013550A">
      <w:pPr>
        <w:spacing w:line="480" w:lineRule="auto"/>
        <w:rPr>
          <w:rFonts w:ascii="Times New Roman" w:hAnsi="Times New Roman" w:cs="Times New Roman"/>
          <w:sz w:val="24"/>
          <w:szCs w:val="24"/>
          <w:lang w:val="en-US"/>
        </w:rPr>
      </w:pPr>
      <w:r w:rsidRPr="00475BA2">
        <w:rPr>
          <w:rFonts w:ascii="Times New Roman" w:hAnsi="Times New Roman" w:cs="Times New Roman"/>
          <w:sz w:val="24"/>
          <w:szCs w:val="24"/>
          <w:lang w:val="en-US"/>
        </w:rPr>
        <w:t xml:space="preserve">To complement the hypothesis testing results, a two-scenario predictive forecast was developed to project how Canada's exports to the United States may trend over </w:t>
      </w:r>
      <w:r>
        <w:rPr>
          <w:rFonts w:ascii="Times New Roman" w:hAnsi="Times New Roman" w:cs="Times New Roman"/>
          <w:sz w:val="24"/>
          <w:szCs w:val="24"/>
          <w:lang w:val="en-US"/>
        </w:rPr>
        <w:t>the 24 months</w:t>
      </w:r>
      <w:r w:rsidRPr="00475BA2">
        <w:rPr>
          <w:rFonts w:ascii="Times New Roman" w:hAnsi="Times New Roman" w:cs="Times New Roman"/>
          <w:sz w:val="24"/>
          <w:szCs w:val="24"/>
          <w:lang w:val="en-US"/>
        </w:rPr>
        <w:t xml:space="preserve"> from 2026 through 2027. The forecast is built on a linear trend fit to the pre-tariff baseline period of January 2012 through February 2018, which captures the historical trajectory of trade before either tariff episode began. Two scenarios are projected forward from January 2026. Scenario 1 assumes current tariffs remain in place and applies the OLS beta estimated in RQ3 as a downward </w:t>
      </w:r>
      <w:r w:rsidRPr="00475BA2">
        <w:rPr>
          <w:rFonts w:ascii="Times New Roman" w:hAnsi="Times New Roman" w:cs="Times New Roman"/>
          <w:sz w:val="24"/>
          <w:szCs w:val="24"/>
          <w:lang w:val="en-US"/>
        </w:rPr>
        <w:lastRenderedPageBreak/>
        <w:t>adjustment to the baseline trend. Scenario 2 assumes tariffs are removed and projects the baseline trend forward without any tariff adjustment. The gap between the two scenarios represents the estimated trade value associated with continued tariff activity in each sector.</w:t>
      </w:r>
      <w:r w:rsidR="0013550A">
        <w:rPr>
          <w:rFonts w:ascii="Times New Roman" w:hAnsi="Times New Roman" w:cs="Times New Roman"/>
          <w:sz w:val="24"/>
          <w:szCs w:val="24"/>
          <w:lang w:val="en-US"/>
        </w:rPr>
        <w:t xml:space="preserve"> </w:t>
      </w:r>
    </w:p>
    <w:p w14:paraId="2A298C72" w14:textId="2C38053B" w:rsidR="00475BA2" w:rsidRPr="00475BA2" w:rsidRDefault="00475BA2" w:rsidP="0013550A">
      <w:pPr>
        <w:spacing w:line="480" w:lineRule="auto"/>
        <w:ind w:firstLine="720"/>
        <w:rPr>
          <w:rFonts w:ascii="Times New Roman" w:hAnsi="Times New Roman" w:cs="Times New Roman"/>
          <w:sz w:val="24"/>
          <w:szCs w:val="24"/>
          <w:lang w:val="en-US"/>
        </w:rPr>
      </w:pPr>
      <w:r w:rsidRPr="00475BA2">
        <w:rPr>
          <w:rFonts w:ascii="Times New Roman" w:hAnsi="Times New Roman" w:cs="Times New Roman"/>
          <w:sz w:val="24"/>
          <w:szCs w:val="24"/>
          <w:lang w:val="en-US"/>
        </w:rPr>
        <w:t>For steel, the forecast projects that if current tariffs remain in place, monthly export values will stabilize in the range of approximately $12.47 million in early 2026 and trend gradually toward $13.02 million by early 2028. If tariffs are removed, the model projects values in the range of approximately $19.33 million rising to $19.87 million over the same period. The gap between the two scenarios of roughly $6.86 million per month reflects the OLS beta estimated for steel in RQ3 and represents the estimated cost of continued tariffs on Canadian steel exports to the United States.</w:t>
      </w:r>
    </w:p>
    <w:p w14:paraId="10527154" w14:textId="3A83D362" w:rsidR="00475BA2" w:rsidRPr="00475BA2" w:rsidRDefault="00475BA2" w:rsidP="00475BA2">
      <w:pPr>
        <w:spacing w:line="480" w:lineRule="auto"/>
        <w:rPr>
          <w:rFonts w:ascii="Times New Roman" w:hAnsi="Times New Roman" w:cs="Times New Roman"/>
          <w:b/>
          <w:bCs/>
          <w:sz w:val="24"/>
          <w:szCs w:val="24"/>
        </w:rPr>
      </w:pPr>
      <w:r w:rsidRPr="00475BA2">
        <w:rPr>
          <w:rFonts w:ascii="Times New Roman" w:hAnsi="Times New Roman" w:cs="Times New Roman"/>
          <w:b/>
          <w:bCs/>
          <w:sz w:val="24"/>
          <w:szCs w:val="24"/>
        </w:rPr>
        <w:t>Figure 1</w:t>
      </w:r>
      <w:r w:rsidR="00FC5F6D">
        <w:rPr>
          <w:rFonts w:ascii="Times New Roman" w:hAnsi="Times New Roman" w:cs="Times New Roman"/>
          <w:b/>
          <w:bCs/>
          <w:sz w:val="24"/>
          <w:szCs w:val="24"/>
        </w:rPr>
        <w:t>6</w:t>
      </w:r>
    </w:p>
    <w:p w14:paraId="45D2635B" w14:textId="6801C96B" w:rsidR="00475BA2" w:rsidRPr="002F7FB4" w:rsidRDefault="00427904" w:rsidP="00475BA2">
      <w:pPr>
        <w:spacing w:line="480" w:lineRule="auto"/>
        <w:rPr>
          <w:rFonts w:ascii="Times New Roman" w:hAnsi="Times New Roman" w:cs="Times New Roman"/>
          <w:i/>
          <w:iCs/>
          <w:sz w:val="24"/>
          <w:szCs w:val="24"/>
        </w:rPr>
      </w:pPr>
      <w:r>
        <w:rPr>
          <w:rFonts w:ascii="Times New Roman" w:hAnsi="Times New Roman" w:cs="Times New Roman"/>
          <w:i/>
          <w:iCs/>
          <w:sz w:val="24"/>
          <w:szCs w:val="24"/>
        </w:rPr>
        <w:t>Forecast Canada Exports Steel</w:t>
      </w:r>
    </w:p>
    <w:p w14:paraId="4BA456F9" w14:textId="4202D955" w:rsidR="00AD53D0" w:rsidRDefault="00F3253C" w:rsidP="00475BA2">
      <w:pPr>
        <w:spacing w:line="480" w:lineRule="auto"/>
        <w:rPr>
          <w:rFonts w:ascii="Times New Roman" w:hAnsi="Times New Roman" w:cs="Times New Roman"/>
          <w:sz w:val="24"/>
          <w:szCs w:val="24"/>
        </w:rPr>
      </w:pPr>
      <w:r w:rsidRPr="00F3253C">
        <w:rPr>
          <w:rFonts w:ascii="Times New Roman" w:hAnsi="Times New Roman" w:cs="Times New Roman"/>
          <w:noProof/>
          <w:sz w:val="24"/>
          <w:szCs w:val="24"/>
        </w:rPr>
        <w:drawing>
          <wp:inline distT="0" distB="0" distL="0" distR="0" wp14:anchorId="02587829" wp14:editId="18260D20">
            <wp:extent cx="5943600" cy="2706370"/>
            <wp:effectExtent l="0" t="0" r="0" b="0"/>
            <wp:docPr id="2699670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967022" name=""/>
                    <pic:cNvPicPr/>
                  </pic:nvPicPr>
                  <pic:blipFill>
                    <a:blip r:embed="rId22"/>
                    <a:stretch>
                      <a:fillRect/>
                    </a:stretch>
                  </pic:blipFill>
                  <pic:spPr>
                    <a:xfrm>
                      <a:off x="0" y="0"/>
                      <a:ext cx="5943600" cy="2706370"/>
                    </a:xfrm>
                    <a:prstGeom prst="rect">
                      <a:avLst/>
                    </a:prstGeom>
                  </pic:spPr>
                </pic:pic>
              </a:graphicData>
            </a:graphic>
          </wp:inline>
        </w:drawing>
      </w:r>
    </w:p>
    <w:p w14:paraId="4DE8363E" w14:textId="3C2AB670" w:rsidR="00AD53D0" w:rsidRDefault="00C3037E" w:rsidP="0013550A">
      <w:pPr>
        <w:spacing w:line="480" w:lineRule="auto"/>
        <w:ind w:firstLine="720"/>
        <w:rPr>
          <w:rFonts w:ascii="Times New Roman" w:hAnsi="Times New Roman" w:cs="Times New Roman"/>
          <w:sz w:val="24"/>
          <w:szCs w:val="24"/>
        </w:rPr>
      </w:pPr>
      <w:r w:rsidRPr="00C3037E">
        <w:rPr>
          <w:rFonts w:ascii="Times New Roman" w:hAnsi="Times New Roman" w:cs="Times New Roman"/>
          <w:sz w:val="24"/>
          <w:szCs w:val="24"/>
        </w:rPr>
        <w:t xml:space="preserve">For aluminum, the forecast projects monthly export values of approximately $510.38 million under the tariffs-remain scenario in early 2026, rising gradually to approximately $534.06 million by early 2028. Under the tariffs-removed scenario, values are projected to range </w:t>
      </w:r>
      <w:r w:rsidRPr="00C3037E">
        <w:rPr>
          <w:rFonts w:ascii="Times New Roman" w:hAnsi="Times New Roman" w:cs="Times New Roman"/>
          <w:sz w:val="24"/>
          <w:szCs w:val="24"/>
        </w:rPr>
        <w:lastRenderedPageBreak/>
        <w:t>from approximately $572.29 million to $595.97 million over the same period. The gap of approximately $61.91 million per month again reflects the RQ3 OLS beta for aluminum. It is worth noting that the OLS regression for aluminum in RQ3 did not reach statistical significance, so this forecast should be interpreted with more caution than the steel and automobile projections.</w:t>
      </w:r>
    </w:p>
    <w:p w14:paraId="59D141E0" w14:textId="38A89429" w:rsidR="00C3037E" w:rsidRPr="00475BA2" w:rsidRDefault="00C3037E" w:rsidP="00C3037E">
      <w:pPr>
        <w:spacing w:line="480" w:lineRule="auto"/>
        <w:rPr>
          <w:rFonts w:ascii="Times New Roman" w:hAnsi="Times New Roman" w:cs="Times New Roman"/>
          <w:b/>
          <w:bCs/>
          <w:sz w:val="24"/>
          <w:szCs w:val="24"/>
        </w:rPr>
      </w:pPr>
      <w:r w:rsidRPr="00475BA2">
        <w:rPr>
          <w:rFonts w:ascii="Times New Roman" w:hAnsi="Times New Roman" w:cs="Times New Roman"/>
          <w:b/>
          <w:bCs/>
          <w:sz w:val="24"/>
          <w:szCs w:val="24"/>
        </w:rPr>
        <w:t>Figure 1</w:t>
      </w:r>
      <w:r w:rsidR="00FC5F6D">
        <w:rPr>
          <w:rFonts w:ascii="Times New Roman" w:hAnsi="Times New Roman" w:cs="Times New Roman"/>
          <w:b/>
          <w:bCs/>
          <w:sz w:val="24"/>
          <w:szCs w:val="24"/>
        </w:rPr>
        <w:t>7</w:t>
      </w:r>
    </w:p>
    <w:p w14:paraId="4BD91A32" w14:textId="5FF3B6EF" w:rsidR="00C3037E" w:rsidRDefault="00C3037E" w:rsidP="00C3037E">
      <w:pPr>
        <w:spacing w:line="480" w:lineRule="auto"/>
        <w:rPr>
          <w:rFonts w:ascii="Times New Roman" w:hAnsi="Times New Roman" w:cs="Times New Roman"/>
          <w:i/>
          <w:iCs/>
          <w:sz w:val="24"/>
          <w:szCs w:val="24"/>
        </w:rPr>
      </w:pPr>
      <w:r>
        <w:rPr>
          <w:rFonts w:ascii="Times New Roman" w:hAnsi="Times New Roman" w:cs="Times New Roman"/>
          <w:i/>
          <w:iCs/>
          <w:sz w:val="24"/>
          <w:szCs w:val="24"/>
        </w:rPr>
        <w:t xml:space="preserve">Forecast Canada Exports </w:t>
      </w:r>
      <w:r w:rsidR="00B73797">
        <w:rPr>
          <w:rFonts w:ascii="Times New Roman" w:hAnsi="Times New Roman" w:cs="Times New Roman"/>
          <w:i/>
          <w:iCs/>
          <w:sz w:val="24"/>
          <w:szCs w:val="24"/>
        </w:rPr>
        <w:t>Aluminum</w:t>
      </w:r>
    </w:p>
    <w:p w14:paraId="4590D35B" w14:textId="78D792D2" w:rsidR="00B73797" w:rsidRPr="002F7FB4" w:rsidRDefault="00C166AE" w:rsidP="00C3037E">
      <w:pPr>
        <w:spacing w:line="480" w:lineRule="auto"/>
        <w:rPr>
          <w:rFonts w:ascii="Times New Roman" w:hAnsi="Times New Roman" w:cs="Times New Roman"/>
          <w:i/>
          <w:iCs/>
          <w:sz w:val="24"/>
          <w:szCs w:val="24"/>
        </w:rPr>
      </w:pPr>
      <w:r w:rsidRPr="00C166AE">
        <w:rPr>
          <w:rFonts w:ascii="Times New Roman" w:hAnsi="Times New Roman" w:cs="Times New Roman"/>
          <w:i/>
          <w:iCs/>
          <w:noProof/>
          <w:sz w:val="24"/>
          <w:szCs w:val="24"/>
        </w:rPr>
        <w:drawing>
          <wp:inline distT="0" distB="0" distL="0" distR="0" wp14:anchorId="0128833F" wp14:editId="592EAE3D">
            <wp:extent cx="5943600" cy="2704465"/>
            <wp:effectExtent l="0" t="0" r="0" b="635"/>
            <wp:docPr id="37525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25676" name=""/>
                    <pic:cNvPicPr/>
                  </pic:nvPicPr>
                  <pic:blipFill>
                    <a:blip r:embed="rId23"/>
                    <a:stretch>
                      <a:fillRect/>
                    </a:stretch>
                  </pic:blipFill>
                  <pic:spPr>
                    <a:xfrm>
                      <a:off x="0" y="0"/>
                      <a:ext cx="5943600" cy="2704465"/>
                    </a:xfrm>
                    <a:prstGeom prst="rect">
                      <a:avLst/>
                    </a:prstGeom>
                  </pic:spPr>
                </pic:pic>
              </a:graphicData>
            </a:graphic>
          </wp:inline>
        </w:drawing>
      </w:r>
    </w:p>
    <w:p w14:paraId="6ADDCB68" w14:textId="53DD9856" w:rsidR="00C3037E" w:rsidRDefault="00627A47" w:rsidP="0013550A">
      <w:pPr>
        <w:spacing w:line="480" w:lineRule="auto"/>
        <w:ind w:firstLine="720"/>
        <w:rPr>
          <w:rFonts w:ascii="Times New Roman" w:hAnsi="Times New Roman" w:cs="Times New Roman"/>
          <w:sz w:val="24"/>
          <w:szCs w:val="24"/>
        </w:rPr>
      </w:pPr>
      <w:r w:rsidRPr="00627A47">
        <w:rPr>
          <w:rFonts w:ascii="Times New Roman" w:hAnsi="Times New Roman" w:cs="Times New Roman"/>
          <w:sz w:val="24"/>
          <w:szCs w:val="24"/>
        </w:rPr>
        <w:t xml:space="preserve">For automobiles, the forecast produces the largest projected gap between the two scenarios, which is consistent with the auto sector's dominant </w:t>
      </w:r>
      <w:r w:rsidR="0019109A">
        <w:rPr>
          <w:rFonts w:ascii="Times New Roman" w:hAnsi="Times New Roman" w:cs="Times New Roman"/>
          <w:sz w:val="24"/>
          <w:szCs w:val="24"/>
        </w:rPr>
        <w:t>size</w:t>
      </w:r>
      <w:r w:rsidRPr="00627A47">
        <w:rPr>
          <w:rFonts w:ascii="Times New Roman" w:hAnsi="Times New Roman" w:cs="Times New Roman"/>
          <w:sz w:val="24"/>
          <w:szCs w:val="24"/>
        </w:rPr>
        <w:t xml:space="preserve"> throughout this study. Under the assumption that tariffs remain in place, monthly export values are projected at approximately $1.80 billion in early 2026 and decline gradually to approximately $1.59 billion by early 2028, reflecting the negative trend embedded in the historical baseline. Under the assumption that tariffs are removed, values are projected at approximately $2.54 billion in early 2026 and decline to approximately $2.34 billion by early 2028. The difference between the two scenarios of roughly $745 million per month is the largest estimated tariff impact of any sector in this study </w:t>
      </w:r>
      <w:r w:rsidRPr="00627A47">
        <w:rPr>
          <w:rFonts w:ascii="Times New Roman" w:hAnsi="Times New Roman" w:cs="Times New Roman"/>
          <w:sz w:val="24"/>
          <w:szCs w:val="24"/>
        </w:rPr>
        <w:lastRenderedPageBreak/>
        <w:t xml:space="preserve">and gives a sense of how much continued tariff activity could weigh on Canadian automotive exports to the United States over the next two years. Given how central the auto sector is to cross-border trade between the two countries, this gap is the most consequential finding of the entire </w:t>
      </w:r>
      <w:r w:rsidR="0019109A">
        <w:rPr>
          <w:rFonts w:ascii="Times New Roman" w:hAnsi="Times New Roman" w:cs="Times New Roman"/>
          <w:sz w:val="24"/>
          <w:szCs w:val="24"/>
        </w:rPr>
        <w:t>forecast section of analysis.</w:t>
      </w:r>
    </w:p>
    <w:p w14:paraId="5D1FEAFF" w14:textId="1D109E40" w:rsidR="00BD4DAB" w:rsidRPr="00475BA2" w:rsidRDefault="00BD4DAB" w:rsidP="00BD4DAB">
      <w:pPr>
        <w:spacing w:line="480" w:lineRule="auto"/>
        <w:rPr>
          <w:rFonts w:ascii="Times New Roman" w:hAnsi="Times New Roman" w:cs="Times New Roman"/>
          <w:b/>
          <w:bCs/>
          <w:sz w:val="24"/>
          <w:szCs w:val="24"/>
        </w:rPr>
      </w:pPr>
      <w:r w:rsidRPr="00475BA2">
        <w:rPr>
          <w:rFonts w:ascii="Times New Roman" w:hAnsi="Times New Roman" w:cs="Times New Roman"/>
          <w:b/>
          <w:bCs/>
          <w:sz w:val="24"/>
          <w:szCs w:val="24"/>
        </w:rPr>
        <w:t>Figure 1</w:t>
      </w:r>
      <w:r w:rsidR="00FC5F6D">
        <w:rPr>
          <w:rFonts w:ascii="Times New Roman" w:hAnsi="Times New Roman" w:cs="Times New Roman"/>
          <w:b/>
          <w:bCs/>
          <w:sz w:val="24"/>
          <w:szCs w:val="24"/>
        </w:rPr>
        <w:t>8</w:t>
      </w:r>
    </w:p>
    <w:p w14:paraId="1F160DD3" w14:textId="55573290" w:rsidR="00AD53D0" w:rsidRPr="00CA0406" w:rsidRDefault="00BD4DAB" w:rsidP="00BD4DAB">
      <w:pPr>
        <w:spacing w:line="480" w:lineRule="auto"/>
        <w:rPr>
          <w:rFonts w:ascii="Times New Roman" w:hAnsi="Times New Roman" w:cs="Times New Roman"/>
          <w:i/>
          <w:iCs/>
          <w:sz w:val="24"/>
          <w:szCs w:val="24"/>
        </w:rPr>
      </w:pPr>
      <w:r>
        <w:rPr>
          <w:rFonts w:ascii="Times New Roman" w:hAnsi="Times New Roman" w:cs="Times New Roman"/>
          <w:i/>
          <w:iCs/>
          <w:sz w:val="24"/>
          <w:szCs w:val="24"/>
        </w:rPr>
        <w:t xml:space="preserve">Forecast Canada Exports </w:t>
      </w:r>
      <w:r w:rsidR="00CA0406">
        <w:rPr>
          <w:rFonts w:ascii="Times New Roman" w:hAnsi="Times New Roman" w:cs="Times New Roman"/>
          <w:i/>
          <w:iCs/>
          <w:sz w:val="24"/>
          <w:szCs w:val="24"/>
        </w:rPr>
        <w:t>Auto</w:t>
      </w:r>
    </w:p>
    <w:p w14:paraId="4DBF50AD" w14:textId="47D3C005" w:rsidR="00BD4DAB" w:rsidRDefault="00BD4DAB" w:rsidP="00BD4DAB">
      <w:pPr>
        <w:spacing w:line="480" w:lineRule="auto"/>
        <w:rPr>
          <w:rFonts w:ascii="Times New Roman" w:hAnsi="Times New Roman" w:cs="Times New Roman"/>
          <w:sz w:val="24"/>
          <w:szCs w:val="24"/>
        </w:rPr>
      </w:pPr>
      <w:r w:rsidRPr="00BD4DAB">
        <w:rPr>
          <w:rFonts w:ascii="Times New Roman" w:hAnsi="Times New Roman" w:cs="Times New Roman"/>
          <w:noProof/>
          <w:sz w:val="24"/>
          <w:szCs w:val="24"/>
        </w:rPr>
        <w:drawing>
          <wp:inline distT="0" distB="0" distL="0" distR="0" wp14:anchorId="217A5490" wp14:editId="00C4F9CB">
            <wp:extent cx="5943600" cy="2707640"/>
            <wp:effectExtent l="0" t="0" r="0" b="0"/>
            <wp:docPr id="1042968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968049" name=""/>
                    <pic:cNvPicPr/>
                  </pic:nvPicPr>
                  <pic:blipFill>
                    <a:blip r:embed="rId24"/>
                    <a:stretch>
                      <a:fillRect/>
                    </a:stretch>
                  </pic:blipFill>
                  <pic:spPr>
                    <a:xfrm>
                      <a:off x="0" y="0"/>
                      <a:ext cx="5943600" cy="2707640"/>
                    </a:xfrm>
                    <a:prstGeom prst="rect">
                      <a:avLst/>
                    </a:prstGeom>
                  </pic:spPr>
                </pic:pic>
              </a:graphicData>
            </a:graphic>
          </wp:inline>
        </w:drawing>
      </w:r>
    </w:p>
    <w:p w14:paraId="336569EC" w14:textId="4C74EEDE" w:rsidR="00BD4DAB" w:rsidRDefault="00100245" w:rsidP="0013550A">
      <w:pPr>
        <w:spacing w:line="480" w:lineRule="auto"/>
        <w:ind w:firstLine="720"/>
        <w:rPr>
          <w:rFonts w:ascii="Times New Roman" w:hAnsi="Times New Roman" w:cs="Times New Roman"/>
          <w:sz w:val="24"/>
          <w:szCs w:val="24"/>
        </w:rPr>
      </w:pPr>
      <w:r w:rsidRPr="00100245">
        <w:rPr>
          <w:rFonts w:ascii="Times New Roman" w:hAnsi="Times New Roman" w:cs="Times New Roman"/>
          <w:sz w:val="24"/>
          <w:szCs w:val="24"/>
        </w:rPr>
        <w:t>Across all three sectors</w:t>
      </w:r>
      <w:r>
        <w:rPr>
          <w:rFonts w:ascii="Times New Roman" w:hAnsi="Times New Roman" w:cs="Times New Roman"/>
          <w:sz w:val="24"/>
          <w:szCs w:val="24"/>
        </w:rPr>
        <w:t>,</w:t>
      </w:r>
      <w:r w:rsidRPr="00100245">
        <w:rPr>
          <w:rFonts w:ascii="Times New Roman" w:hAnsi="Times New Roman" w:cs="Times New Roman"/>
          <w:sz w:val="24"/>
          <w:szCs w:val="24"/>
        </w:rPr>
        <w:t xml:space="preserve"> the forecast results reinforce the pattern observed in the hypothesis testing. Tariff removal is consistently associated with higher projected trade values, and the magnitude of the difference varies meaningfully by sector. These projections are not predictions of what will happen, but rather a structured, data-driven illustration of what the historical trend and estimated tariff effect together suggest about the two scenarios. As with all results in this study, they should be interpreted as evidence of association rather than certainty, and real-world outcomes will depend on a wide range of economic, political, and supply chain factors that this model does not capture.</w:t>
      </w:r>
      <w:r w:rsidR="00945486">
        <w:rPr>
          <w:rFonts w:ascii="Times New Roman" w:hAnsi="Times New Roman" w:cs="Times New Roman"/>
          <w:sz w:val="24"/>
          <w:szCs w:val="24"/>
        </w:rPr>
        <w:t xml:space="preserve"> The forecasts were run only on this side of the trade due to how the hypothesis testing results came back.</w:t>
      </w:r>
    </w:p>
    <w:p w14:paraId="2FB6B5F6" w14:textId="22789AF0" w:rsidR="00BD4DAB" w:rsidRDefault="00DF4727" w:rsidP="00BD4DAB">
      <w:pPr>
        <w:spacing w:line="480" w:lineRule="auto"/>
        <w:rPr>
          <w:rFonts w:ascii="Times New Roman" w:hAnsi="Times New Roman" w:cs="Times New Roman"/>
          <w:b/>
          <w:bCs/>
          <w:sz w:val="24"/>
          <w:szCs w:val="24"/>
        </w:rPr>
      </w:pPr>
      <w:r>
        <w:rPr>
          <w:rFonts w:ascii="Times New Roman" w:hAnsi="Times New Roman" w:cs="Times New Roman"/>
          <w:b/>
          <w:bCs/>
          <w:sz w:val="24"/>
          <w:szCs w:val="24"/>
        </w:rPr>
        <w:lastRenderedPageBreak/>
        <w:t>Conclusion</w:t>
      </w:r>
    </w:p>
    <w:p w14:paraId="38AED22F" w14:textId="6B3B963E" w:rsidR="00DF4727" w:rsidRPr="00F62644" w:rsidRDefault="00F62644" w:rsidP="0013550A">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This study </w:t>
      </w:r>
      <w:r w:rsidR="00133D1C">
        <w:rPr>
          <w:rFonts w:ascii="Times New Roman" w:hAnsi="Times New Roman" w:cs="Times New Roman"/>
          <w:sz w:val="24"/>
          <w:szCs w:val="24"/>
        </w:rPr>
        <w:t xml:space="preserve">reviewed whether two tariff episodes between the United States and Canada produced statistically detectable changes </w:t>
      </w:r>
      <w:r w:rsidR="008C5B66">
        <w:rPr>
          <w:rFonts w:ascii="Times New Roman" w:hAnsi="Times New Roman" w:cs="Times New Roman"/>
          <w:sz w:val="24"/>
          <w:szCs w:val="24"/>
        </w:rPr>
        <w:t xml:space="preserve">in bilateral trade flows across </w:t>
      </w:r>
      <w:r w:rsidR="00D14346">
        <w:rPr>
          <w:rFonts w:ascii="Times New Roman" w:hAnsi="Times New Roman" w:cs="Times New Roman"/>
          <w:sz w:val="24"/>
          <w:szCs w:val="24"/>
        </w:rPr>
        <w:t xml:space="preserve">the </w:t>
      </w:r>
      <w:r w:rsidR="008C5B66">
        <w:rPr>
          <w:rFonts w:ascii="Times New Roman" w:hAnsi="Times New Roman" w:cs="Times New Roman"/>
          <w:sz w:val="24"/>
          <w:szCs w:val="24"/>
        </w:rPr>
        <w:t>steel, aluminum, and automobile sectors. Using monthly and annual trade data spanning January 2012 through January 2026</w:t>
      </w:r>
      <w:r w:rsidR="00B17A5F">
        <w:rPr>
          <w:rFonts w:ascii="Times New Roman" w:hAnsi="Times New Roman" w:cs="Times New Roman"/>
          <w:sz w:val="24"/>
          <w:szCs w:val="24"/>
        </w:rPr>
        <w:t>, three research questions were tested using Mann-Whitney U tests, ordinary least squares regression, and</w:t>
      </w:r>
      <w:r w:rsidR="00BA2E2C">
        <w:rPr>
          <w:rFonts w:ascii="Times New Roman" w:hAnsi="Times New Roman" w:cs="Times New Roman"/>
          <w:sz w:val="24"/>
          <w:szCs w:val="24"/>
        </w:rPr>
        <w:t xml:space="preserve"> </w:t>
      </w:r>
      <w:r w:rsidR="00D14346">
        <w:rPr>
          <w:rFonts w:ascii="Times New Roman" w:hAnsi="Times New Roman" w:cs="Times New Roman"/>
          <w:sz w:val="24"/>
          <w:szCs w:val="24"/>
        </w:rPr>
        <w:t xml:space="preserve">a </w:t>
      </w:r>
      <w:r w:rsidR="00BA2E2C">
        <w:rPr>
          <w:rFonts w:ascii="Times New Roman" w:hAnsi="Times New Roman" w:cs="Times New Roman"/>
          <w:sz w:val="24"/>
          <w:szCs w:val="24"/>
        </w:rPr>
        <w:t xml:space="preserve">two-scenario predictive forecast for tariffs being on or off. The results were mixed across sectors and research questions, which </w:t>
      </w:r>
      <w:r w:rsidR="00D14346">
        <w:rPr>
          <w:rFonts w:ascii="Times New Roman" w:hAnsi="Times New Roman" w:cs="Times New Roman"/>
          <w:sz w:val="24"/>
          <w:szCs w:val="24"/>
        </w:rPr>
        <w:t>is</w:t>
      </w:r>
      <w:r w:rsidR="00BA2E2C">
        <w:rPr>
          <w:rFonts w:ascii="Times New Roman" w:hAnsi="Times New Roman" w:cs="Times New Roman"/>
          <w:sz w:val="24"/>
          <w:szCs w:val="24"/>
        </w:rPr>
        <w:t xml:space="preserve"> </w:t>
      </w:r>
      <w:r w:rsidR="00D14346">
        <w:rPr>
          <w:rFonts w:ascii="Times New Roman" w:hAnsi="Times New Roman" w:cs="Times New Roman"/>
          <w:sz w:val="24"/>
          <w:szCs w:val="24"/>
        </w:rPr>
        <w:t xml:space="preserve">an important finding in itself. </w:t>
      </w:r>
    </w:p>
    <w:p w14:paraId="400D75D3" w14:textId="3621E13B" w:rsidR="00BD4DAB" w:rsidRDefault="00384765" w:rsidP="00384765">
      <w:pPr>
        <w:spacing w:line="480" w:lineRule="auto"/>
        <w:rPr>
          <w:rFonts w:ascii="Times New Roman" w:hAnsi="Times New Roman" w:cs="Times New Roman"/>
          <w:sz w:val="24"/>
          <w:szCs w:val="24"/>
        </w:rPr>
      </w:pPr>
      <w:r w:rsidRPr="00384765">
        <w:rPr>
          <w:rFonts w:ascii="Times New Roman" w:hAnsi="Times New Roman" w:cs="Times New Roman"/>
          <w:sz w:val="24"/>
          <w:szCs w:val="24"/>
        </w:rPr>
        <w:t xml:space="preserve">For RQ1, the null hypothesis was rejected for steel only, indicating that Canada's counter-tariff actions were associated with a statistically </w:t>
      </w:r>
      <w:r w:rsidR="009F377E">
        <w:rPr>
          <w:rFonts w:ascii="Times New Roman" w:hAnsi="Times New Roman" w:cs="Times New Roman"/>
          <w:sz w:val="24"/>
          <w:szCs w:val="24"/>
        </w:rPr>
        <w:t xml:space="preserve">significant </w:t>
      </w:r>
      <w:r w:rsidRPr="00384765">
        <w:rPr>
          <w:rFonts w:ascii="Times New Roman" w:hAnsi="Times New Roman" w:cs="Times New Roman"/>
          <w:sz w:val="24"/>
          <w:szCs w:val="24"/>
        </w:rPr>
        <w:t xml:space="preserve">decline in U.S. steel exports to Canada during tariff-active periods. Aluminum and automobile exports from the United States to Canada did not show a </w:t>
      </w:r>
      <w:r w:rsidR="009F377E">
        <w:rPr>
          <w:rFonts w:ascii="Times New Roman" w:hAnsi="Times New Roman" w:cs="Times New Roman"/>
          <w:sz w:val="24"/>
          <w:szCs w:val="24"/>
        </w:rPr>
        <w:t xml:space="preserve">statistically </w:t>
      </w:r>
      <w:r w:rsidRPr="00384765">
        <w:rPr>
          <w:rFonts w:ascii="Times New Roman" w:hAnsi="Times New Roman" w:cs="Times New Roman"/>
          <w:sz w:val="24"/>
          <w:szCs w:val="24"/>
        </w:rPr>
        <w:t>meaningful decline during those same periods, suggesting that counter-tariff actions did not uniformly reduce demand for U.S. goods across all tariff-exposed product categories.</w:t>
      </w:r>
    </w:p>
    <w:p w14:paraId="1AF1D276" w14:textId="64F93B24" w:rsidR="00BD4DAB" w:rsidRDefault="00CF706F" w:rsidP="0013550A">
      <w:pPr>
        <w:spacing w:line="480" w:lineRule="auto"/>
        <w:ind w:firstLine="720"/>
        <w:rPr>
          <w:rFonts w:ascii="Times New Roman" w:hAnsi="Times New Roman" w:cs="Times New Roman"/>
          <w:sz w:val="24"/>
          <w:szCs w:val="24"/>
        </w:rPr>
      </w:pPr>
      <w:r w:rsidRPr="00CF706F">
        <w:rPr>
          <w:rFonts w:ascii="Times New Roman" w:hAnsi="Times New Roman" w:cs="Times New Roman"/>
          <w:sz w:val="24"/>
          <w:szCs w:val="24"/>
        </w:rPr>
        <w:t>For RQ2, the null hypothesis was rejected for automobiles only, providing some evidence that Canada increased non-U.S. sourcing for automotive products during tariff periods, which is consistent with trade diversion behavior. Steel and aluminum did not show statistically significant evidence of diversion, though the limited number of annual data points and low R² values across all three sectors mean these findings should be treated as suggestive rather than conclusive. The data constraints in RQ2 remain the most important caveat of the entire study.</w:t>
      </w:r>
      <w:r>
        <w:rPr>
          <w:rFonts w:ascii="Times New Roman" w:hAnsi="Times New Roman" w:cs="Times New Roman"/>
          <w:sz w:val="24"/>
          <w:szCs w:val="24"/>
        </w:rPr>
        <w:t xml:space="preserve"> It does help </w:t>
      </w:r>
      <w:r w:rsidR="006717E9">
        <w:rPr>
          <w:rFonts w:ascii="Times New Roman" w:hAnsi="Times New Roman" w:cs="Times New Roman"/>
          <w:sz w:val="24"/>
          <w:szCs w:val="24"/>
        </w:rPr>
        <w:t>confirm findings in RQ3.</w:t>
      </w:r>
    </w:p>
    <w:p w14:paraId="75DDC409" w14:textId="4C3E649F" w:rsidR="006717E9" w:rsidRDefault="00890F26" w:rsidP="0013550A">
      <w:pPr>
        <w:spacing w:line="480" w:lineRule="auto"/>
        <w:ind w:firstLine="720"/>
        <w:rPr>
          <w:rFonts w:ascii="Times New Roman" w:hAnsi="Times New Roman" w:cs="Times New Roman"/>
          <w:sz w:val="24"/>
          <w:szCs w:val="24"/>
        </w:rPr>
      </w:pPr>
      <w:r w:rsidRPr="00890F26">
        <w:rPr>
          <w:rFonts w:ascii="Times New Roman" w:hAnsi="Times New Roman" w:cs="Times New Roman"/>
          <w:sz w:val="24"/>
          <w:szCs w:val="24"/>
        </w:rPr>
        <w:t xml:space="preserve">For RQ3, the null hypothesis was rejected across all three sectors, making it the most consistent finding of the study. Canadian exports of steel, aluminum, and automobiles to the United States </w:t>
      </w:r>
      <w:r w:rsidR="006C0349">
        <w:rPr>
          <w:rFonts w:ascii="Times New Roman" w:hAnsi="Times New Roman" w:cs="Times New Roman"/>
          <w:sz w:val="24"/>
          <w:szCs w:val="24"/>
        </w:rPr>
        <w:t>tended to be lower</w:t>
      </w:r>
      <w:r w:rsidRPr="00890F26">
        <w:rPr>
          <w:rFonts w:ascii="Times New Roman" w:hAnsi="Times New Roman" w:cs="Times New Roman"/>
          <w:sz w:val="24"/>
          <w:szCs w:val="24"/>
        </w:rPr>
        <w:t xml:space="preserve"> during tariff-active periods compared with non-tariff periods. </w:t>
      </w:r>
      <w:r w:rsidRPr="00890F26">
        <w:rPr>
          <w:rFonts w:ascii="Times New Roman" w:hAnsi="Times New Roman" w:cs="Times New Roman"/>
          <w:sz w:val="24"/>
          <w:szCs w:val="24"/>
        </w:rPr>
        <w:lastRenderedPageBreak/>
        <w:t xml:space="preserve">The automobile sector showed the largest absolute difference, with monthly export values </w:t>
      </w:r>
      <w:r w:rsidR="0031343B">
        <w:rPr>
          <w:rFonts w:ascii="Times New Roman" w:hAnsi="Times New Roman" w:cs="Times New Roman"/>
          <w:sz w:val="24"/>
          <w:szCs w:val="24"/>
        </w:rPr>
        <w:t>tending to be</w:t>
      </w:r>
      <w:r w:rsidRPr="00890F26">
        <w:rPr>
          <w:rFonts w:ascii="Times New Roman" w:hAnsi="Times New Roman" w:cs="Times New Roman"/>
          <w:sz w:val="24"/>
          <w:szCs w:val="24"/>
        </w:rPr>
        <w:t xml:space="preserve"> roughly $745 million lower during tariff periods, reinforcing how deeply tariff escalation can affect a sector as integrated and large as </w:t>
      </w:r>
      <w:r>
        <w:rPr>
          <w:rFonts w:ascii="Times New Roman" w:hAnsi="Times New Roman" w:cs="Times New Roman"/>
          <w:sz w:val="24"/>
          <w:szCs w:val="24"/>
        </w:rPr>
        <w:t xml:space="preserve">the </w:t>
      </w:r>
      <w:r w:rsidRPr="00890F26">
        <w:rPr>
          <w:rFonts w:ascii="Times New Roman" w:hAnsi="Times New Roman" w:cs="Times New Roman"/>
          <w:sz w:val="24"/>
          <w:szCs w:val="24"/>
        </w:rPr>
        <w:t>North American automotive trade.</w:t>
      </w:r>
    </w:p>
    <w:p w14:paraId="648F8557" w14:textId="0B4047A7" w:rsidR="008E2060" w:rsidRDefault="008E2060" w:rsidP="008C0AF2">
      <w:pPr>
        <w:spacing w:line="480" w:lineRule="auto"/>
        <w:ind w:firstLine="720"/>
        <w:rPr>
          <w:rFonts w:ascii="Times New Roman" w:hAnsi="Times New Roman" w:cs="Times New Roman"/>
          <w:sz w:val="24"/>
          <w:szCs w:val="24"/>
        </w:rPr>
      </w:pPr>
      <w:r w:rsidRPr="008E2060">
        <w:rPr>
          <w:rFonts w:ascii="Times New Roman" w:hAnsi="Times New Roman" w:cs="Times New Roman"/>
          <w:sz w:val="24"/>
          <w:szCs w:val="24"/>
        </w:rPr>
        <w:t>Taken together, the findings suggest that tariff escalation between the United States and Canada has been associated with measurable changes in trade flows, particularly in Canada's exports to the United States. However, the modest R² values observed throughout the regression analysis are a consistent reminder that tariff periods alone do not explain the full picture. Exchange rates, inflation, supply chain disruptions, the COVID-19 pandemic, and broader macroeconomic conditions all contributed to the variation observed in the data. The results of this study are therefore best understood as evidence of association between tariff periods and trade outcomes rather than proof that tariffs were the sole or primary driver of any observed change.</w:t>
      </w:r>
    </w:p>
    <w:p w14:paraId="097D91D1" w14:textId="3F763D84" w:rsidR="008E2060" w:rsidRPr="00325C29" w:rsidRDefault="00325C29" w:rsidP="00BD4DAB">
      <w:pPr>
        <w:spacing w:line="480" w:lineRule="auto"/>
        <w:rPr>
          <w:rFonts w:ascii="Times New Roman" w:hAnsi="Times New Roman" w:cs="Times New Roman"/>
          <w:b/>
          <w:bCs/>
          <w:sz w:val="24"/>
          <w:szCs w:val="24"/>
        </w:rPr>
      </w:pPr>
      <w:r w:rsidRPr="00325C29">
        <w:rPr>
          <w:rFonts w:ascii="Times New Roman" w:hAnsi="Times New Roman" w:cs="Times New Roman"/>
          <w:b/>
          <w:bCs/>
          <w:sz w:val="24"/>
          <w:szCs w:val="24"/>
        </w:rPr>
        <w:t>Recommendations</w:t>
      </w:r>
    </w:p>
    <w:p w14:paraId="5922CF19" w14:textId="7CAEF6E5" w:rsidR="008E2060" w:rsidRDefault="00325C29" w:rsidP="00BD4DAB">
      <w:pPr>
        <w:spacing w:line="480" w:lineRule="auto"/>
        <w:rPr>
          <w:rFonts w:ascii="Times New Roman" w:hAnsi="Times New Roman" w:cs="Times New Roman"/>
          <w:sz w:val="24"/>
          <w:szCs w:val="24"/>
        </w:rPr>
      </w:pPr>
      <w:r w:rsidRPr="00325C29">
        <w:rPr>
          <w:rFonts w:ascii="Times New Roman" w:hAnsi="Times New Roman" w:cs="Times New Roman"/>
          <w:sz w:val="24"/>
          <w:szCs w:val="24"/>
        </w:rPr>
        <w:t>Based on the findings of this study, several recommendations are offered for organizations, analysts, and policymakers operating within the U.S.-Canada trade relationship across the steel, aluminum, and automobile sectors.</w:t>
      </w:r>
    </w:p>
    <w:p w14:paraId="07D69C8E" w14:textId="0828FFBC" w:rsidR="007C55F9" w:rsidRPr="007C55F9" w:rsidRDefault="007C55F9" w:rsidP="0013550A">
      <w:pPr>
        <w:spacing w:line="480" w:lineRule="auto"/>
        <w:ind w:firstLine="720"/>
        <w:rPr>
          <w:rFonts w:ascii="Times New Roman" w:hAnsi="Times New Roman" w:cs="Times New Roman"/>
          <w:sz w:val="24"/>
          <w:szCs w:val="24"/>
          <w:lang w:val="en-US"/>
        </w:rPr>
      </w:pPr>
      <w:r w:rsidRPr="007C55F9">
        <w:rPr>
          <w:rFonts w:ascii="Times New Roman" w:hAnsi="Times New Roman" w:cs="Times New Roman"/>
          <w:sz w:val="24"/>
          <w:szCs w:val="24"/>
          <w:lang w:val="en-US"/>
        </w:rPr>
        <w:t xml:space="preserve">The </w:t>
      </w:r>
      <w:r>
        <w:rPr>
          <w:rFonts w:ascii="Times New Roman" w:hAnsi="Times New Roman" w:cs="Times New Roman"/>
          <w:sz w:val="24"/>
          <w:szCs w:val="24"/>
          <w:lang w:val="en-US"/>
        </w:rPr>
        <w:t>first</w:t>
      </w:r>
      <w:r w:rsidRPr="007C55F9">
        <w:rPr>
          <w:rFonts w:ascii="Times New Roman" w:hAnsi="Times New Roman" w:cs="Times New Roman"/>
          <w:sz w:val="24"/>
          <w:szCs w:val="24"/>
          <w:lang w:val="en-US"/>
        </w:rPr>
        <w:t xml:space="preserve"> recommendation is for automotive sector stakeholders to closely monitor the trajectory of Canada's exports to the United States. Of all three sectors studied, automobiles showed the most consistent and economically significant evidence of tariff impact. The RQ3 findings indicated that Canadian automotive exports to the United States </w:t>
      </w:r>
      <w:r w:rsidR="00C24950">
        <w:rPr>
          <w:rFonts w:ascii="Times New Roman" w:hAnsi="Times New Roman" w:cs="Times New Roman"/>
          <w:sz w:val="24"/>
          <w:szCs w:val="24"/>
          <w:lang w:val="en-US"/>
        </w:rPr>
        <w:t>tended to be</w:t>
      </w:r>
      <w:r w:rsidRPr="007C55F9">
        <w:rPr>
          <w:rFonts w:ascii="Times New Roman" w:hAnsi="Times New Roman" w:cs="Times New Roman"/>
          <w:sz w:val="24"/>
          <w:szCs w:val="24"/>
          <w:lang w:val="en-US"/>
        </w:rPr>
        <w:t xml:space="preserve"> roughly $745 million lower per month during tariff-active periods compared with non-tariff periods, a difference that was statistically significant under both the Mann-Whitney U test and OLS </w:t>
      </w:r>
      <w:r w:rsidRPr="007C55F9">
        <w:rPr>
          <w:rFonts w:ascii="Times New Roman" w:hAnsi="Times New Roman" w:cs="Times New Roman"/>
          <w:sz w:val="24"/>
          <w:szCs w:val="24"/>
          <w:lang w:val="en-US"/>
        </w:rPr>
        <w:lastRenderedPageBreak/>
        <w:t>regression. This alone makes the automotive sector the most consequential finding of the study in absolute dollar terms.</w:t>
      </w:r>
    </w:p>
    <w:p w14:paraId="4F40A03E" w14:textId="1A4C06FD" w:rsidR="007C55F9" w:rsidRDefault="007C55F9" w:rsidP="0013550A">
      <w:pPr>
        <w:spacing w:line="480" w:lineRule="auto"/>
        <w:ind w:firstLine="720"/>
        <w:rPr>
          <w:rFonts w:ascii="Times New Roman" w:hAnsi="Times New Roman" w:cs="Times New Roman"/>
          <w:sz w:val="24"/>
          <w:szCs w:val="24"/>
          <w:lang w:val="en-US"/>
        </w:rPr>
      </w:pPr>
      <w:r w:rsidRPr="007C55F9">
        <w:rPr>
          <w:rFonts w:ascii="Times New Roman" w:hAnsi="Times New Roman" w:cs="Times New Roman"/>
          <w:sz w:val="24"/>
          <w:szCs w:val="24"/>
          <w:lang w:val="en-US"/>
        </w:rPr>
        <w:t xml:space="preserve">Supporting this concern, the RQ2 results suggest that Canada's automotive supply chain may already be responding to tariff pressure by shifting sourcing away from U.S. suppliers toward non-U.S. alternatives. While that finding came with data limitations, it points in a direction that is consistent with </w:t>
      </w:r>
      <w:r>
        <w:rPr>
          <w:rFonts w:ascii="Times New Roman" w:hAnsi="Times New Roman" w:cs="Times New Roman"/>
          <w:sz w:val="24"/>
          <w:szCs w:val="24"/>
          <w:lang w:val="en-US"/>
        </w:rPr>
        <w:t>longer-term</w:t>
      </w:r>
      <w:r w:rsidRPr="007C55F9">
        <w:rPr>
          <w:rFonts w:ascii="Times New Roman" w:hAnsi="Times New Roman" w:cs="Times New Roman"/>
          <w:sz w:val="24"/>
          <w:szCs w:val="24"/>
          <w:lang w:val="en-US"/>
        </w:rPr>
        <w:t xml:space="preserve"> structural change in how automotive goods move across the border. Looking forward, the predictive forecast reinforces this picture. The projected gap between the tariffs-remain and tariffs-removed scenarios in the automotive sector is approximately $745 million per month, the largest of any sector in this study, and that gap persists across the entire </w:t>
      </w:r>
      <w:r>
        <w:rPr>
          <w:rFonts w:ascii="Times New Roman" w:hAnsi="Times New Roman" w:cs="Times New Roman"/>
          <w:sz w:val="24"/>
          <w:szCs w:val="24"/>
          <w:lang w:val="en-US"/>
        </w:rPr>
        <w:t>two-year</w:t>
      </w:r>
      <w:r w:rsidRPr="007C55F9">
        <w:rPr>
          <w:rFonts w:ascii="Times New Roman" w:hAnsi="Times New Roman" w:cs="Times New Roman"/>
          <w:sz w:val="24"/>
          <w:szCs w:val="24"/>
          <w:lang w:val="en-US"/>
        </w:rPr>
        <w:t xml:space="preserve"> forecast horizon. Organizations operating in the automotive supply chain should consider whether their current sourcing and distribution strategies adequately account for the possibility that tariff conditions could persist or escalate further, and should treat the combination of these three findings as a signal worth taking seriously.</w:t>
      </w:r>
    </w:p>
    <w:p w14:paraId="473DA317" w14:textId="29893129" w:rsidR="007D761E" w:rsidRDefault="007D761E" w:rsidP="0013550A">
      <w:pPr>
        <w:spacing w:line="480" w:lineRule="auto"/>
        <w:ind w:firstLine="720"/>
        <w:rPr>
          <w:rFonts w:ascii="Times New Roman" w:hAnsi="Times New Roman" w:cs="Times New Roman"/>
          <w:sz w:val="24"/>
          <w:szCs w:val="24"/>
        </w:rPr>
      </w:pPr>
      <w:r w:rsidRPr="007D761E">
        <w:rPr>
          <w:rFonts w:ascii="Times New Roman" w:hAnsi="Times New Roman" w:cs="Times New Roman"/>
          <w:sz w:val="24"/>
          <w:szCs w:val="24"/>
        </w:rPr>
        <w:t xml:space="preserve">The </w:t>
      </w:r>
      <w:r>
        <w:rPr>
          <w:rFonts w:ascii="Times New Roman" w:hAnsi="Times New Roman" w:cs="Times New Roman"/>
          <w:sz w:val="24"/>
          <w:szCs w:val="24"/>
        </w:rPr>
        <w:t>second</w:t>
      </w:r>
      <w:r w:rsidRPr="007D761E">
        <w:rPr>
          <w:rFonts w:ascii="Times New Roman" w:hAnsi="Times New Roman" w:cs="Times New Roman"/>
          <w:sz w:val="24"/>
          <w:szCs w:val="24"/>
        </w:rPr>
        <w:t xml:space="preserve"> recommendation is for organizations in the steel sector to treat tariff risk as a recurring operational consideration rather than an isolated event. The findings for RQ1 and RQ3 both showed statistically significant associations between tariff periods and reduced steel trade in both directions, making steel the sector most consistently affected across the study. Companies that source or sell steel across the U.S.-Canada border would benefit from maintaining flexible supplier relationships and monitoring tariff policy developments closely, as the two episodes studied here suggest that disruptions can emerge with relatively little warning and produce measurable impacts on trade volumes.</w:t>
      </w:r>
    </w:p>
    <w:p w14:paraId="263C7BB6" w14:textId="3BD1830D" w:rsidR="002E2797" w:rsidRDefault="002E2797" w:rsidP="0013550A">
      <w:pPr>
        <w:spacing w:line="480" w:lineRule="auto"/>
        <w:ind w:firstLine="720"/>
        <w:rPr>
          <w:rFonts w:ascii="Times New Roman" w:hAnsi="Times New Roman" w:cs="Times New Roman"/>
          <w:sz w:val="24"/>
          <w:szCs w:val="24"/>
          <w:lang w:val="en-US"/>
        </w:rPr>
      </w:pPr>
      <w:r w:rsidRPr="002E2797">
        <w:rPr>
          <w:rFonts w:ascii="Times New Roman" w:hAnsi="Times New Roman" w:cs="Times New Roman"/>
          <w:sz w:val="24"/>
          <w:szCs w:val="24"/>
        </w:rPr>
        <w:t xml:space="preserve">The third recommendation is directed at analysts and researchers building on this work. The data constraints in RQ2 were the most significant limitation of this study, and future </w:t>
      </w:r>
      <w:r w:rsidRPr="002E2797">
        <w:rPr>
          <w:rFonts w:ascii="Times New Roman" w:hAnsi="Times New Roman" w:cs="Times New Roman"/>
          <w:sz w:val="24"/>
          <w:szCs w:val="24"/>
        </w:rPr>
        <w:lastRenderedPageBreak/>
        <w:t xml:space="preserve">research would benefit from access to more granular monthly data on Canadian imports by source country across a longer historical period. A larger dataset would increase statistical power considerably and allow for more definitive conclusions about trade diversion behavior. Additionally, incorporating inflation adjustments and broader </w:t>
      </w:r>
      <w:r>
        <w:rPr>
          <w:rFonts w:ascii="Times New Roman" w:hAnsi="Times New Roman" w:cs="Times New Roman"/>
          <w:sz w:val="24"/>
          <w:szCs w:val="24"/>
        </w:rPr>
        <w:t>economic</w:t>
      </w:r>
      <w:r w:rsidRPr="002E2797">
        <w:rPr>
          <w:rFonts w:ascii="Times New Roman" w:hAnsi="Times New Roman" w:cs="Times New Roman"/>
          <w:sz w:val="24"/>
          <w:szCs w:val="24"/>
        </w:rPr>
        <w:t xml:space="preserve"> controls into the regression framework would help isolate the tariff effect more cleanly from the many other forces that influence trade volumes simultaneously.</w:t>
      </w:r>
    </w:p>
    <w:p w14:paraId="4F3FF5F1" w14:textId="439767AE" w:rsidR="007C55F9" w:rsidRPr="007C55F9" w:rsidRDefault="00015747" w:rsidP="0013550A">
      <w:pPr>
        <w:spacing w:line="480" w:lineRule="auto"/>
        <w:ind w:firstLine="720"/>
        <w:rPr>
          <w:rFonts w:ascii="Times New Roman" w:hAnsi="Times New Roman" w:cs="Times New Roman"/>
          <w:sz w:val="24"/>
          <w:szCs w:val="24"/>
          <w:lang w:val="en-US"/>
        </w:rPr>
      </w:pPr>
      <w:r w:rsidRPr="00015747">
        <w:rPr>
          <w:rFonts w:ascii="Times New Roman" w:hAnsi="Times New Roman" w:cs="Times New Roman"/>
          <w:sz w:val="24"/>
          <w:szCs w:val="24"/>
        </w:rPr>
        <w:t>The fourth recommendation is for policymakers on both sides of the border to consider the compounding nature of tariff escalation when evaluating trade policy decisions. The forecast results across all three sectors consistently show a meaningful gap between the tariffs-remain and tariffs-removed scenarios, and while these projections carry uncertainty, they illustrate in concrete dollar terms how sustained tariff activity may continue to weigh on bilateral trade. Given how deeply integrated the two economies are, particularly in the automotive sector, policy decisions that reduce trade uncertainty are likely to produce benefits that extend well beyond the directly affected product categories.</w:t>
      </w:r>
    </w:p>
    <w:p w14:paraId="08C37954" w14:textId="77777777" w:rsidR="008E2060" w:rsidRDefault="008E2060" w:rsidP="00BD4DAB">
      <w:pPr>
        <w:spacing w:line="480" w:lineRule="auto"/>
        <w:rPr>
          <w:rFonts w:ascii="Times New Roman" w:hAnsi="Times New Roman" w:cs="Times New Roman"/>
          <w:sz w:val="24"/>
          <w:szCs w:val="24"/>
        </w:rPr>
      </w:pPr>
    </w:p>
    <w:p w14:paraId="2FC7A843" w14:textId="77777777" w:rsidR="008E2060" w:rsidRDefault="008E2060" w:rsidP="00BD4DAB">
      <w:pPr>
        <w:spacing w:line="480" w:lineRule="auto"/>
        <w:rPr>
          <w:rFonts w:ascii="Times New Roman" w:hAnsi="Times New Roman" w:cs="Times New Roman"/>
          <w:sz w:val="24"/>
          <w:szCs w:val="24"/>
        </w:rPr>
      </w:pPr>
    </w:p>
    <w:p w14:paraId="1921A83E" w14:textId="77777777" w:rsidR="008E2060" w:rsidRDefault="008E2060" w:rsidP="00BD4DAB">
      <w:pPr>
        <w:spacing w:line="480" w:lineRule="auto"/>
        <w:rPr>
          <w:rFonts w:ascii="Times New Roman" w:hAnsi="Times New Roman" w:cs="Times New Roman"/>
          <w:sz w:val="24"/>
          <w:szCs w:val="24"/>
        </w:rPr>
      </w:pPr>
    </w:p>
    <w:p w14:paraId="2304D63C" w14:textId="77777777" w:rsidR="008E2060" w:rsidRDefault="008E2060" w:rsidP="00BD4DAB">
      <w:pPr>
        <w:spacing w:line="480" w:lineRule="auto"/>
        <w:rPr>
          <w:rFonts w:ascii="Times New Roman" w:hAnsi="Times New Roman" w:cs="Times New Roman"/>
          <w:sz w:val="24"/>
          <w:szCs w:val="24"/>
        </w:rPr>
      </w:pPr>
    </w:p>
    <w:p w14:paraId="65E03866" w14:textId="77777777" w:rsidR="008E2060" w:rsidRDefault="008E2060" w:rsidP="00BD4DAB">
      <w:pPr>
        <w:spacing w:line="480" w:lineRule="auto"/>
        <w:rPr>
          <w:rFonts w:ascii="Times New Roman" w:hAnsi="Times New Roman" w:cs="Times New Roman"/>
          <w:sz w:val="24"/>
          <w:szCs w:val="24"/>
        </w:rPr>
      </w:pPr>
    </w:p>
    <w:p w14:paraId="7532972C" w14:textId="77777777" w:rsidR="008E2060" w:rsidRDefault="008E2060" w:rsidP="00BD4DAB">
      <w:pPr>
        <w:spacing w:line="480" w:lineRule="auto"/>
        <w:rPr>
          <w:rFonts w:ascii="Times New Roman" w:hAnsi="Times New Roman" w:cs="Times New Roman"/>
          <w:sz w:val="24"/>
          <w:szCs w:val="24"/>
        </w:rPr>
      </w:pPr>
    </w:p>
    <w:p w14:paraId="5F82FAF1" w14:textId="77777777" w:rsidR="008E2060" w:rsidRDefault="008E2060" w:rsidP="00BD4DAB">
      <w:pPr>
        <w:spacing w:line="480" w:lineRule="auto"/>
        <w:rPr>
          <w:rFonts w:ascii="Times New Roman" w:hAnsi="Times New Roman" w:cs="Times New Roman"/>
          <w:sz w:val="24"/>
          <w:szCs w:val="24"/>
        </w:rPr>
      </w:pPr>
    </w:p>
    <w:p w14:paraId="782B6529" w14:textId="77777777" w:rsidR="008E2060" w:rsidRDefault="008E2060" w:rsidP="00BD4DAB">
      <w:pPr>
        <w:spacing w:line="480" w:lineRule="auto"/>
        <w:rPr>
          <w:rFonts w:ascii="Times New Roman" w:hAnsi="Times New Roman" w:cs="Times New Roman"/>
          <w:sz w:val="24"/>
          <w:szCs w:val="24"/>
        </w:rPr>
      </w:pPr>
    </w:p>
    <w:p w14:paraId="043DD041" w14:textId="77777777" w:rsidR="008E2060" w:rsidRDefault="008E2060" w:rsidP="00BD4DAB">
      <w:pPr>
        <w:spacing w:line="480" w:lineRule="auto"/>
        <w:rPr>
          <w:rFonts w:ascii="Times New Roman" w:hAnsi="Times New Roman" w:cs="Times New Roman"/>
          <w:sz w:val="24"/>
          <w:szCs w:val="24"/>
        </w:rPr>
      </w:pPr>
    </w:p>
    <w:p w14:paraId="651B815F" w14:textId="77777777" w:rsidR="008E2060" w:rsidRDefault="008E2060" w:rsidP="00BD4DAB">
      <w:pPr>
        <w:spacing w:line="480" w:lineRule="auto"/>
        <w:rPr>
          <w:rFonts w:ascii="Times New Roman" w:hAnsi="Times New Roman" w:cs="Times New Roman"/>
          <w:sz w:val="24"/>
          <w:szCs w:val="24"/>
        </w:rPr>
      </w:pPr>
    </w:p>
    <w:p w14:paraId="3080735B" w14:textId="77777777" w:rsidR="00015747" w:rsidRDefault="00015747" w:rsidP="00015747">
      <w:pPr>
        <w:spacing w:line="480" w:lineRule="auto"/>
        <w:rPr>
          <w:rFonts w:ascii="Times New Roman" w:hAnsi="Times New Roman" w:cs="Times New Roman"/>
          <w:sz w:val="24"/>
          <w:szCs w:val="24"/>
        </w:rPr>
      </w:pPr>
    </w:p>
    <w:p w14:paraId="583863C3" w14:textId="488EFCAE" w:rsidR="00F336D3" w:rsidRDefault="00275356" w:rsidP="00015747">
      <w:pPr>
        <w:spacing w:line="480" w:lineRule="auto"/>
        <w:jc w:val="center"/>
        <w:rPr>
          <w:rFonts w:ascii="Times New Roman" w:hAnsi="Times New Roman" w:cs="Times New Roman"/>
          <w:b/>
          <w:bCs/>
          <w:sz w:val="24"/>
          <w:szCs w:val="24"/>
          <w:lang w:val="en-US"/>
        </w:rPr>
      </w:pPr>
      <w:r w:rsidRPr="00275356">
        <w:rPr>
          <w:rFonts w:ascii="Times New Roman" w:hAnsi="Times New Roman" w:cs="Times New Roman"/>
          <w:b/>
          <w:bCs/>
          <w:sz w:val="24"/>
          <w:szCs w:val="24"/>
          <w:lang w:val="en-US"/>
        </w:rPr>
        <w:t>References</w:t>
      </w:r>
    </w:p>
    <w:p w14:paraId="6160EC13" w14:textId="6DB1C751" w:rsidR="00F336D3" w:rsidRDefault="00F336D3" w:rsidP="00D17245">
      <w:pPr>
        <w:spacing w:line="480" w:lineRule="auto"/>
      </w:pPr>
      <w:r w:rsidRPr="00F336D3">
        <w:t xml:space="preserve">May, B. (2025). The global implications of more extreme US tariffs. </w:t>
      </w:r>
      <w:r w:rsidRPr="00F336D3">
        <w:rPr>
          <w:i/>
          <w:iCs/>
        </w:rPr>
        <w:t>Economic Outlook</w:t>
      </w:r>
      <w:r w:rsidRPr="00F336D3">
        <w:t>.</w:t>
      </w:r>
    </w:p>
    <w:p w14:paraId="4B7FE9A9" w14:textId="17771003" w:rsidR="005E24C1" w:rsidRDefault="005E24C1" w:rsidP="005E24C1">
      <w:pPr>
        <w:spacing w:line="480" w:lineRule="auto"/>
      </w:pPr>
      <w:r w:rsidRPr="005E24C1">
        <w:t xml:space="preserve">Liu, Y. (2026). A literature review of the U.S.-Canadian trade relations and scenarios on impacts of tariff changes proposed. </w:t>
      </w:r>
      <w:r w:rsidRPr="005E24C1">
        <w:rPr>
          <w:i/>
          <w:iCs/>
        </w:rPr>
        <w:t>Academic Journal of Management and Social Sciences, 14</w:t>
      </w:r>
      <w:r w:rsidRPr="005E24C1">
        <w:t>(2).</w:t>
      </w:r>
    </w:p>
    <w:p w14:paraId="721970EB" w14:textId="4DADF55E" w:rsidR="00C07203" w:rsidRDefault="00C07203" w:rsidP="005E24C1">
      <w:pPr>
        <w:spacing w:line="480" w:lineRule="auto"/>
      </w:pPr>
      <w:r w:rsidRPr="00C07203">
        <w:t xml:space="preserve">Ruiz Estrada, M. A., </w:t>
      </w:r>
      <w:proofErr w:type="spellStart"/>
      <w:r w:rsidRPr="00C07203">
        <w:t>Koutronas</w:t>
      </w:r>
      <w:proofErr w:type="spellEnd"/>
      <w:r w:rsidRPr="00C07203">
        <w:t xml:space="preserve">, E., &amp; Quali, H. (2025, March). </w:t>
      </w:r>
      <w:r w:rsidRPr="00C07203">
        <w:rPr>
          <w:i/>
          <w:iCs/>
        </w:rPr>
        <w:t>The tariffs war between U.S. vs. Canada: Winners and losers</w:t>
      </w:r>
      <w:r w:rsidRPr="00C07203">
        <w:t xml:space="preserve"> [Preprint]. SSRN.</w:t>
      </w:r>
    </w:p>
    <w:p w14:paraId="681213E1" w14:textId="25AAEC6B" w:rsidR="00BF6592" w:rsidRDefault="00BF6592" w:rsidP="005E24C1">
      <w:pPr>
        <w:spacing w:line="480" w:lineRule="auto"/>
      </w:pPr>
      <w:proofErr w:type="spellStart"/>
      <w:r w:rsidRPr="00BF6592">
        <w:t>Trefler</w:t>
      </w:r>
      <w:proofErr w:type="spellEnd"/>
      <w:r w:rsidRPr="00BF6592">
        <w:t xml:space="preserve">, D. (2001, May). </w:t>
      </w:r>
      <w:r w:rsidRPr="00BF6592">
        <w:rPr>
          <w:i/>
          <w:iCs/>
        </w:rPr>
        <w:t>The long and short of the Canada-U.S. Free Trade Agreement</w:t>
      </w:r>
      <w:r w:rsidRPr="00BF6592">
        <w:t xml:space="preserve"> (NBER Working Paper No. 8293). National Bureau of Economic Research.</w:t>
      </w:r>
    </w:p>
    <w:p w14:paraId="354BFF5E" w14:textId="293C9379" w:rsidR="00A61351" w:rsidRDefault="00A61351" w:rsidP="005E24C1">
      <w:pPr>
        <w:spacing w:line="480" w:lineRule="auto"/>
      </w:pPr>
      <w:r w:rsidRPr="00A61351">
        <w:t xml:space="preserve">Canada, Department of Finance. (2025, June 19). </w:t>
      </w:r>
      <w:r w:rsidRPr="00A61351">
        <w:rPr>
          <w:i/>
          <w:iCs/>
        </w:rPr>
        <w:t>Countermeasures in response to unjustified tariffs on Canadian steel and aluminum products</w:t>
      </w:r>
      <w:r w:rsidRPr="00A61351">
        <w:t xml:space="preserve">. Government of Canada. </w:t>
      </w:r>
      <w:hyperlink r:id="rId25" w:history="1">
        <w:r w:rsidRPr="00A61351">
          <w:rPr>
            <w:rStyle w:val="Hyperlink"/>
          </w:rPr>
          <w:t>https://www.canada.ca/en/department-finance/programs/international-trade-finance-policy/measures-steel-aluminum-businesses/countermeasures-response-unjustified-tariffs-canadian-steel-aluminum-products.html</w:t>
        </w:r>
      </w:hyperlink>
    </w:p>
    <w:p w14:paraId="62913DE0" w14:textId="13F25131" w:rsidR="007874AF" w:rsidRDefault="007874AF" w:rsidP="005E24C1">
      <w:pPr>
        <w:spacing w:line="480" w:lineRule="auto"/>
      </w:pPr>
      <w:r w:rsidRPr="007874AF">
        <w:t xml:space="preserve">Canada, Department of Finance. (2025, December 22). </w:t>
      </w:r>
      <w:r w:rsidRPr="007874AF">
        <w:rPr>
          <w:i/>
          <w:iCs/>
        </w:rPr>
        <w:t>Complete list of U.S. products subject to counter-tariffs</w:t>
      </w:r>
      <w:r w:rsidRPr="007874AF">
        <w:t xml:space="preserve">. Government of Canada. </w:t>
      </w:r>
      <w:hyperlink r:id="rId26" w:history="1">
        <w:r w:rsidRPr="007874AF">
          <w:rPr>
            <w:rStyle w:val="Hyperlink"/>
          </w:rPr>
          <w:t>https://www.canada.ca/en/department-finance/programs/international-trade-finance-policy/canadas-response-us-tariffs/complete-list-us-products-subject-to-counter-tariffs.html</w:t>
        </w:r>
      </w:hyperlink>
    </w:p>
    <w:p w14:paraId="76984A4B" w14:textId="77777777" w:rsidR="00C82BD9" w:rsidRPr="00C82BD9" w:rsidRDefault="00C82BD9" w:rsidP="00D17245">
      <w:pPr>
        <w:spacing w:line="480" w:lineRule="auto"/>
        <w:rPr>
          <w:lang w:val="en-US"/>
        </w:rPr>
      </w:pPr>
      <w:r w:rsidRPr="00C82BD9">
        <w:rPr>
          <w:lang w:val="en-US"/>
        </w:rPr>
        <w:t xml:space="preserve">U.S. International Trade Commission. (2026). </w:t>
      </w:r>
      <w:r w:rsidRPr="00C82BD9">
        <w:rPr>
          <w:i/>
          <w:iCs/>
          <w:lang w:val="en-US"/>
        </w:rPr>
        <w:t>U.S. merchandise trade statistics</w:t>
      </w:r>
      <w:r w:rsidRPr="00C82BD9">
        <w:rPr>
          <w:lang w:val="en-US"/>
        </w:rPr>
        <w:t xml:space="preserve"> [Data set]. USITC </w:t>
      </w:r>
      <w:proofErr w:type="spellStart"/>
      <w:r w:rsidRPr="00C82BD9">
        <w:rPr>
          <w:lang w:val="en-US"/>
        </w:rPr>
        <w:t>DataWeb</w:t>
      </w:r>
      <w:proofErr w:type="spellEnd"/>
      <w:r w:rsidRPr="00C82BD9">
        <w:rPr>
          <w:lang w:val="en-US"/>
        </w:rPr>
        <w:t xml:space="preserve">. </w:t>
      </w:r>
      <w:hyperlink r:id="rId27" w:history="1">
        <w:r w:rsidRPr="00C82BD9">
          <w:rPr>
            <w:rStyle w:val="Hyperlink"/>
            <w:lang w:val="en-US"/>
          </w:rPr>
          <w:t>https://dataweb.usitc.gov/</w:t>
        </w:r>
      </w:hyperlink>
    </w:p>
    <w:p w14:paraId="4B6725BE" w14:textId="77777777" w:rsidR="00C82BD9" w:rsidRDefault="00C82BD9" w:rsidP="00D17245">
      <w:pPr>
        <w:spacing w:line="480" w:lineRule="auto"/>
      </w:pPr>
      <w:r w:rsidRPr="00C82BD9">
        <w:rPr>
          <w:lang w:val="en-US"/>
        </w:rPr>
        <w:t xml:space="preserve">Government of Canada. (2026). </w:t>
      </w:r>
      <w:r w:rsidRPr="00C82BD9">
        <w:rPr>
          <w:i/>
          <w:iCs/>
          <w:lang w:val="en-US"/>
        </w:rPr>
        <w:t>Canadian international merchandise trade</w:t>
      </w:r>
      <w:r w:rsidRPr="00C82BD9">
        <w:rPr>
          <w:lang w:val="en-US"/>
        </w:rPr>
        <w:t xml:space="preserve"> [Data set]. Statistics Canada Trade Data Online. </w:t>
      </w:r>
      <w:hyperlink r:id="rId28" w:history="1">
        <w:r w:rsidRPr="00C82BD9">
          <w:rPr>
            <w:rStyle w:val="Hyperlink"/>
            <w:lang w:val="en-US"/>
          </w:rPr>
          <w:t>https://www150.statcan.gc.ca/n1/pub/71-607-x/2018011/tdo-dce-eng.htm</w:t>
        </w:r>
      </w:hyperlink>
    </w:p>
    <w:p w14:paraId="26F55FD6" w14:textId="431F8316" w:rsidR="005E24C1" w:rsidRPr="009203C9" w:rsidRDefault="00D80C07" w:rsidP="00D17245">
      <w:pPr>
        <w:spacing w:line="480" w:lineRule="auto"/>
        <w:rPr>
          <w:lang w:val="en-US"/>
        </w:rPr>
      </w:pPr>
      <w:r w:rsidRPr="00D80C07">
        <w:lastRenderedPageBreak/>
        <w:t xml:space="preserve">Towe, C. (2025, July 30). </w:t>
      </w:r>
      <w:r w:rsidRPr="00D80C07">
        <w:rPr>
          <w:i/>
          <w:iCs/>
        </w:rPr>
        <w:t>The impact of the trade war on Canada</w:t>
      </w:r>
      <w:r w:rsidRPr="00D80C07">
        <w:t xml:space="preserve">. </w:t>
      </w:r>
      <w:proofErr w:type="spellStart"/>
      <w:r w:rsidRPr="00D80C07">
        <w:t>Econofact</w:t>
      </w:r>
      <w:proofErr w:type="spellEnd"/>
      <w:r w:rsidRPr="00D80C07">
        <w:t xml:space="preserve">. </w:t>
      </w:r>
      <w:hyperlink r:id="rId29" w:history="1">
        <w:r w:rsidRPr="00D80C07">
          <w:rPr>
            <w:rStyle w:val="Hyperlink"/>
          </w:rPr>
          <w:t>https://econofact.org/the-impact-of-the-trade-war-on-canada</w:t>
        </w:r>
      </w:hyperlink>
    </w:p>
    <w:sectPr w:rsidR="005E24C1" w:rsidRPr="009203C9">
      <w:headerReference w:type="even" r:id="rId30"/>
      <w:headerReference w:type="default" r:id="rId31"/>
      <w:footerReference w:type="even" r:id="rId32"/>
      <w:footerReference w:type="default" r:id="rId33"/>
      <w:headerReference w:type="first" r:id="rId34"/>
      <w:footerReference w:type="first" r:id="rId35"/>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FBED94" w14:textId="77777777" w:rsidR="005478BE" w:rsidRDefault="005478BE">
      <w:pPr>
        <w:spacing w:line="240" w:lineRule="auto"/>
      </w:pPr>
      <w:r>
        <w:separator/>
      </w:r>
    </w:p>
  </w:endnote>
  <w:endnote w:type="continuationSeparator" w:id="0">
    <w:p w14:paraId="02639D63" w14:textId="77777777" w:rsidR="005478BE" w:rsidRDefault="005478B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D32F13" w14:textId="77777777" w:rsidR="00BB7931" w:rsidRDefault="00BB793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112F9D" w14:textId="77777777" w:rsidR="00BB7931" w:rsidRDefault="00BB793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974E50" w14:textId="77777777" w:rsidR="00BB7931" w:rsidRDefault="00BB793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6F60BB" w14:textId="77777777" w:rsidR="005478BE" w:rsidRDefault="005478BE">
      <w:pPr>
        <w:spacing w:line="240" w:lineRule="auto"/>
      </w:pPr>
      <w:r>
        <w:separator/>
      </w:r>
    </w:p>
  </w:footnote>
  <w:footnote w:type="continuationSeparator" w:id="0">
    <w:p w14:paraId="1E60A7C7" w14:textId="77777777" w:rsidR="005478BE" w:rsidRDefault="005478B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733B92" w14:textId="77777777" w:rsidR="00BB7931" w:rsidRDefault="00BB793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11" w14:textId="77777777" w:rsidR="009059A6" w:rsidRDefault="009059A6">
    <w:pPr>
      <w:rPr>
        <w:rFonts w:ascii="Times New Roman" w:eastAsia="Times New Roman" w:hAnsi="Times New Roman" w:cs="Times New Roman"/>
        <w:sz w:val="24"/>
        <w:szCs w:val="24"/>
      </w:rPr>
    </w:pPr>
  </w:p>
  <w:p w14:paraId="00000012" w14:textId="6599FB77" w:rsidR="009059A6" w:rsidRDefault="007B45A5">
    <w:pPr>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PAGE</w:instrText>
    </w:r>
    <w:r>
      <w:rPr>
        <w:rFonts w:ascii="Times New Roman" w:eastAsia="Times New Roman" w:hAnsi="Times New Roman" w:cs="Times New Roman"/>
        <w:sz w:val="24"/>
        <w:szCs w:val="24"/>
      </w:rPr>
      <w:fldChar w:fldCharType="separate"/>
    </w:r>
    <w:r w:rsidR="008B7AB9">
      <w:rPr>
        <w:rFonts w:ascii="Times New Roman" w:eastAsia="Times New Roman" w:hAnsi="Times New Roman" w:cs="Times New Roman"/>
        <w:noProof/>
        <w:sz w:val="24"/>
        <w:szCs w:val="24"/>
      </w:rPr>
      <w:t>1</w:t>
    </w:r>
    <w:r>
      <w:rPr>
        <w:rFonts w:ascii="Times New Roman" w:eastAsia="Times New Roman" w:hAnsi="Times New Roman" w:cs="Times New Roman"/>
        <w:sz w:val="24"/>
        <w:szCs w:val="24"/>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244917" w14:textId="77777777" w:rsidR="00BB7931" w:rsidRDefault="00BB793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AB506C"/>
    <w:multiLevelType w:val="multilevel"/>
    <w:tmpl w:val="0084F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3E72FF"/>
    <w:multiLevelType w:val="hybridMultilevel"/>
    <w:tmpl w:val="D374A1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025689E"/>
    <w:multiLevelType w:val="multilevel"/>
    <w:tmpl w:val="6CEE7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166925"/>
    <w:multiLevelType w:val="multilevel"/>
    <w:tmpl w:val="E8B29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49043C"/>
    <w:multiLevelType w:val="multilevel"/>
    <w:tmpl w:val="4704F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A910308"/>
    <w:multiLevelType w:val="multilevel"/>
    <w:tmpl w:val="E4ECE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58127450">
    <w:abstractNumId w:val="1"/>
  </w:num>
  <w:num w:numId="2" w16cid:durableId="73205078">
    <w:abstractNumId w:val="5"/>
  </w:num>
  <w:num w:numId="3" w16cid:durableId="135269322">
    <w:abstractNumId w:val="0"/>
  </w:num>
  <w:num w:numId="4" w16cid:durableId="1907645589">
    <w:abstractNumId w:val="4"/>
  </w:num>
  <w:num w:numId="5" w16cid:durableId="362364577">
    <w:abstractNumId w:val="3"/>
  </w:num>
  <w:num w:numId="6" w16cid:durableId="37612597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59A6"/>
    <w:rsid w:val="00000952"/>
    <w:rsid w:val="00000D2B"/>
    <w:rsid w:val="000050BD"/>
    <w:rsid w:val="00005D55"/>
    <w:rsid w:val="00006AFC"/>
    <w:rsid w:val="00006BEE"/>
    <w:rsid w:val="000076D7"/>
    <w:rsid w:val="00007B4C"/>
    <w:rsid w:val="00010858"/>
    <w:rsid w:val="00012EB3"/>
    <w:rsid w:val="000136EE"/>
    <w:rsid w:val="00015747"/>
    <w:rsid w:val="00015883"/>
    <w:rsid w:val="00015D11"/>
    <w:rsid w:val="00020C26"/>
    <w:rsid w:val="00025721"/>
    <w:rsid w:val="00025D34"/>
    <w:rsid w:val="00027AA4"/>
    <w:rsid w:val="000310EC"/>
    <w:rsid w:val="0003113D"/>
    <w:rsid w:val="0003135E"/>
    <w:rsid w:val="00033326"/>
    <w:rsid w:val="00035142"/>
    <w:rsid w:val="000353F2"/>
    <w:rsid w:val="00035746"/>
    <w:rsid w:val="00036077"/>
    <w:rsid w:val="0003679C"/>
    <w:rsid w:val="000367BE"/>
    <w:rsid w:val="00040C8A"/>
    <w:rsid w:val="00042599"/>
    <w:rsid w:val="00043431"/>
    <w:rsid w:val="00043521"/>
    <w:rsid w:val="00043A27"/>
    <w:rsid w:val="000455F6"/>
    <w:rsid w:val="00045653"/>
    <w:rsid w:val="00045684"/>
    <w:rsid w:val="000559FB"/>
    <w:rsid w:val="00055BC2"/>
    <w:rsid w:val="000562F7"/>
    <w:rsid w:val="000601CC"/>
    <w:rsid w:val="0006394B"/>
    <w:rsid w:val="00065E1F"/>
    <w:rsid w:val="00067D9E"/>
    <w:rsid w:val="000724C4"/>
    <w:rsid w:val="000724F6"/>
    <w:rsid w:val="0007582D"/>
    <w:rsid w:val="000767AD"/>
    <w:rsid w:val="0008293F"/>
    <w:rsid w:val="00082D3B"/>
    <w:rsid w:val="000830BB"/>
    <w:rsid w:val="0008385A"/>
    <w:rsid w:val="000855D1"/>
    <w:rsid w:val="00085C30"/>
    <w:rsid w:val="00090BB0"/>
    <w:rsid w:val="00091F95"/>
    <w:rsid w:val="00093155"/>
    <w:rsid w:val="00093622"/>
    <w:rsid w:val="00093DB6"/>
    <w:rsid w:val="00094F1A"/>
    <w:rsid w:val="00095C67"/>
    <w:rsid w:val="000A056D"/>
    <w:rsid w:val="000A14A6"/>
    <w:rsid w:val="000A3A0D"/>
    <w:rsid w:val="000A4C67"/>
    <w:rsid w:val="000A5673"/>
    <w:rsid w:val="000B0DF6"/>
    <w:rsid w:val="000B3054"/>
    <w:rsid w:val="000B430E"/>
    <w:rsid w:val="000B4CD6"/>
    <w:rsid w:val="000B55A0"/>
    <w:rsid w:val="000C0388"/>
    <w:rsid w:val="000C0891"/>
    <w:rsid w:val="000C35C7"/>
    <w:rsid w:val="000C3B11"/>
    <w:rsid w:val="000C3FAF"/>
    <w:rsid w:val="000C42EE"/>
    <w:rsid w:val="000C456A"/>
    <w:rsid w:val="000C74D2"/>
    <w:rsid w:val="000D09DD"/>
    <w:rsid w:val="000D1FD7"/>
    <w:rsid w:val="000D21E7"/>
    <w:rsid w:val="000D5624"/>
    <w:rsid w:val="000D5B61"/>
    <w:rsid w:val="000D5D90"/>
    <w:rsid w:val="000D630B"/>
    <w:rsid w:val="000E2057"/>
    <w:rsid w:val="000E2726"/>
    <w:rsid w:val="000E36E7"/>
    <w:rsid w:val="000E7713"/>
    <w:rsid w:val="000E791A"/>
    <w:rsid w:val="000E7A1F"/>
    <w:rsid w:val="000F05D9"/>
    <w:rsid w:val="000F0E40"/>
    <w:rsid w:val="000F1109"/>
    <w:rsid w:val="000F3108"/>
    <w:rsid w:val="000F58B4"/>
    <w:rsid w:val="000F6313"/>
    <w:rsid w:val="00100245"/>
    <w:rsid w:val="00100823"/>
    <w:rsid w:val="00101871"/>
    <w:rsid w:val="00101EE8"/>
    <w:rsid w:val="001042ED"/>
    <w:rsid w:val="001064EF"/>
    <w:rsid w:val="0011358D"/>
    <w:rsid w:val="001143A7"/>
    <w:rsid w:val="00123035"/>
    <w:rsid w:val="00125C66"/>
    <w:rsid w:val="00127EF9"/>
    <w:rsid w:val="00130B9C"/>
    <w:rsid w:val="001321CE"/>
    <w:rsid w:val="00133BDF"/>
    <w:rsid w:val="00133D1C"/>
    <w:rsid w:val="0013550A"/>
    <w:rsid w:val="00136AD1"/>
    <w:rsid w:val="00142E08"/>
    <w:rsid w:val="00144C38"/>
    <w:rsid w:val="001508F4"/>
    <w:rsid w:val="00150BAA"/>
    <w:rsid w:val="00153106"/>
    <w:rsid w:val="00153C65"/>
    <w:rsid w:val="00160F2A"/>
    <w:rsid w:val="00165A1A"/>
    <w:rsid w:val="00166291"/>
    <w:rsid w:val="00170E1E"/>
    <w:rsid w:val="001711B6"/>
    <w:rsid w:val="00174D52"/>
    <w:rsid w:val="00174E72"/>
    <w:rsid w:val="0017653F"/>
    <w:rsid w:val="001766E4"/>
    <w:rsid w:val="001775B9"/>
    <w:rsid w:val="001811CA"/>
    <w:rsid w:val="0018573D"/>
    <w:rsid w:val="001875FA"/>
    <w:rsid w:val="0019109A"/>
    <w:rsid w:val="001913B1"/>
    <w:rsid w:val="00192917"/>
    <w:rsid w:val="00193F21"/>
    <w:rsid w:val="0019485F"/>
    <w:rsid w:val="00194A48"/>
    <w:rsid w:val="00194F5C"/>
    <w:rsid w:val="00196E00"/>
    <w:rsid w:val="00197B92"/>
    <w:rsid w:val="001A11D2"/>
    <w:rsid w:val="001A1655"/>
    <w:rsid w:val="001A2220"/>
    <w:rsid w:val="001B1143"/>
    <w:rsid w:val="001B22F1"/>
    <w:rsid w:val="001B452F"/>
    <w:rsid w:val="001B62DD"/>
    <w:rsid w:val="001B63AD"/>
    <w:rsid w:val="001B6532"/>
    <w:rsid w:val="001B6E3E"/>
    <w:rsid w:val="001B7F68"/>
    <w:rsid w:val="001C1BD4"/>
    <w:rsid w:val="001C5378"/>
    <w:rsid w:val="001D04BF"/>
    <w:rsid w:val="001D1B67"/>
    <w:rsid w:val="001D255A"/>
    <w:rsid w:val="001D368E"/>
    <w:rsid w:val="001D5E44"/>
    <w:rsid w:val="001D654A"/>
    <w:rsid w:val="001E0E9F"/>
    <w:rsid w:val="001E1A15"/>
    <w:rsid w:val="001E2418"/>
    <w:rsid w:val="001E3BFD"/>
    <w:rsid w:val="001F0434"/>
    <w:rsid w:val="001F532D"/>
    <w:rsid w:val="001F5E2F"/>
    <w:rsid w:val="001F62B9"/>
    <w:rsid w:val="0020088F"/>
    <w:rsid w:val="00201308"/>
    <w:rsid w:val="002036A1"/>
    <w:rsid w:val="00203FD7"/>
    <w:rsid w:val="00204E44"/>
    <w:rsid w:val="00206380"/>
    <w:rsid w:val="002109B0"/>
    <w:rsid w:val="00212043"/>
    <w:rsid w:val="00212558"/>
    <w:rsid w:val="00214A3E"/>
    <w:rsid w:val="00215618"/>
    <w:rsid w:val="0021656F"/>
    <w:rsid w:val="00216B42"/>
    <w:rsid w:val="0021709F"/>
    <w:rsid w:val="00221FF1"/>
    <w:rsid w:val="00222121"/>
    <w:rsid w:val="00222E52"/>
    <w:rsid w:val="0022407E"/>
    <w:rsid w:val="00225A3D"/>
    <w:rsid w:val="00226F47"/>
    <w:rsid w:val="00231156"/>
    <w:rsid w:val="00232A9E"/>
    <w:rsid w:val="00232ECF"/>
    <w:rsid w:val="002337E3"/>
    <w:rsid w:val="00233F50"/>
    <w:rsid w:val="00240CA4"/>
    <w:rsid w:val="00240EE9"/>
    <w:rsid w:val="00246177"/>
    <w:rsid w:val="002466CF"/>
    <w:rsid w:val="00250EE5"/>
    <w:rsid w:val="00250F91"/>
    <w:rsid w:val="002530FB"/>
    <w:rsid w:val="00255EAA"/>
    <w:rsid w:val="00257568"/>
    <w:rsid w:val="002611AD"/>
    <w:rsid w:val="0026180C"/>
    <w:rsid w:val="00261C60"/>
    <w:rsid w:val="00262284"/>
    <w:rsid w:val="002632A4"/>
    <w:rsid w:val="00263E75"/>
    <w:rsid w:val="0026485C"/>
    <w:rsid w:val="00264EDB"/>
    <w:rsid w:val="00273047"/>
    <w:rsid w:val="00273550"/>
    <w:rsid w:val="002740B4"/>
    <w:rsid w:val="0027453A"/>
    <w:rsid w:val="002749AA"/>
    <w:rsid w:val="00275356"/>
    <w:rsid w:val="00276AF8"/>
    <w:rsid w:val="00280A48"/>
    <w:rsid w:val="002813B3"/>
    <w:rsid w:val="00283237"/>
    <w:rsid w:val="00283C40"/>
    <w:rsid w:val="002841B7"/>
    <w:rsid w:val="0028732E"/>
    <w:rsid w:val="0029010C"/>
    <w:rsid w:val="0029188D"/>
    <w:rsid w:val="0029469A"/>
    <w:rsid w:val="00295CD6"/>
    <w:rsid w:val="002A02B7"/>
    <w:rsid w:val="002A1AD9"/>
    <w:rsid w:val="002A1EF0"/>
    <w:rsid w:val="002A266D"/>
    <w:rsid w:val="002A467E"/>
    <w:rsid w:val="002A4F6C"/>
    <w:rsid w:val="002B0489"/>
    <w:rsid w:val="002B06FF"/>
    <w:rsid w:val="002B0F92"/>
    <w:rsid w:val="002B3F43"/>
    <w:rsid w:val="002B42D3"/>
    <w:rsid w:val="002B42D5"/>
    <w:rsid w:val="002B47F3"/>
    <w:rsid w:val="002B7D0C"/>
    <w:rsid w:val="002C0342"/>
    <w:rsid w:val="002C0C51"/>
    <w:rsid w:val="002C1145"/>
    <w:rsid w:val="002C16E7"/>
    <w:rsid w:val="002C36BF"/>
    <w:rsid w:val="002C408F"/>
    <w:rsid w:val="002C5E53"/>
    <w:rsid w:val="002C6D3F"/>
    <w:rsid w:val="002C7F42"/>
    <w:rsid w:val="002D0C7C"/>
    <w:rsid w:val="002D2A00"/>
    <w:rsid w:val="002D2A26"/>
    <w:rsid w:val="002D2EDE"/>
    <w:rsid w:val="002D3B2C"/>
    <w:rsid w:val="002D3D66"/>
    <w:rsid w:val="002D5D83"/>
    <w:rsid w:val="002D7E48"/>
    <w:rsid w:val="002E2797"/>
    <w:rsid w:val="002E27C5"/>
    <w:rsid w:val="002E3436"/>
    <w:rsid w:val="002E4E9B"/>
    <w:rsid w:val="002E51F5"/>
    <w:rsid w:val="002E59D2"/>
    <w:rsid w:val="002E660E"/>
    <w:rsid w:val="002E7163"/>
    <w:rsid w:val="002F30C1"/>
    <w:rsid w:val="002F33A4"/>
    <w:rsid w:val="002F5F7E"/>
    <w:rsid w:val="002F7FB4"/>
    <w:rsid w:val="003000F2"/>
    <w:rsid w:val="003008C8"/>
    <w:rsid w:val="00301249"/>
    <w:rsid w:val="00303CEF"/>
    <w:rsid w:val="00304193"/>
    <w:rsid w:val="00310E29"/>
    <w:rsid w:val="00311EDE"/>
    <w:rsid w:val="00312CDA"/>
    <w:rsid w:val="0031343B"/>
    <w:rsid w:val="003150BB"/>
    <w:rsid w:val="003159B8"/>
    <w:rsid w:val="0031630E"/>
    <w:rsid w:val="0032208E"/>
    <w:rsid w:val="0032288D"/>
    <w:rsid w:val="00322B81"/>
    <w:rsid w:val="0032392D"/>
    <w:rsid w:val="003250C2"/>
    <w:rsid w:val="00325C29"/>
    <w:rsid w:val="00326773"/>
    <w:rsid w:val="00326E09"/>
    <w:rsid w:val="0033042C"/>
    <w:rsid w:val="00330D79"/>
    <w:rsid w:val="0033111D"/>
    <w:rsid w:val="003320F5"/>
    <w:rsid w:val="00332DCE"/>
    <w:rsid w:val="003358A5"/>
    <w:rsid w:val="00337E90"/>
    <w:rsid w:val="00340D03"/>
    <w:rsid w:val="0034341A"/>
    <w:rsid w:val="00346C8F"/>
    <w:rsid w:val="003504DD"/>
    <w:rsid w:val="00351B72"/>
    <w:rsid w:val="00352A9C"/>
    <w:rsid w:val="00352DF7"/>
    <w:rsid w:val="003532C0"/>
    <w:rsid w:val="00354B10"/>
    <w:rsid w:val="00355CB2"/>
    <w:rsid w:val="0035675F"/>
    <w:rsid w:val="003646FF"/>
    <w:rsid w:val="0036501E"/>
    <w:rsid w:val="0036516A"/>
    <w:rsid w:val="003704D0"/>
    <w:rsid w:val="0037084A"/>
    <w:rsid w:val="003710FE"/>
    <w:rsid w:val="0037459E"/>
    <w:rsid w:val="00376FCC"/>
    <w:rsid w:val="0037727C"/>
    <w:rsid w:val="00380C56"/>
    <w:rsid w:val="0038185B"/>
    <w:rsid w:val="00384765"/>
    <w:rsid w:val="00385E96"/>
    <w:rsid w:val="00386BC5"/>
    <w:rsid w:val="00387560"/>
    <w:rsid w:val="00387704"/>
    <w:rsid w:val="003878C2"/>
    <w:rsid w:val="00393795"/>
    <w:rsid w:val="00396837"/>
    <w:rsid w:val="003A02EB"/>
    <w:rsid w:val="003A196D"/>
    <w:rsid w:val="003A6942"/>
    <w:rsid w:val="003B1F62"/>
    <w:rsid w:val="003B270F"/>
    <w:rsid w:val="003B29CE"/>
    <w:rsid w:val="003B304D"/>
    <w:rsid w:val="003B5A83"/>
    <w:rsid w:val="003C1C95"/>
    <w:rsid w:val="003C27B5"/>
    <w:rsid w:val="003C464E"/>
    <w:rsid w:val="003C60D1"/>
    <w:rsid w:val="003C7B52"/>
    <w:rsid w:val="003D11C6"/>
    <w:rsid w:val="003D17FC"/>
    <w:rsid w:val="003D3B23"/>
    <w:rsid w:val="003D3D7C"/>
    <w:rsid w:val="003D6200"/>
    <w:rsid w:val="003E07F0"/>
    <w:rsid w:val="003E5122"/>
    <w:rsid w:val="003E78F6"/>
    <w:rsid w:val="003F03BC"/>
    <w:rsid w:val="003F3601"/>
    <w:rsid w:val="003F7F61"/>
    <w:rsid w:val="0040209D"/>
    <w:rsid w:val="00404997"/>
    <w:rsid w:val="00405DFF"/>
    <w:rsid w:val="00411B5C"/>
    <w:rsid w:val="004132A5"/>
    <w:rsid w:val="0041340C"/>
    <w:rsid w:val="004150D4"/>
    <w:rsid w:val="00416450"/>
    <w:rsid w:val="00416D6F"/>
    <w:rsid w:val="00417346"/>
    <w:rsid w:val="004200F9"/>
    <w:rsid w:val="00420D1D"/>
    <w:rsid w:val="00427904"/>
    <w:rsid w:val="004324BC"/>
    <w:rsid w:val="00437276"/>
    <w:rsid w:val="0043768A"/>
    <w:rsid w:val="00442F5F"/>
    <w:rsid w:val="0044316F"/>
    <w:rsid w:val="00443CEF"/>
    <w:rsid w:val="004454E7"/>
    <w:rsid w:val="004459AB"/>
    <w:rsid w:val="00447013"/>
    <w:rsid w:val="0045050C"/>
    <w:rsid w:val="0045270A"/>
    <w:rsid w:val="00455967"/>
    <w:rsid w:val="00461125"/>
    <w:rsid w:val="00463E1E"/>
    <w:rsid w:val="004655E8"/>
    <w:rsid w:val="00465B81"/>
    <w:rsid w:val="00467072"/>
    <w:rsid w:val="004670FD"/>
    <w:rsid w:val="0047063D"/>
    <w:rsid w:val="00475BA2"/>
    <w:rsid w:val="00475C12"/>
    <w:rsid w:val="00475FA5"/>
    <w:rsid w:val="00487E92"/>
    <w:rsid w:val="004923A5"/>
    <w:rsid w:val="00493B8C"/>
    <w:rsid w:val="00495EC0"/>
    <w:rsid w:val="004A0597"/>
    <w:rsid w:val="004A07C5"/>
    <w:rsid w:val="004B02C0"/>
    <w:rsid w:val="004B3B40"/>
    <w:rsid w:val="004C0D2F"/>
    <w:rsid w:val="004C0DCE"/>
    <w:rsid w:val="004C34BD"/>
    <w:rsid w:val="004C4E36"/>
    <w:rsid w:val="004C56F5"/>
    <w:rsid w:val="004C595B"/>
    <w:rsid w:val="004C7F69"/>
    <w:rsid w:val="004D02A9"/>
    <w:rsid w:val="004D0A09"/>
    <w:rsid w:val="004D30E1"/>
    <w:rsid w:val="004D3765"/>
    <w:rsid w:val="004D56E8"/>
    <w:rsid w:val="004D67AE"/>
    <w:rsid w:val="004D7263"/>
    <w:rsid w:val="004D792F"/>
    <w:rsid w:val="004E172E"/>
    <w:rsid w:val="004E1B6A"/>
    <w:rsid w:val="004E6FF1"/>
    <w:rsid w:val="004F0476"/>
    <w:rsid w:val="004F386B"/>
    <w:rsid w:val="004F3DC1"/>
    <w:rsid w:val="004F5E49"/>
    <w:rsid w:val="004F6FEB"/>
    <w:rsid w:val="00510E0E"/>
    <w:rsid w:val="005110CA"/>
    <w:rsid w:val="00511DF9"/>
    <w:rsid w:val="00512636"/>
    <w:rsid w:val="00516C4B"/>
    <w:rsid w:val="005200C6"/>
    <w:rsid w:val="00520EE9"/>
    <w:rsid w:val="005233D9"/>
    <w:rsid w:val="00524CEB"/>
    <w:rsid w:val="0052746E"/>
    <w:rsid w:val="005339D4"/>
    <w:rsid w:val="00534455"/>
    <w:rsid w:val="005344AC"/>
    <w:rsid w:val="005344B0"/>
    <w:rsid w:val="00543FAD"/>
    <w:rsid w:val="00544494"/>
    <w:rsid w:val="00546231"/>
    <w:rsid w:val="00546AE5"/>
    <w:rsid w:val="00546EEE"/>
    <w:rsid w:val="00547742"/>
    <w:rsid w:val="005478BE"/>
    <w:rsid w:val="005527E2"/>
    <w:rsid w:val="005556F9"/>
    <w:rsid w:val="00572413"/>
    <w:rsid w:val="00580362"/>
    <w:rsid w:val="00580F3C"/>
    <w:rsid w:val="00581519"/>
    <w:rsid w:val="00581822"/>
    <w:rsid w:val="00585637"/>
    <w:rsid w:val="00585F94"/>
    <w:rsid w:val="0059095F"/>
    <w:rsid w:val="00592184"/>
    <w:rsid w:val="00592428"/>
    <w:rsid w:val="00593121"/>
    <w:rsid w:val="005939DE"/>
    <w:rsid w:val="005960BD"/>
    <w:rsid w:val="00597E32"/>
    <w:rsid w:val="005A030C"/>
    <w:rsid w:val="005A07AA"/>
    <w:rsid w:val="005A244D"/>
    <w:rsid w:val="005A6155"/>
    <w:rsid w:val="005A688F"/>
    <w:rsid w:val="005B1C81"/>
    <w:rsid w:val="005B2E86"/>
    <w:rsid w:val="005C1069"/>
    <w:rsid w:val="005C50C5"/>
    <w:rsid w:val="005C54F6"/>
    <w:rsid w:val="005C592D"/>
    <w:rsid w:val="005C6F3C"/>
    <w:rsid w:val="005D1E64"/>
    <w:rsid w:val="005D23B5"/>
    <w:rsid w:val="005D2832"/>
    <w:rsid w:val="005D487C"/>
    <w:rsid w:val="005D5A7F"/>
    <w:rsid w:val="005D6F8C"/>
    <w:rsid w:val="005E0811"/>
    <w:rsid w:val="005E24C1"/>
    <w:rsid w:val="005E2A89"/>
    <w:rsid w:val="005E3AB6"/>
    <w:rsid w:val="005E40E4"/>
    <w:rsid w:val="005E4721"/>
    <w:rsid w:val="005F0A5C"/>
    <w:rsid w:val="005F1218"/>
    <w:rsid w:val="005F3182"/>
    <w:rsid w:val="005F353A"/>
    <w:rsid w:val="005F4307"/>
    <w:rsid w:val="005F465F"/>
    <w:rsid w:val="005F4C6A"/>
    <w:rsid w:val="005F59FE"/>
    <w:rsid w:val="005F6580"/>
    <w:rsid w:val="005F71A9"/>
    <w:rsid w:val="00602A83"/>
    <w:rsid w:val="00604BF7"/>
    <w:rsid w:val="00604D53"/>
    <w:rsid w:val="0060713A"/>
    <w:rsid w:val="00615B4D"/>
    <w:rsid w:val="00616315"/>
    <w:rsid w:val="006173F8"/>
    <w:rsid w:val="006201BA"/>
    <w:rsid w:val="006207EA"/>
    <w:rsid w:val="00620F2C"/>
    <w:rsid w:val="00621B80"/>
    <w:rsid w:val="0062593F"/>
    <w:rsid w:val="00626458"/>
    <w:rsid w:val="006279C5"/>
    <w:rsid w:val="00627A47"/>
    <w:rsid w:val="0063174A"/>
    <w:rsid w:val="0063555A"/>
    <w:rsid w:val="006355E3"/>
    <w:rsid w:val="006374C0"/>
    <w:rsid w:val="00640EDB"/>
    <w:rsid w:val="00641254"/>
    <w:rsid w:val="006430D1"/>
    <w:rsid w:val="00643318"/>
    <w:rsid w:val="0064697F"/>
    <w:rsid w:val="0065034E"/>
    <w:rsid w:val="006560E7"/>
    <w:rsid w:val="0065790C"/>
    <w:rsid w:val="00662938"/>
    <w:rsid w:val="00664579"/>
    <w:rsid w:val="006662A4"/>
    <w:rsid w:val="006717E9"/>
    <w:rsid w:val="00672B31"/>
    <w:rsid w:val="00674976"/>
    <w:rsid w:val="006752B7"/>
    <w:rsid w:val="00675459"/>
    <w:rsid w:val="00676D21"/>
    <w:rsid w:val="00676FA4"/>
    <w:rsid w:val="00677AA0"/>
    <w:rsid w:val="00683578"/>
    <w:rsid w:val="00684AB2"/>
    <w:rsid w:val="00685860"/>
    <w:rsid w:val="00686CFC"/>
    <w:rsid w:val="006902AE"/>
    <w:rsid w:val="0069176D"/>
    <w:rsid w:val="006947C1"/>
    <w:rsid w:val="006955D5"/>
    <w:rsid w:val="00696FCD"/>
    <w:rsid w:val="00697E8B"/>
    <w:rsid w:val="006A05FF"/>
    <w:rsid w:val="006A06AE"/>
    <w:rsid w:val="006A12AF"/>
    <w:rsid w:val="006A32B1"/>
    <w:rsid w:val="006A3BD9"/>
    <w:rsid w:val="006A3DFE"/>
    <w:rsid w:val="006A402C"/>
    <w:rsid w:val="006A54B9"/>
    <w:rsid w:val="006A7852"/>
    <w:rsid w:val="006A7FB7"/>
    <w:rsid w:val="006B148D"/>
    <w:rsid w:val="006B2703"/>
    <w:rsid w:val="006B3CA5"/>
    <w:rsid w:val="006B63D1"/>
    <w:rsid w:val="006B7B6F"/>
    <w:rsid w:val="006C0202"/>
    <w:rsid w:val="006C0349"/>
    <w:rsid w:val="006C2698"/>
    <w:rsid w:val="006C5B29"/>
    <w:rsid w:val="006C6329"/>
    <w:rsid w:val="006D16F4"/>
    <w:rsid w:val="006D1773"/>
    <w:rsid w:val="006D48DF"/>
    <w:rsid w:val="006D4E3F"/>
    <w:rsid w:val="006D6BE0"/>
    <w:rsid w:val="006E22B7"/>
    <w:rsid w:val="006E2BBF"/>
    <w:rsid w:val="006E6AFB"/>
    <w:rsid w:val="006F39F4"/>
    <w:rsid w:val="006F4224"/>
    <w:rsid w:val="00701D83"/>
    <w:rsid w:val="00704C4F"/>
    <w:rsid w:val="00705387"/>
    <w:rsid w:val="00706311"/>
    <w:rsid w:val="007130CA"/>
    <w:rsid w:val="00714F79"/>
    <w:rsid w:val="0072068C"/>
    <w:rsid w:val="00721930"/>
    <w:rsid w:val="00721A16"/>
    <w:rsid w:val="00723FF2"/>
    <w:rsid w:val="007300CE"/>
    <w:rsid w:val="0073183F"/>
    <w:rsid w:val="00732CD9"/>
    <w:rsid w:val="007341B1"/>
    <w:rsid w:val="00734FA8"/>
    <w:rsid w:val="00737840"/>
    <w:rsid w:val="00741F15"/>
    <w:rsid w:val="00744CDB"/>
    <w:rsid w:val="0075006D"/>
    <w:rsid w:val="007511E5"/>
    <w:rsid w:val="00752011"/>
    <w:rsid w:val="007545BE"/>
    <w:rsid w:val="00756199"/>
    <w:rsid w:val="007568BC"/>
    <w:rsid w:val="00762D9F"/>
    <w:rsid w:val="007639B0"/>
    <w:rsid w:val="00765604"/>
    <w:rsid w:val="007656F5"/>
    <w:rsid w:val="00766799"/>
    <w:rsid w:val="007701E8"/>
    <w:rsid w:val="007702F2"/>
    <w:rsid w:val="00772134"/>
    <w:rsid w:val="007732D2"/>
    <w:rsid w:val="007768F1"/>
    <w:rsid w:val="00777F64"/>
    <w:rsid w:val="00780898"/>
    <w:rsid w:val="00780D01"/>
    <w:rsid w:val="007818FB"/>
    <w:rsid w:val="007820ED"/>
    <w:rsid w:val="007822EA"/>
    <w:rsid w:val="00785E4F"/>
    <w:rsid w:val="007874AF"/>
    <w:rsid w:val="00792029"/>
    <w:rsid w:val="007A0C17"/>
    <w:rsid w:val="007A1D2C"/>
    <w:rsid w:val="007A6281"/>
    <w:rsid w:val="007A664B"/>
    <w:rsid w:val="007B0E76"/>
    <w:rsid w:val="007B13C5"/>
    <w:rsid w:val="007B185B"/>
    <w:rsid w:val="007B1F3C"/>
    <w:rsid w:val="007B3D3B"/>
    <w:rsid w:val="007B4021"/>
    <w:rsid w:val="007B45A5"/>
    <w:rsid w:val="007B5B7B"/>
    <w:rsid w:val="007B6C11"/>
    <w:rsid w:val="007B6C65"/>
    <w:rsid w:val="007B6F9F"/>
    <w:rsid w:val="007C4E24"/>
    <w:rsid w:val="007C5079"/>
    <w:rsid w:val="007C55F9"/>
    <w:rsid w:val="007C60C7"/>
    <w:rsid w:val="007C747B"/>
    <w:rsid w:val="007D27B4"/>
    <w:rsid w:val="007D32E9"/>
    <w:rsid w:val="007D3CEF"/>
    <w:rsid w:val="007D4175"/>
    <w:rsid w:val="007D6451"/>
    <w:rsid w:val="007D6887"/>
    <w:rsid w:val="007D71FB"/>
    <w:rsid w:val="007D761E"/>
    <w:rsid w:val="007E0DC6"/>
    <w:rsid w:val="007E3F20"/>
    <w:rsid w:val="007E4B42"/>
    <w:rsid w:val="007F1880"/>
    <w:rsid w:val="007F34BA"/>
    <w:rsid w:val="007F4AA0"/>
    <w:rsid w:val="007F4BD0"/>
    <w:rsid w:val="007F5692"/>
    <w:rsid w:val="007F6B53"/>
    <w:rsid w:val="007F79C2"/>
    <w:rsid w:val="00800352"/>
    <w:rsid w:val="008009D8"/>
    <w:rsid w:val="008021DE"/>
    <w:rsid w:val="0081048A"/>
    <w:rsid w:val="008139F2"/>
    <w:rsid w:val="0081774D"/>
    <w:rsid w:val="0082150E"/>
    <w:rsid w:val="00826C82"/>
    <w:rsid w:val="008277CC"/>
    <w:rsid w:val="008351D0"/>
    <w:rsid w:val="0083799B"/>
    <w:rsid w:val="008402F8"/>
    <w:rsid w:val="00843BF1"/>
    <w:rsid w:val="00845B16"/>
    <w:rsid w:val="00846BEA"/>
    <w:rsid w:val="00851074"/>
    <w:rsid w:val="00853286"/>
    <w:rsid w:val="00854117"/>
    <w:rsid w:val="00854DC7"/>
    <w:rsid w:val="0085766F"/>
    <w:rsid w:val="00863728"/>
    <w:rsid w:val="00867A1B"/>
    <w:rsid w:val="00870D32"/>
    <w:rsid w:val="00870D57"/>
    <w:rsid w:val="008738AD"/>
    <w:rsid w:val="008745BA"/>
    <w:rsid w:val="00876728"/>
    <w:rsid w:val="008808BD"/>
    <w:rsid w:val="008811CE"/>
    <w:rsid w:val="00882D67"/>
    <w:rsid w:val="00883901"/>
    <w:rsid w:val="00884910"/>
    <w:rsid w:val="008862AE"/>
    <w:rsid w:val="00890F26"/>
    <w:rsid w:val="00891481"/>
    <w:rsid w:val="00891C75"/>
    <w:rsid w:val="00892C4C"/>
    <w:rsid w:val="008936E3"/>
    <w:rsid w:val="0089674E"/>
    <w:rsid w:val="008A056B"/>
    <w:rsid w:val="008A0B7C"/>
    <w:rsid w:val="008A172D"/>
    <w:rsid w:val="008A17B4"/>
    <w:rsid w:val="008A376C"/>
    <w:rsid w:val="008A5BC6"/>
    <w:rsid w:val="008A6946"/>
    <w:rsid w:val="008B0157"/>
    <w:rsid w:val="008B1047"/>
    <w:rsid w:val="008B23A7"/>
    <w:rsid w:val="008B31E5"/>
    <w:rsid w:val="008B4B85"/>
    <w:rsid w:val="008B63E9"/>
    <w:rsid w:val="008B64F8"/>
    <w:rsid w:val="008B7AB9"/>
    <w:rsid w:val="008C052C"/>
    <w:rsid w:val="008C0AF2"/>
    <w:rsid w:val="008C1F97"/>
    <w:rsid w:val="008C3AAA"/>
    <w:rsid w:val="008C3DBE"/>
    <w:rsid w:val="008C4198"/>
    <w:rsid w:val="008C4B43"/>
    <w:rsid w:val="008C50FB"/>
    <w:rsid w:val="008C5B66"/>
    <w:rsid w:val="008C792D"/>
    <w:rsid w:val="008D0F14"/>
    <w:rsid w:val="008D2EB8"/>
    <w:rsid w:val="008D32A2"/>
    <w:rsid w:val="008D38C0"/>
    <w:rsid w:val="008D7339"/>
    <w:rsid w:val="008E0338"/>
    <w:rsid w:val="008E2060"/>
    <w:rsid w:val="008E5850"/>
    <w:rsid w:val="008E680F"/>
    <w:rsid w:val="008E76D2"/>
    <w:rsid w:val="008F1154"/>
    <w:rsid w:val="008F3497"/>
    <w:rsid w:val="00905014"/>
    <w:rsid w:val="009059A6"/>
    <w:rsid w:val="00907061"/>
    <w:rsid w:val="0091443C"/>
    <w:rsid w:val="00915639"/>
    <w:rsid w:val="00915EA9"/>
    <w:rsid w:val="00917CD2"/>
    <w:rsid w:val="009203C9"/>
    <w:rsid w:val="00920F29"/>
    <w:rsid w:val="0092141C"/>
    <w:rsid w:val="009216BC"/>
    <w:rsid w:val="009224DE"/>
    <w:rsid w:val="00926F9B"/>
    <w:rsid w:val="00932A1D"/>
    <w:rsid w:val="00935226"/>
    <w:rsid w:val="00942E12"/>
    <w:rsid w:val="0094359A"/>
    <w:rsid w:val="00945486"/>
    <w:rsid w:val="00946CAB"/>
    <w:rsid w:val="00946CFD"/>
    <w:rsid w:val="00946DF7"/>
    <w:rsid w:val="00947125"/>
    <w:rsid w:val="00955E09"/>
    <w:rsid w:val="009562E2"/>
    <w:rsid w:val="00956AEC"/>
    <w:rsid w:val="00956E57"/>
    <w:rsid w:val="00957335"/>
    <w:rsid w:val="00961236"/>
    <w:rsid w:val="009629C9"/>
    <w:rsid w:val="009633C2"/>
    <w:rsid w:val="009634A9"/>
    <w:rsid w:val="009668D4"/>
    <w:rsid w:val="00966C65"/>
    <w:rsid w:val="00966FFA"/>
    <w:rsid w:val="0096792F"/>
    <w:rsid w:val="0097076B"/>
    <w:rsid w:val="009719E0"/>
    <w:rsid w:val="009737C0"/>
    <w:rsid w:val="00975146"/>
    <w:rsid w:val="0098154D"/>
    <w:rsid w:val="0098459F"/>
    <w:rsid w:val="009848C5"/>
    <w:rsid w:val="00984B77"/>
    <w:rsid w:val="009864D2"/>
    <w:rsid w:val="00986AF7"/>
    <w:rsid w:val="0099020F"/>
    <w:rsid w:val="0099257E"/>
    <w:rsid w:val="009928E3"/>
    <w:rsid w:val="00993E6F"/>
    <w:rsid w:val="00995FF4"/>
    <w:rsid w:val="009A0B69"/>
    <w:rsid w:val="009A1173"/>
    <w:rsid w:val="009A1D05"/>
    <w:rsid w:val="009A23C2"/>
    <w:rsid w:val="009A361E"/>
    <w:rsid w:val="009A6A6C"/>
    <w:rsid w:val="009B30A4"/>
    <w:rsid w:val="009B46F5"/>
    <w:rsid w:val="009C2093"/>
    <w:rsid w:val="009C2932"/>
    <w:rsid w:val="009C5816"/>
    <w:rsid w:val="009C719A"/>
    <w:rsid w:val="009D056A"/>
    <w:rsid w:val="009D1029"/>
    <w:rsid w:val="009D5752"/>
    <w:rsid w:val="009D5A58"/>
    <w:rsid w:val="009D5DAE"/>
    <w:rsid w:val="009E1016"/>
    <w:rsid w:val="009E3A81"/>
    <w:rsid w:val="009E466A"/>
    <w:rsid w:val="009E53EE"/>
    <w:rsid w:val="009E5483"/>
    <w:rsid w:val="009E63F1"/>
    <w:rsid w:val="009F127A"/>
    <w:rsid w:val="009F1B3A"/>
    <w:rsid w:val="009F377E"/>
    <w:rsid w:val="009F41A1"/>
    <w:rsid w:val="009F616A"/>
    <w:rsid w:val="009F6B41"/>
    <w:rsid w:val="00A00CE3"/>
    <w:rsid w:val="00A02CAA"/>
    <w:rsid w:val="00A03596"/>
    <w:rsid w:val="00A049E1"/>
    <w:rsid w:val="00A04D10"/>
    <w:rsid w:val="00A0648F"/>
    <w:rsid w:val="00A07F13"/>
    <w:rsid w:val="00A10D2C"/>
    <w:rsid w:val="00A12CD4"/>
    <w:rsid w:val="00A14022"/>
    <w:rsid w:val="00A15B15"/>
    <w:rsid w:val="00A15F7A"/>
    <w:rsid w:val="00A17EBA"/>
    <w:rsid w:val="00A22460"/>
    <w:rsid w:val="00A2641A"/>
    <w:rsid w:val="00A2727A"/>
    <w:rsid w:val="00A27424"/>
    <w:rsid w:val="00A27A67"/>
    <w:rsid w:val="00A3031E"/>
    <w:rsid w:val="00A304FE"/>
    <w:rsid w:val="00A3051E"/>
    <w:rsid w:val="00A33C1B"/>
    <w:rsid w:val="00A40BF6"/>
    <w:rsid w:val="00A42477"/>
    <w:rsid w:val="00A44D73"/>
    <w:rsid w:val="00A45427"/>
    <w:rsid w:val="00A455E2"/>
    <w:rsid w:val="00A45D2B"/>
    <w:rsid w:val="00A46F6B"/>
    <w:rsid w:val="00A47CBE"/>
    <w:rsid w:val="00A51933"/>
    <w:rsid w:val="00A51F45"/>
    <w:rsid w:val="00A52C50"/>
    <w:rsid w:val="00A54D75"/>
    <w:rsid w:val="00A54FC9"/>
    <w:rsid w:val="00A55C62"/>
    <w:rsid w:val="00A61351"/>
    <w:rsid w:val="00A623D9"/>
    <w:rsid w:val="00A625F9"/>
    <w:rsid w:val="00A62700"/>
    <w:rsid w:val="00A6682D"/>
    <w:rsid w:val="00A7501A"/>
    <w:rsid w:val="00A76C1A"/>
    <w:rsid w:val="00A80455"/>
    <w:rsid w:val="00A80796"/>
    <w:rsid w:val="00A84B82"/>
    <w:rsid w:val="00A851C7"/>
    <w:rsid w:val="00A85972"/>
    <w:rsid w:val="00A875B3"/>
    <w:rsid w:val="00A95B76"/>
    <w:rsid w:val="00A95FEC"/>
    <w:rsid w:val="00A96880"/>
    <w:rsid w:val="00AA0229"/>
    <w:rsid w:val="00AA0895"/>
    <w:rsid w:val="00AA3BCE"/>
    <w:rsid w:val="00AA3CE0"/>
    <w:rsid w:val="00AB05FD"/>
    <w:rsid w:val="00AB36AC"/>
    <w:rsid w:val="00AB4A7D"/>
    <w:rsid w:val="00AC0562"/>
    <w:rsid w:val="00AC270C"/>
    <w:rsid w:val="00AC63A1"/>
    <w:rsid w:val="00AD0332"/>
    <w:rsid w:val="00AD0FE3"/>
    <w:rsid w:val="00AD19A3"/>
    <w:rsid w:val="00AD2CE7"/>
    <w:rsid w:val="00AD2E89"/>
    <w:rsid w:val="00AD4A9D"/>
    <w:rsid w:val="00AD53D0"/>
    <w:rsid w:val="00AD5CB1"/>
    <w:rsid w:val="00AD60EB"/>
    <w:rsid w:val="00AE26BE"/>
    <w:rsid w:val="00AE3F3B"/>
    <w:rsid w:val="00AE5165"/>
    <w:rsid w:val="00AF075F"/>
    <w:rsid w:val="00AF1D98"/>
    <w:rsid w:val="00AF2500"/>
    <w:rsid w:val="00AF4E76"/>
    <w:rsid w:val="00AF5208"/>
    <w:rsid w:val="00AF58BE"/>
    <w:rsid w:val="00AF64CA"/>
    <w:rsid w:val="00B00EF1"/>
    <w:rsid w:val="00B0558D"/>
    <w:rsid w:val="00B100DE"/>
    <w:rsid w:val="00B1107A"/>
    <w:rsid w:val="00B1254E"/>
    <w:rsid w:val="00B12B87"/>
    <w:rsid w:val="00B1309A"/>
    <w:rsid w:val="00B15CD2"/>
    <w:rsid w:val="00B164EE"/>
    <w:rsid w:val="00B17A5F"/>
    <w:rsid w:val="00B20ACA"/>
    <w:rsid w:val="00B25458"/>
    <w:rsid w:val="00B2609B"/>
    <w:rsid w:val="00B267F7"/>
    <w:rsid w:val="00B30586"/>
    <w:rsid w:val="00B35814"/>
    <w:rsid w:val="00B41FAC"/>
    <w:rsid w:val="00B422F6"/>
    <w:rsid w:val="00B43B37"/>
    <w:rsid w:val="00B448A9"/>
    <w:rsid w:val="00B454DA"/>
    <w:rsid w:val="00B5749C"/>
    <w:rsid w:val="00B645BF"/>
    <w:rsid w:val="00B64B0D"/>
    <w:rsid w:val="00B70424"/>
    <w:rsid w:val="00B715F3"/>
    <w:rsid w:val="00B720BE"/>
    <w:rsid w:val="00B73020"/>
    <w:rsid w:val="00B73797"/>
    <w:rsid w:val="00B74AD6"/>
    <w:rsid w:val="00B772FC"/>
    <w:rsid w:val="00B77450"/>
    <w:rsid w:val="00B82F68"/>
    <w:rsid w:val="00B85360"/>
    <w:rsid w:val="00B86B1A"/>
    <w:rsid w:val="00B86BF6"/>
    <w:rsid w:val="00B903F4"/>
    <w:rsid w:val="00B9258B"/>
    <w:rsid w:val="00B92608"/>
    <w:rsid w:val="00B92A01"/>
    <w:rsid w:val="00B95989"/>
    <w:rsid w:val="00B96164"/>
    <w:rsid w:val="00BA0C7D"/>
    <w:rsid w:val="00BA2DA6"/>
    <w:rsid w:val="00BA2E2C"/>
    <w:rsid w:val="00BA5C58"/>
    <w:rsid w:val="00BA6569"/>
    <w:rsid w:val="00BB0D1C"/>
    <w:rsid w:val="00BB1320"/>
    <w:rsid w:val="00BB1AF1"/>
    <w:rsid w:val="00BB2F0B"/>
    <w:rsid w:val="00BB4F13"/>
    <w:rsid w:val="00BB7931"/>
    <w:rsid w:val="00BB7CF2"/>
    <w:rsid w:val="00BC6167"/>
    <w:rsid w:val="00BC69EB"/>
    <w:rsid w:val="00BD0FEA"/>
    <w:rsid w:val="00BD3206"/>
    <w:rsid w:val="00BD4DAB"/>
    <w:rsid w:val="00BD59CF"/>
    <w:rsid w:val="00BE0BF6"/>
    <w:rsid w:val="00BE1FB9"/>
    <w:rsid w:val="00BE24FA"/>
    <w:rsid w:val="00BE3F28"/>
    <w:rsid w:val="00BE479D"/>
    <w:rsid w:val="00BE5C07"/>
    <w:rsid w:val="00BF0B47"/>
    <w:rsid w:val="00BF3254"/>
    <w:rsid w:val="00BF3A19"/>
    <w:rsid w:val="00BF6592"/>
    <w:rsid w:val="00C0100B"/>
    <w:rsid w:val="00C0397E"/>
    <w:rsid w:val="00C04EFF"/>
    <w:rsid w:val="00C06667"/>
    <w:rsid w:val="00C0672D"/>
    <w:rsid w:val="00C07203"/>
    <w:rsid w:val="00C10577"/>
    <w:rsid w:val="00C10714"/>
    <w:rsid w:val="00C11173"/>
    <w:rsid w:val="00C166AE"/>
    <w:rsid w:val="00C16DDB"/>
    <w:rsid w:val="00C22316"/>
    <w:rsid w:val="00C24950"/>
    <w:rsid w:val="00C3037E"/>
    <w:rsid w:val="00C31812"/>
    <w:rsid w:val="00C34606"/>
    <w:rsid w:val="00C35DA7"/>
    <w:rsid w:val="00C37D0A"/>
    <w:rsid w:val="00C42E50"/>
    <w:rsid w:val="00C43920"/>
    <w:rsid w:val="00C456F6"/>
    <w:rsid w:val="00C4739B"/>
    <w:rsid w:val="00C47466"/>
    <w:rsid w:val="00C47E46"/>
    <w:rsid w:val="00C50B5D"/>
    <w:rsid w:val="00C5274E"/>
    <w:rsid w:val="00C52DAC"/>
    <w:rsid w:val="00C549E5"/>
    <w:rsid w:val="00C5668C"/>
    <w:rsid w:val="00C570F6"/>
    <w:rsid w:val="00C57238"/>
    <w:rsid w:val="00C653A2"/>
    <w:rsid w:val="00C66246"/>
    <w:rsid w:val="00C67CE1"/>
    <w:rsid w:val="00C70CD8"/>
    <w:rsid w:val="00C73949"/>
    <w:rsid w:val="00C801F5"/>
    <w:rsid w:val="00C819B5"/>
    <w:rsid w:val="00C82BD9"/>
    <w:rsid w:val="00C847F0"/>
    <w:rsid w:val="00C8554C"/>
    <w:rsid w:val="00C9368A"/>
    <w:rsid w:val="00C95EDE"/>
    <w:rsid w:val="00C9693C"/>
    <w:rsid w:val="00CA0406"/>
    <w:rsid w:val="00CA29ED"/>
    <w:rsid w:val="00CA2F98"/>
    <w:rsid w:val="00CA65AE"/>
    <w:rsid w:val="00CA6AAF"/>
    <w:rsid w:val="00CB29CA"/>
    <w:rsid w:val="00CC04B7"/>
    <w:rsid w:val="00CC0C19"/>
    <w:rsid w:val="00CC0F4F"/>
    <w:rsid w:val="00CC1513"/>
    <w:rsid w:val="00CC1B4D"/>
    <w:rsid w:val="00CC1BE9"/>
    <w:rsid w:val="00CD0C77"/>
    <w:rsid w:val="00CD2079"/>
    <w:rsid w:val="00CD4C4E"/>
    <w:rsid w:val="00CD6331"/>
    <w:rsid w:val="00CD69A5"/>
    <w:rsid w:val="00CD6F9D"/>
    <w:rsid w:val="00CD781B"/>
    <w:rsid w:val="00CE24E0"/>
    <w:rsid w:val="00CE26C7"/>
    <w:rsid w:val="00CE400D"/>
    <w:rsid w:val="00CE44DE"/>
    <w:rsid w:val="00CE6F29"/>
    <w:rsid w:val="00CF1BCF"/>
    <w:rsid w:val="00CF27BA"/>
    <w:rsid w:val="00CF3566"/>
    <w:rsid w:val="00CF45E8"/>
    <w:rsid w:val="00CF706F"/>
    <w:rsid w:val="00D01B08"/>
    <w:rsid w:val="00D04BFA"/>
    <w:rsid w:val="00D04F9C"/>
    <w:rsid w:val="00D05F05"/>
    <w:rsid w:val="00D07A1A"/>
    <w:rsid w:val="00D1050C"/>
    <w:rsid w:val="00D13B52"/>
    <w:rsid w:val="00D14346"/>
    <w:rsid w:val="00D17245"/>
    <w:rsid w:val="00D1743E"/>
    <w:rsid w:val="00D22489"/>
    <w:rsid w:val="00D23A7F"/>
    <w:rsid w:val="00D24BBB"/>
    <w:rsid w:val="00D30142"/>
    <w:rsid w:val="00D30243"/>
    <w:rsid w:val="00D3066D"/>
    <w:rsid w:val="00D30B64"/>
    <w:rsid w:val="00D32013"/>
    <w:rsid w:val="00D33817"/>
    <w:rsid w:val="00D35598"/>
    <w:rsid w:val="00D4755A"/>
    <w:rsid w:val="00D5104E"/>
    <w:rsid w:val="00D521A5"/>
    <w:rsid w:val="00D52D5D"/>
    <w:rsid w:val="00D57F6A"/>
    <w:rsid w:val="00D62AB5"/>
    <w:rsid w:val="00D63B9D"/>
    <w:rsid w:val="00D65491"/>
    <w:rsid w:val="00D65AA2"/>
    <w:rsid w:val="00D667DF"/>
    <w:rsid w:val="00D73DC9"/>
    <w:rsid w:val="00D74E21"/>
    <w:rsid w:val="00D76A6F"/>
    <w:rsid w:val="00D8010D"/>
    <w:rsid w:val="00D80B67"/>
    <w:rsid w:val="00D80C07"/>
    <w:rsid w:val="00D81084"/>
    <w:rsid w:val="00D83954"/>
    <w:rsid w:val="00D83B2F"/>
    <w:rsid w:val="00D87C71"/>
    <w:rsid w:val="00D905B3"/>
    <w:rsid w:val="00D911E9"/>
    <w:rsid w:val="00D91470"/>
    <w:rsid w:val="00D91F0F"/>
    <w:rsid w:val="00D93B1D"/>
    <w:rsid w:val="00D93ECF"/>
    <w:rsid w:val="00D94D31"/>
    <w:rsid w:val="00D954D8"/>
    <w:rsid w:val="00D95538"/>
    <w:rsid w:val="00DA19CB"/>
    <w:rsid w:val="00DA24B5"/>
    <w:rsid w:val="00DA498E"/>
    <w:rsid w:val="00DA6A12"/>
    <w:rsid w:val="00DB3EB0"/>
    <w:rsid w:val="00DB74EB"/>
    <w:rsid w:val="00DC195C"/>
    <w:rsid w:val="00DC57FA"/>
    <w:rsid w:val="00DD261F"/>
    <w:rsid w:val="00DD3747"/>
    <w:rsid w:val="00DD4ABB"/>
    <w:rsid w:val="00DD5832"/>
    <w:rsid w:val="00DD5EAB"/>
    <w:rsid w:val="00DD6175"/>
    <w:rsid w:val="00DE0BD4"/>
    <w:rsid w:val="00DE3080"/>
    <w:rsid w:val="00DE31F9"/>
    <w:rsid w:val="00DE3AB8"/>
    <w:rsid w:val="00DE78FC"/>
    <w:rsid w:val="00DF0AF7"/>
    <w:rsid w:val="00DF4727"/>
    <w:rsid w:val="00DF4953"/>
    <w:rsid w:val="00DF4ABD"/>
    <w:rsid w:val="00DF5878"/>
    <w:rsid w:val="00DF5982"/>
    <w:rsid w:val="00DF6BF9"/>
    <w:rsid w:val="00DF7645"/>
    <w:rsid w:val="00E00E36"/>
    <w:rsid w:val="00E01E85"/>
    <w:rsid w:val="00E02D12"/>
    <w:rsid w:val="00E03201"/>
    <w:rsid w:val="00E03F2E"/>
    <w:rsid w:val="00E05AE9"/>
    <w:rsid w:val="00E12AE9"/>
    <w:rsid w:val="00E12F5C"/>
    <w:rsid w:val="00E13611"/>
    <w:rsid w:val="00E14E49"/>
    <w:rsid w:val="00E155E6"/>
    <w:rsid w:val="00E22341"/>
    <w:rsid w:val="00E3093F"/>
    <w:rsid w:val="00E32997"/>
    <w:rsid w:val="00E34BD9"/>
    <w:rsid w:val="00E36967"/>
    <w:rsid w:val="00E370A6"/>
    <w:rsid w:val="00E420D5"/>
    <w:rsid w:val="00E42AFD"/>
    <w:rsid w:val="00E552D6"/>
    <w:rsid w:val="00E57114"/>
    <w:rsid w:val="00E57CFE"/>
    <w:rsid w:val="00E607C1"/>
    <w:rsid w:val="00E63082"/>
    <w:rsid w:val="00E637AB"/>
    <w:rsid w:val="00E63BAB"/>
    <w:rsid w:val="00E663F8"/>
    <w:rsid w:val="00E70673"/>
    <w:rsid w:val="00E70923"/>
    <w:rsid w:val="00E71571"/>
    <w:rsid w:val="00E73029"/>
    <w:rsid w:val="00E73E3E"/>
    <w:rsid w:val="00E74CDB"/>
    <w:rsid w:val="00E77282"/>
    <w:rsid w:val="00E77C86"/>
    <w:rsid w:val="00E84A90"/>
    <w:rsid w:val="00E86C3A"/>
    <w:rsid w:val="00E87D5E"/>
    <w:rsid w:val="00E92539"/>
    <w:rsid w:val="00E93FF5"/>
    <w:rsid w:val="00E9422D"/>
    <w:rsid w:val="00E967D5"/>
    <w:rsid w:val="00E9720B"/>
    <w:rsid w:val="00EA0F95"/>
    <w:rsid w:val="00EA2648"/>
    <w:rsid w:val="00EB0793"/>
    <w:rsid w:val="00EB38F0"/>
    <w:rsid w:val="00EB52EC"/>
    <w:rsid w:val="00EC026F"/>
    <w:rsid w:val="00EC1E3E"/>
    <w:rsid w:val="00EC4FD6"/>
    <w:rsid w:val="00ED1843"/>
    <w:rsid w:val="00ED2254"/>
    <w:rsid w:val="00ED608D"/>
    <w:rsid w:val="00EE1327"/>
    <w:rsid w:val="00EE1665"/>
    <w:rsid w:val="00EE2174"/>
    <w:rsid w:val="00EE2340"/>
    <w:rsid w:val="00EE23E2"/>
    <w:rsid w:val="00EE3FF8"/>
    <w:rsid w:val="00EE48D4"/>
    <w:rsid w:val="00EE55B3"/>
    <w:rsid w:val="00EE77C5"/>
    <w:rsid w:val="00EF01A9"/>
    <w:rsid w:val="00EF0C4A"/>
    <w:rsid w:val="00EF28A9"/>
    <w:rsid w:val="00EF2D80"/>
    <w:rsid w:val="00F02B2D"/>
    <w:rsid w:val="00F03568"/>
    <w:rsid w:val="00F03BDA"/>
    <w:rsid w:val="00F04906"/>
    <w:rsid w:val="00F073CC"/>
    <w:rsid w:val="00F078EE"/>
    <w:rsid w:val="00F11250"/>
    <w:rsid w:val="00F14DEB"/>
    <w:rsid w:val="00F16DB8"/>
    <w:rsid w:val="00F21489"/>
    <w:rsid w:val="00F2349E"/>
    <w:rsid w:val="00F24837"/>
    <w:rsid w:val="00F25848"/>
    <w:rsid w:val="00F25EDE"/>
    <w:rsid w:val="00F26AC7"/>
    <w:rsid w:val="00F3130B"/>
    <w:rsid w:val="00F3253C"/>
    <w:rsid w:val="00F336D3"/>
    <w:rsid w:val="00F42646"/>
    <w:rsid w:val="00F52E85"/>
    <w:rsid w:val="00F54465"/>
    <w:rsid w:val="00F57B51"/>
    <w:rsid w:val="00F606DF"/>
    <w:rsid w:val="00F620A0"/>
    <w:rsid w:val="00F62644"/>
    <w:rsid w:val="00F62970"/>
    <w:rsid w:val="00F62A84"/>
    <w:rsid w:val="00F63B28"/>
    <w:rsid w:val="00F7118C"/>
    <w:rsid w:val="00F71ED4"/>
    <w:rsid w:val="00F71F2F"/>
    <w:rsid w:val="00F762E9"/>
    <w:rsid w:val="00F808DF"/>
    <w:rsid w:val="00F82759"/>
    <w:rsid w:val="00F8527F"/>
    <w:rsid w:val="00F8653D"/>
    <w:rsid w:val="00F903A2"/>
    <w:rsid w:val="00F92EC2"/>
    <w:rsid w:val="00F94AF6"/>
    <w:rsid w:val="00F94EA3"/>
    <w:rsid w:val="00F95825"/>
    <w:rsid w:val="00F96B54"/>
    <w:rsid w:val="00F974E2"/>
    <w:rsid w:val="00FA27E8"/>
    <w:rsid w:val="00FA57B7"/>
    <w:rsid w:val="00FB5A72"/>
    <w:rsid w:val="00FB6CC7"/>
    <w:rsid w:val="00FB70E9"/>
    <w:rsid w:val="00FB7EC3"/>
    <w:rsid w:val="00FC2249"/>
    <w:rsid w:val="00FC3CB3"/>
    <w:rsid w:val="00FC4DD7"/>
    <w:rsid w:val="00FC5D22"/>
    <w:rsid w:val="00FC5F6D"/>
    <w:rsid w:val="00FC623F"/>
    <w:rsid w:val="00FC6F44"/>
    <w:rsid w:val="00FC73C3"/>
    <w:rsid w:val="00FC75B4"/>
    <w:rsid w:val="00FD068B"/>
    <w:rsid w:val="00FD2122"/>
    <w:rsid w:val="00FD2A69"/>
    <w:rsid w:val="00FD3473"/>
    <w:rsid w:val="00FD4F27"/>
    <w:rsid w:val="00FE64A1"/>
    <w:rsid w:val="00FE79A6"/>
    <w:rsid w:val="00FF06B1"/>
    <w:rsid w:val="00FF5B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48E6B29"/>
  <w15:docId w15:val="{B5F746A3-194C-479E-8020-0FE406B0CB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5F6D"/>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styleId="Hyperlink">
    <w:name w:val="Hyperlink"/>
    <w:basedOn w:val="DefaultParagraphFont"/>
    <w:uiPriority w:val="99"/>
    <w:unhideWhenUsed/>
    <w:rsid w:val="00AE26BE"/>
    <w:rPr>
      <w:color w:val="0000FF" w:themeColor="hyperlink"/>
      <w:u w:val="single"/>
    </w:rPr>
  </w:style>
  <w:style w:type="character" w:styleId="UnresolvedMention">
    <w:name w:val="Unresolved Mention"/>
    <w:basedOn w:val="DefaultParagraphFont"/>
    <w:uiPriority w:val="99"/>
    <w:semiHidden/>
    <w:unhideWhenUsed/>
    <w:rsid w:val="00AE26BE"/>
    <w:rPr>
      <w:color w:val="605E5C"/>
      <w:shd w:val="clear" w:color="auto" w:fill="E1DFDD"/>
    </w:rPr>
  </w:style>
  <w:style w:type="paragraph" w:styleId="ListParagraph">
    <w:name w:val="List Paragraph"/>
    <w:basedOn w:val="Normal"/>
    <w:uiPriority w:val="34"/>
    <w:qFormat/>
    <w:rsid w:val="00BB7931"/>
    <w:pPr>
      <w:ind w:left="720"/>
      <w:contextualSpacing/>
    </w:pPr>
  </w:style>
  <w:style w:type="paragraph" w:styleId="Header">
    <w:name w:val="header"/>
    <w:basedOn w:val="Normal"/>
    <w:link w:val="HeaderChar"/>
    <w:uiPriority w:val="99"/>
    <w:unhideWhenUsed/>
    <w:rsid w:val="00BB7931"/>
    <w:pPr>
      <w:tabs>
        <w:tab w:val="center" w:pos="4680"/>
        <w:tab w:val="right" w:pos="9360"/>
      </w:tabs>
      <w:spacing w:line="240" w:lineRule="auto"/>
    </w:pPr>
  </w:style>
  <w:style w:type="character" w:customStyle="1" w:styleId="HeaderChar">
    <w:name w:val="Header Char"/>
    <w:basedOn w:val="DefaultParagraphFont"/>
    <w:link w:val="Header"/>
    <w:uiPriority w:val="99"/>
    <w:rsid w:val="00BB7931"/>
  </w:style>
  <w:style w:type="paragraph" w:styleId="Footer">
    <w:name w:val="footer"/>
    <w:basedOn w:val="Normal"/>
    <w:link w:val="FooterChar"/>
    <w:uiPriority w:val="99"/>
    <w:unhideWhenUsed/>
    <w:rsid w:val="00BB7931"/>
    <w:pPr>
      <w:tabs>
        <w:tab w:val="center" w:pos="4680"/>
        <w:tab w:val="right" w:pos="9360"/>
      </w:tabs>
      <w:spacing w:line="240" w:lineRule="auto"/>
    </w:pPr>
  </w:style>
  <w:style w:type="character" w:customStyle="1" w:styleId="FooterChar">
    <w:name w:val="Footer Char"/>
    <w:basedOn w:val="DefaultParagraphFont"/>
    <w:link w:val="Footer"/>
    <w:uiPriority w:val="99"/>
    <w:rsid w:val="00BB7931"/>
  </w:style>
  <w:style w:type="character" w:styleId="CommentReference">
    <w:name w:val="annotation reference"/>
    <w:basedOn w:val="DefaultParagraphFont"/>
    <w:uiPriority w:val="99"/>
    <w:semiHidden/>
    <w:unhideWhenUsed/>
    <w:rsid w:val="00685860"/>
    <w:rPr>
      <w:sz w:val="16"/>
      <w:szCs w:val="16"/>
    </w:rPr>
  </w:style>
  <w:style w:type="paragraph" w:styleId="CommentText">
    <w:name w:val="annotation text"/>
    <w:basedOn w:val="Normal"/>
    <w:link w:val="CommentTextChar"/>
    <w:uiPriority w:val="99"/>
    <w:unhideWhenUsed/>
    <w:rsid w:val="00685860"/>
    <w:pPr>
      <w:spacing w:line="240" w:lineRule="auto"/>
    </w:pPr>
    <w:rPr>
      <w:sz w:val="20"/>
      <w:szCs w:val="20"/>
    </w:rPr>
  </w:style>
  <w:style w:type="character" w:customStyle="1" w:styleId="CommentTextChar">
    <w:name w:val="Comment Text Char"/>
    <w:basedOn w:val="DefaultParagraphFont"/>
    <w:link w:val="CommentText"/>
    <w:uiPriority w:val="99"/>
    <w:rsid w:val="00685860"/>
    <w:rPr>
      <w:sz w:val="20"/>
      <w:szCs w:val="20"/>
    </w:rPr>
  </w:style>
  <w:style w:type="paragraph" w:styleId="CommentSubject">
    <w:name w:val="annotation subject"/>
    <w:basedOn w:val="CommentText"/>
    <w:next w:val="CommentText"/>
    <w:link w:val="CommentSubjectChar"/>
    <w:uiPriority w:val="99"/>
    <w:semiHidden/>
    <w:unhideWhenUsed/>
    <w:rsid w:val="00685860"/>
    <w:rPr>
      <w:b/>
      <w:bCs/>
    </w:rPr>
  </w:style>
  <w:style w:type="character" w:customStyle="1" w:styleId="CommentSubjectChar">
    <w:name w:val="Comment Subject Char"/>
    <w:basedOn w:val="CommentTextChar"/>
    <w:link w:val="CommentSubject"/>
    <w:uiPriority w:val="99"/>
    <w:semiHidden/>
    <w:rsid w:val="00685860"/>
    <w:rPr>
      <w:b/>
      <w:bCs/>
      <w:sz w:val="20"/>
      <w:szCs w:val="20"/>
    </w:rPr>
  </w:style>
  <w:style w:type="paragraph" w:styleId="NormalWeb">
    <w:name w:val="Normal (Web)"/>
    <w:basedOn w:val="Normal"/>
    <w:uiPriority w:val="99"/>
    <w:semiHidden/>
    <w:unhideWhenUsed/>
    <w:rsid w:val="0008293F"/>
    <w:rPr>
      <w:rFonts w:ascii="Times New Roman" w:hAnsi="Times New Roman" w:cs="Times New Roman"/>
      <w:sz w:val="24"/>
      <w:szCs w:val="24"/>
    </w:rPr>
  </w:style>
  <w:style w:type="character" w:styleId="FollowedHyperlink">
    <w:name w:val="FollowedHyperlink"/>
    <w:basedOn w:val="DefaultParagraphFont"/>
    <w:uiPriority w:val="99"/>
    <w:semiHidden/>
    <w:unhideWhenUsed/>
    <w:rsid w:val="00B1309A"/>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8832460">
      <w:bodyDiv w:val="1"/>
      <w:marLeft w:val="0"/>
      <w:marRight w:val="0"/>
      <w:marTop w:val="0"/>
      <w:marBottom w:val="0"/>
      <w:divBdr>
        <w:top w:val="none" w:sz="0" w:space="0" w:color="auto"/>
        <w:left w:val="none" w:sz="0" w:space="0" w:color="auto"/>
        <w:bottom w:val="none" w:sz="0" w:space="0" w:color="auto"/>
        <w:right w:val="none" w:sz="0" w:space="0" w:color="auto"/>
      </w:divBdr>
    </w:div>
    <w:div w:id="155541094">
      <w:bodyDiv w:val="1"/>
      <w:marLeft w:val="0"/>
      <w:marRight w:val="0"/>
      <w:marTop w:val="0"/>
      <w:marBottom w:val="0"/>
      <w:divBdr>
        <w:top w:val="none" w:sz="0" w:space="0" w:color="auto"/>
        <w:left w:val="none" w:sz="0" w:space="0" w:color="auto"/>
        <w:bottom w:val="none" w:sz="0" w:space="0" w:color="auto"/>
        <w:right w:val="none" w:sz="0" w:space="0" w:color="auto"/>
      </w:divBdr>
    </w:div>
    <w:div w:id="198131905">
      <w:bodyDiv w:val="1"/>
      <w:marLeft w:val="0"/>
      <w:marRight w:val="0"/>
      <w:marTop w:val="0"/>
      <w:marBottom w:val="0"/>
      <w:divBdr>
        <w:top w:val="none" w:sz="0" w:space="0" w:color="auto"/>
        <w:left w:val="none" w:sz="0" w:space="0" w:color="auto"/>
        <w:bottom w:val="none" w:sz="0" w:space="0" w:color="auto"/>
        <w:right w:val="none" w:sz="0" w:space="0" w:color="auto"/>
      </w:divBdr>
    </w:div>
    <w:div w:id="282229506">
      <w:bodyDiv w:val="1"/>
      <w:marLeft w:val="0"/>
      <w:marRight w:val="0"/>
      <w:marTop w:val="0"/>
      <w:marBottom w:val="0"/>
      <w:divBdr>
        <w:top w:val="none" w:sz="0" w:space="0" w:color="auto"/>
        <w:left w:val="none" w:sz="0" w:space="0" w:color="auto"/>
        <w:bottom w:val="none" w:sz="0" w:space="0" w:color="auto"/>
        <w:right w:val="none" w:sz="0" w:space="0" w:color="auto"/>
      </w:divBdr>
    </w:div>
    <w:div w:id="324018434">
      <w:bodyDiv w:val="1"/>
      <w:marLeft w:val="0"/>
      <w:marRight w:val="0"/>
      <w:marTop w:val="0"/>
      <w:marBottom w:val="0"/>
      <w:divBdr>
        <w:top w:val="none" w:sz="0" w:space="0" w:color="auto"/>
        <w:left w:val="none" w:sz="0" w:space="0" w:color="auto"/>
        <w:bottom w:val="none" w:sz="0" w:space="0" w:color="auto"/>
        <w:right w:val="none" w:sz="0" w:space="0" w:color="auto"/>
      </w:divBdr>
    </w:div>
    <w:div w:id="461191843">
      <w:bodyDiv w:val="1"/>
      <w:marLeft w:val="0"/>
      <w:marRight w:val="0"/>
      <w:marTop w:val="0"/>
      <w:marBottom w:val="0"/>
      <w:divBdr>
        <w:top w:val="none" w:sz="0" w:space="0" w:color="auto"/>
        <w:left w:val="none" w:sz="0" w:space="0" w:color="auto"/>
        <w:bottom w:val="none" w:sz="0" w:space="0" w:color="auto"/>
        <w:right w:val="none" w:sz="0" w:space="0" w:color="auto"/>
      </w:divBdr>
    </w:div>
    <w:div w:id="463542082">
      <w:bodyDiv w:val="1"/>
      <w:marLeft w:val="0"/>
      <w:marRight w:val="0"/>
      <w:marTop w:val="0"/>
      <w:marBottom w:val="0"/>
      <w:divBdr>
        <w:top w:val="none" w:sz="0" w:space="0" w:color="auto"/>
        <w:left w:val="none" w:sz="0" w:space="0" w:color="auto"/>
        <w:bottom w:val="none" w:sz="0" w:space="0" w:color="auto"/>
        <w:right w:val="none" w:sz="0" w:space="0" w:color="auto"/>
      </w:divBdr>
    </w:div>
    <w:div w:id="545339914">
      <w:bodyDiv w:val="1"/>
      <w:marLeft w:val="0"/>
      <w:marRight w:val="0"/>
      <w:marTop w:val="0"/>
      <w:marBottom w:val="0"/>
      <w:divBdr>
        <w:top w:val="none" w:sz="0" w:space="0" w:color="auto"/>
        <w:left w:val="none" w:sz="0" w:space="0" w:color="auto"/>
        <w:bottom w:val="none" w:sz="0" w:space="0" w:color="auto"/>
        <w:right w:val="none" w:sz="0" w:space="0" w:color="auto"/>
      </w:divBdr>
    </w:div>
    <w:div w:id="582958314">
      <w:bodyDiv w:val="1"/>
      <w:marLeft w:val="0"/>
      <w:marRight w:val="0"/>
      <w:marTop w:val="0"/>
      <w:marBottom w:val="0"/>
      <w:divBdr>
        <w:top w:val="none" w:sz="0" w:space="0" w:color="auto"/>
        <w:left w:val="none" w:sz="0" w:space="0" w:color="auto"/>
        <w:bottom w:val="none" w:sz="0" w:space="0" w:color="auto"/>
        <w:right w:val="none" w:sz="0" w:space="0" w:color="auto"/>
      </w:divBdr>
    </w:div>
    <w:div w:id="638922916">
      <w:bodyDiv w:val="1"/>
      <w:marLeft w:val="0"/>
      <w:marRight w:val="0"/>
      <w:marTop w:val="0"/>
      <w:marBottom w:val="0"/>
      <w:divBdr>
        <w:top w:val="none" w:sz="0" w:space="0" w:color="auto"/>
        <w:left w:val="none" w:sz="0" w:space="0" w:color="auto"/>
        <w:bottom w:val="none" w:sz="0" w:space="0" w:color="auto"/>
        <w:right w:val="none" w:sz="0" w:space="0" w:color="auto"/>
      </w:divBdr>
    </w:div>
    <w:div w:id="806162172">
      <w:bodyDiv w:val="1"/>
      <w:marLeft w:val="0"/>
      <w:marRight w:val="0"/>
      <w:marTop w:val="0"/>
      <w:marBottom w:val="0"/>
      <w:divBdr>
        <w:top w:val="none" w:sz="0" w:space="0" w:color="auto"/>
        <w:left w:val="none" w:sz="0" w:space="0" w:color="auto"/>
        <w:bottom w:val="none" w:sz="0" w:space="0" w:color="auto"/>
        <w:right w:val="none" w:sz="0" w:space="0" w:color="auto"/>
      </w:divBdr>
    </w:div>
    <w:div w:id="828014572">
      <w:bodyDiv w:val="1"/>
      <w:marLeft w:val="0"/>
      <w:marRight w:val="0"/>
      <w:marTop w:val="0"/>
      <w:marBottom w:val="0"/>
      <w:divBdr>
        <w:top w:val="none" w:sz="0" w:space="0" w:color="auto"/>
        <w:left w:val="none" w:sz="0" w:space="0" w:color="auto"/>
        <w:bottom w:val="none" w:sz="0" w:space="0" w:color="auto"/>
        <w:right w:val="none" w:sz="0" w:space="0" w:color="auto"/>
      </w:divBdr>
    </w:div>
    <w:div w:id="959914559">
      <w:bodyDiv w:val="1"/>
      <w:marLeft w:val="0"/>
      <w:marRight w:val="0"/>
      <w:marTop w:val="0"/>
      <w:marBottom w:val="0"/>
      <w:divBdr>
        <w:top w:val="none" w:sz="0" w:space="0" w:color="auto"/>
        <w:left w:val="none" w:sz="0" w:space="0" w:color="auto"/>
        <w:bottom w:val="none" w:sz="0" w:space="0" w:color="auto"/>
        <w:right w:val="none" w:sz="0" w:space="0" w:color="auto"/>
      </w:divBdr>
    </w:div>
    <w:div w:id="1062560756">
      <w:bodyDiv w:val="1"/>
      <w:marLeft w:val="0"/>
      <w:marRight w:val="0"/>
      <w:marTop w:val="0"/>
      <w:marBottom w:val="0"/>
      <w:divBdr>
        <w:top w:val="none" w:sz="0" w:space="0" w:color="auto"/>
        <w:left w:val="none" w:sz="0" w:space="0" w:color="auto"/>
        <w:bottom w:val="none" w:sz="0" w:space="0" w:color="auto"/>
        <w:right w:val="none" w:sz="0" w:space="0" w:color="auto"/>
      </w:divBdr>
    </w:div>
    <w:div w:id="1079595701">
      <w:bodyDiv w:val="1"/>
      <w:marLeft w:val="0"/>
      <w:marRight w:val="0"/>
      <w:marTop w:val="0"/>
      <w:marBottom w:val="0"/>
      <w:divBdr>
        <w:top w:val="none" w:sz="0" w:space="0" w:color="auto"/>
        <w:left w:val="none" w:sz="0" w:space="0" w:color="auto"/>
        <w:bottom w:val="none" w:sz="0" w:space="0" w:color="auto"/>
        <w:right w:val="none" w:sz="0" w:space="0" w:color="auto"/>
      </w:divBdr>
    </w:div>
    <w:div w:id="1155802540">
      <w:bodyDiv w:val="1"/>
      <w:marLeft w:val="0"/>
      <w:marRight w:val="0"/>
      <w:marTop w:val="0"/>
      <w:marBottom w:val="0"/>
      <w:divBdr>
        <w:top w:val="none" w:sz="0" w:space="0" w:color="auto"/>
        <w:left w:val="none" w:sz="0" w:space="0" w:color="auto"/>
        <w:bottom w:val="none" w:sz="0" w:space="0" w:color="auto"/>
        <w:right w:val="none" w:sz="0" w:space="0" w:color="auto"/>
      </w:divBdr>
    </w:div>
    <w:div w:id="1224364520">
      <w:bodyDiv w:val="1"/>
      <w:marLeft w:val="0"/>
      <w:marRight w:val="0"/>
      <w:marTop w:val="0"/>
      <w:marBottom w:val="0"/>
      <w:divBdr>
        <w:top w:val="none" w:sz="0" w:space="0" w:color="auto"/>
        <w:left w:val="none" w:sz="0" w:space="0" w:color="auto"/>
        <w:bottom w:val="none" w:sz="0" w:space="0" w:color="auto"/>
        <w:right w:val="none" w:sz="0" w:space="0" w:color="auto"/>
      </w:divBdr>
    </w:div>
    <w:div w:id="1279609267">
      <w:bodyDiv w:val="1"/>
      <w:marLeft w:val="0"/>
      <w:marRight w:val="0"/>
      <w:marTop w:val="0"/>
      <w:marBottom w:val="0"/>
      <w:divBdr>
        <w:top w:val="none" w:sz="0" w:space="0" w:color="auto"/>
        <w:left w:val="none" w:sz="0" w:space="0" w:color="auto"/>
        <w:bottom w:val="none" w:sz="0" w:space="0" w:color="auto"/>
        <w:right w:val="none" w:sz="0" w:space="0" w:color="auto"/>
      </w:divBdr>
    </w:div>
    <w:div w:id="1292706331">
      <w:bodyDiv w:val="1"/>
      <w:marLeft w:val="0"/>
      <w:marRight w:val="0"/>
      <w:marTop w:val="0"/>
      <w:marBottom w:val="0"/>
      <w:divBdr>
        <w:top w:val="none" w:sz="0" w:space="0" w:color="auto"/>
        <w:left w:val="none" w:sz="0" w:space="0" w:color="auto"/>
        <w:bottom w:val="none" w:sz="0" w:space="0" w:color="auto"/>
        <w:right w:val="none" w:sz="0" w:space="0" w:color="auto"/>
      </w:divBdr>
    </w:div>
    <w:div w:id="1447307609">
      <w:bodyDiv w:val="1"/>
      <w:marLeft w:val="0"/>
      <w:marRight w:val="0"/>
      <w:marTop w:val="0"/>
      <w:marBottom w:val="0"/>
      <w:divBdr>
        <w:top w:val="none" w:sz="0" w:space="0" w:color="auto"/>
        <w:left w:val="none" w:sz="0" w:space="0" w:color="auto"/>
        <w:bottom w:val="none" w:sz="0" w:space="0" w:color="auto"/>
        <w:right w:val="none" w:sz="0" w:space="0" w:color="auto"/>
      </w:divBdr>
    </w:div>
    <w:div w:id="1455324362">
      <w:bodyDiv w:val="1"/>
      <w:marLeft w:val="0"/>
      <w:marRight w:val="0"/>
      <w:marTop w:val="0"/>
      <w:marBottom w:val="0"/>
      <w:divBdr>
        <w:top w:val="none" w:sz="0" w:space="0" w:color="auto"/>
        <w:left w:val="none" w:sz="0" w:space="0" w:color="auto"/>
        <w:bottom w:val="none" w:sz="0" w:space="0" w:color="auto"/>
        <w:right w:val="none" w:sz="0" w:space="0" w:color="auto"/>
      </w:divBdr>
    </w:div>
    <w:div w:id="1513953089">
      <w:bodyDiv w:val="1"/>
      <w:marLeft w:val="0"/>
      <w:marRight w:val="0"/>
      <w:marTop w:val="0"/>
      <w:marBottom w:val="0"/>
      <w:divBdr>
        <w:top w:val="none" w:sz="0" w:space="0" w:color="auto"/>
        <w:left w:val="none" w:sz="0" w:space="0" w:color="auto"/>
        <w:bottom w:val="none" w:sz="0" w:space="0" w:color="auto"/>
        <w:right w:val="none" w:sz="0" w:space="0" w:color="auto"/>
      </w:divBdr>
    </w:div>
    <w:div w:id="1518276698">
      <w:bodyDiv w:val="1"/>
      <w:marLeft w:val="0"/>
      <w:marRight w:val="0"/>
      <w:marTop w:val="0"/>
      <w:marBottom w:val="0"/>
      <w:divBdr>
        <w:top w:val="none" w:sz="0" w:space="0" w:color="auto"/>
        <w:left w:val="none" w:sz="0" w:space="0" w:color="auto"/>
        <w:bottom w:val="none" w:sz="0" w:space="0" w:color="auto"/>
        <w:right w:val="none" w:sz="0" w:space="0" w:color="auto"/>
      </w:divBdr>
    </w:div>
    <w:div w:id="1590769523">
      <w:bodyDiv w:val="1"/>
      <w:marLeft w:val="0"/>
      <w:marRight w:val="0"/>
      <w:marTop w:val="0"/>
      <w:marBottom w:val="0"/>
      <w:divBdr>
        <w:top w:val="none" w:sz="0" w:space="0" w:color="auto"/>
        <w:left w:val="none" w:sz="0" w:space="0" w:color="auto"/>
        <w:bottom w:val="none" w:sz="0" w:space="0" w:color="auto"/>
        <w:right w:val="none" w:sz="0" w:space="0" w:color="auto"/>
      </w:divBdr>
    </w:div>
    <w:div w:id="1601838457">
      <w:bodyDiv w:val="1"/>
      <w:marLeft w:val="0"/>
      <w:marRight w:val="0"/>
      <w:marTop w:val="0"/>
      <w:marBottom w:val="0"/>
      <w:divBdr>
        <w:top w:val="none" w:sz="0" w:space="0" w:color="auto"/>
        <w:left w:val="none" w:sz="0" w:space="0" w:color="auto"/>
        <w:bottom w:val="none" w:sz="0" w:space="0" w:color="auto"/>
        <w:right w:val="none" w:sz="0" w:space="0" w:color="auto"/>
      </w:divBdr>
    </w:div>
    <w:div w:id="1674186727">
      <w:bodyDiv w:val="1"/>
      <w:marLeft w:val="0"/>
      <w:marRight w:val="0"/>
      <w:marTop w:val="0"/>
      <w:marBottom w:val="0"/>
      <w:divBdr>
        <w:top w:val="none" w:sz="0" w:space="0" w:color="auto"/>
        <w:left w:val="none" w:sz="0" w:space="0" w:color="auto"/>
        <w:bottom w:val="none" w:sz="0" w:space="0" w:color="auto"/>
        <w:right w:val="none" w:sz="0" w:space="0" w:color="auto"/>
      </w:divBdr>
    </w:div>
    <w:div w:id="1690837383">
      <w:bodyDiv w:val="1"/>
      <w:marLeft w:val="0"/>
      <w:marRight w:val="0"/>
      <w:marTop w:val="0"/>
      <w:marBottom w:val="0"/>
      <w:divBdr>
        <w:top w:val="none" w:sz="0" w:space="0" w:color="auto"/>
        <w:left w:val="none" w:sz="0" w:space="0" w:color="auto"/>
        <w:bottom w:val="none" w:sz="0" w:space="0" w:color="auto"/>
        <w:right w:val="none" w:sz="0" w:space="0" w:color="auto"/>
      </w:divBdr>
    </w:div>
    <w:div w:id="1832023003">
      <w:bodyDiv w:val="1"/>
      <w:marLeft w:val="0"/>
      <w:marRight w:val="0"/>
      <w:marTop w:val="0"/>
      <w:marBottom w:val="0"/>
      <w:divBdr>
        <w:top w:val="none" w:sz="0" w:space="0" w:color="auto"/>
        <w:left w:val="none" w:sz="0" w:space="0" w:color="auto"/>
        <w:bottom w:val="none" w:sz="0" w:space="0" w:color="auto"/>
        <w:right w:val="none" w:sz="0" w:space="0" w:color="auto"/>
      </w:divBdr>
    </w:div>
    <w:div w:id="1880362254">
      <w:bodyDiv w:val="1"/>
      <w:marLeft w:val="0"/>
      <w:marRight w:val="0"/>
      <w:marTop w:val="0"/>
      <w:marBottom w:val="0"/>
      <w:divBdr>
        <w:top w:val="none" w:sz="0" w:space="0" w:color="auto"/>
        <w:left w:val="none" w:sz="0" w:space="0" w:color="auto"/>
        <w:bottom w:val="none" w:sz="0" w:space="0" w:color="auto"/>
        <w:right w:val="none" w:sz="0" w:space="0" w:color="auto"/>
      </w:divBdr>
    </w:div>
    <w:div w:id="192013972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hyperlink" Target="https://www.canada.ca/en/department-finance/programs/international-trade-finance-policy/canadas-response-us-tariffs/complete-list-us-products-subject-to-counter-tariffs.html" TargetMode="External"/><Relationship Id="rId21" Type="http://schemas.openxmlformats.org/officeDocument/2006/relationships/image" Target="media/image15.png"/><Relationship Id="rId34" Type="http://schemas.openxmlformats.org/officeDocument/2006/relationships/header" Target="header3.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yperlink" Target="https://www.canada.ca/en/department-finance/programs/international-trade-finance-policy/measures-steel-aluminum-businesses/countermeasures-response-unjustified-tariffs-canadian-steel-aluminum-products.html" TargetMode="External"/><Relationship Id="rId33" Type="http://schemas.openxmlformats.org/officeDocument/2006/relationships/footer" Target="footer2.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hyperlink" Target="https://econofact.org/the-impact-of-the-trade-war-on-canada"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footer" Target="footer1.xml"/><Relationship Id="rId37"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hyperlink" Target="https://www150.statcan.gc.ca/n1/pub/71-607-x/2018011/tdo-dce-eng.htm" TargetMode="External"/><Relationship Id="rId36"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hyperlink" Target="https://dataweb.usitc.gov/" TargetMode="External"/><Relationship Id="rId30" Type="http://schemas.openxmlformats.org/officeDocument/2006/relationships/header" Target="header1.xml"/><Relationship Id="rId35" Type="http://schemas.openxmlformats.org/officeDocument/2006/relationships/footer" Target="footer3.xml"/><Relationship Id="rId8" Type="http://schemas.openxmlformats.org/officeDocument/2006/relationships/image" Target="media/image2.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508</TotalTime>
  <Pages>39</Pages>
  <Words>7740</Words>
  <Characters>45052</Characters>
  <Application>Microsoft Office Word</Application>
  <DocSecurity>0</DocSecurity>
  <Lines>703</Lines>
  <Paragraphs>175</Paragraphs>
  <ScaleCrop>false</ScaleCrop>
  <Company/>
  <LinksUpToDate>false</LinksUpToDate>
  <CharactersWithSpaces>52617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Alex Vollen</dc:creator>
  <cp:lastModifiedBy>Alex Vollen</cp:lastModifiedBy>
  <cp:revision>172</cp:revision>
  <dcterms:created xsi:type="dcterms:W3CDTF">2026-03-29T22:56:00Z</dcterms:created>
  <dcterms:modified xsi:type="dcterms:W3CDTF">2026-04-03T03:41:00Z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85d99897f8c3c4439f833dfab371597b8a05189a3fdbc63936b603f003d66532</vt:lpwstr>
  </property>
</Properties>
</file>