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blauf-bei-einem-unfall"/>
    <w:p>
      <w:pPr>
        <w:pStyle w:val="Heading1"/>
      </w:pPr>
      <w:r>
        <w:t xml:space="preserve">Ablauf bei einem Unfall</w:t>
      </w:r>
    </w:p>
    <w:p>
      <w:pPr>
        <w:pStyle w:val="FirstParagraph"/>
      </w:pPr>
      <w:r>
        <w:t xml:space="preserve">Diese Seite ausdrucken und in den Baucontainer hängen. Formulare:</w:t>
      </w:r>
      <w:r>
        <w:t xml:space="preserve"> </w:t>
      </w:r>
      <w:r>
        <w:rPr>
          <w:rStyle w:val="VerbatimChar"/>
        </w:rPr>
        <w:t xml:space="preserve">Vorlagen/Unfall-Erfassungsbogen.md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Vorlagen/Verbandbuch.md</w:t>
      </w:r>
      <w:r>
        <w:t xml:space="preserve">.</w:t>
      </w:r>
    </w:p>
    <w:bookmarkStart w:id="20" w:name="sofort-an-der-unfallstelle-minuten"/>
    <w:p>
      <w:pPr>
        <w:pStyle w:val="Heading2"/>
      </w:pPr>
      <w:r>
        <w:t xml:space="preserve">1. Sofort an der Unfallstelle (Minuten)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Ruhe bewahren, Eigenschutz.</w:t>
      </w:r>
      <w:r>
        <w:t xml:space="preserve"> </w:t>
      </w:r>
      <w:r>
        <w:t xml:space="preserve">Maschinen abschalten, Strom aus, Gefahrenbereich absichern (Absperrband, Warnposten).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Notruf 112</w:t>
      </w:r>
      <w:r>
        <w:t xml:space="preserve">, wenn nötig. Durchsagen: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Wo</w:t>
      </w:r>
      <w:r>
        <w:t xml:space="preserve"> </w:t>
      </w:r>
      <w:r>
        <w:t xml:space="preserve">ist es passiert? (Adresse, Zufahrt, Treffpunkt am Bauzaun)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Was</w:t>
      </w:r>
      <w:r>
        <w:t xml:space="preserve"> </w:t>
      </w:r>
      <w:r>
        <w:t xml:space="preserve">ist passiert? (Sturz, Quetschung, Stromschlag …)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Wie viele</w:t>
      </w:r>
      <w:r>
        <w:t xml:space="preserve"> </w:t>
      </w:r>
      <w:r>
        <w:t xml:space="preserve">Verletzte?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Welche</w:t>
      </w:r>
      <w:r>
        <w:t xml:space="preserve"> </w:t>
      </w:r>
      <w:r>
        <w:t xml:space="preserve">Verletzungen?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Warten</w:t>
      </w:r>
      <w:r>
        <w:t xml:space="preserve"> </w:t>
      </w:r>
      <w:r>
        <w:t xml:space="preserve">auf Rückfragen, nicht selbst auflegen.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Erste Hilfe</w:t>
      </w:r>
      <w:r>
        <w:t xml:space="preserve"> </w:t>
      </w:r>
      <w:r>
        <w:t xml:space="preserve">durch Ersthelfer. Verbandkasten, ggf. Defibrillator (AED).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Rettungsdienst einweisen:</w:t>
      </w:r>
      <w:r>
        <w:t xml:space="preserve"> </w:t>
      </w:r>
      <w:r>
        <w:t xml:space="preserve">eine Person an die Zufahrt schicken, Tor öffnen, Weg frei machen.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Unfallstelle unverändert lassen</w:t>
      </w:r>
      <w:r>
        <w:t xml:space="preserve">, soweit die Rettung es zulässt (Fotos machen, bevor etwas verändert wird).</w:t>
      </w:r>
    </w:p>
    <w:bookmarkEnd w:id="20"/>
    <w:bookmarkStart w:id="21" w:name="innerhalb-der-ersten-stunde"/>
    <w:p>
      <w:pPr>
        <w:pStyle w:val="Heading2"/>
      </w:pPr>
      <w:r>
        <w:t xml:space="preserve">2. Innerhalb der ersten Stunde</w:t>
      </w:r>
    </w:p>
    <w:p>
      <w:pPr>
        <w:numPr>
          <w:ilvl w:val="0"/>
          <w:numId w:val="1003"/>
        </w:numPr>
        <w:pStyle w:val="Compact"/>
      </w:pPr>
      <w:r>
        <w:t xml:space="preserve">Vorgesetzte / Unternehmer informieren.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Tödlicher, schwerer oder Massenunfall:</w:t>
      </w:r>
      <w:r>
        <w:t xml:space="preserve"> </w:t>
      </w:r>
      <w:r>
        <w:t xml:space="preserve">sofort telefonisch</w:t>
      </w:r>
      <w:r>
        <w:t xml:space="preserve"> </w:t>
      </w:r>
      <w:r>
        <w:rPr>
          <w:bCs/>
          <w:b/>
        </w:rPr>
        <w:t xml:space="preserve">BG BAU</w:t>
      </w:r>
      <w:r>
        <w:t xml:space="preserve"> </w:t>
      </w:r>
      <w:r>
        <w:t xml:space="preserve">und</w:t>
      </w:r>
      <w:r>
        <w:t xml:space="preserve"> </w:t>
      </w:r>
      <w:r>
        <w:rPr>
          <w:bCs/>
          <w:b/>
        </w:rPr>
        <w:t xml:space="preserve">Arbeitsschutzbehörde</w:t>
      </w:r>
      <w:r>
        <w:t xml:space="preserve"> </w:t>
      </w:r>
      <w:r>
        <w:t xml:space="preserve">informieren; bei Todesfall</w:t>
      </w:r>
      <w:r>
        <w:t xml:space="preserve"> </w:t>
      </w:r>
      <w:r>
        <w:rPr>
          <w:bCs/>
          <w:b/>
        </w:rPr>
        <w:t xml:space="preserve">Polizei</w:t>
      </w:r>
      <w:r>
        <w:t xml:space="preserve">. Nichts verändern bis zur Freigabe. (WISSEN UNF-05)</w:t>
      </w:r>
    </w:p>
    <w:p>
      <w:pPr>
        <w:numPr>
          <w:ilvl w:val="0"/>
          <w:numId w:val="1003"/>
        </w:numPr>
        <w:pStyle w:val="Compact"/>
      </w:pPr>
      <w:r>
        <w:t xml:space="preserve">Zeugen notieren (Name, Telefon), Fotos von Unfallstelle, Gerät, Umgebung, Wetter.</w:t>
      </w:r>
    </w:p>
    <w:p>
      <w:pPr>
        <w:numPr>
          <w:ilvl w:val="0"/>
          <w:numId w:val="1003"/>
        </w:numPr>
        <w:pStyle w:val="Compact"/>
      </w:pPr>
      <w:r>
        <w:t xml:space="preserve">Angehörige: benachrichtigt der Unternehmer bzw. bei Todesfall die Polizei.</w:t>
      </w:r>
    </w:p>
    <w:bookmarkEnd w:id="21"/>
    <w:bookmarkStart w:id="22" w:name="am-selben-tag"/>
    <w:p>
      <w:pPr>
        <w:pStyle w:val="Heading2"/>
      </w:pPr>
      <w:r>
        <w:t xml:space="preserve">3. Am selben Tag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Verbandbuch-Eintrag</w:t>
      </w:r>
      <w:r>
        <w:t xml:space="preserve"> </w:t>
      </w:r>
      <w:r>
        <w:t xml:space="preserve">– bei JEDER Erste-Hilfe-Leistung, auch bei Kleinigkeiten. (UNF-09)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Unfall-Erfassungsbogen</w:t>
      </w:r>
      <w:r>
        <w:t xml:space="preserve"> </w:t>
      </w:r>
      <w:r>
        <w:t xml:space="preserve">ausfüllen (sammelt alle Angaben für die Unfallanzeige).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Durchgangsarzt (D-Arzt):</w:t>
      </w:r>
      <w:r>
        <w:t xml:space="preserve"> </w:t>
      </w:r>
      <w:r>
        <w:t xml:space="preserve">Verletzten vorstellen, wenn (UNF-08)</w:t>
      </w:r>
    </w:p>
    <w:p>
      <w:pPr>
        <w:numPr>
          <w:ilvl w:val="1"/>
          <w:numId w:val="1005"/>
        </w:numPr>
        <w:pStyle w:val="Compact"/>
      </w:pPr>
      <w:r>
        <w:t xml:space="preserve">Arbeitsunfähigkeit über den Unfalltag hinaus, oder</w:t>
      </w:r>
    </w:p>
    <w:p>
      <w:pPr>
        <w:numPr>
          <w:ilvl w:val="1"/>
          <w:numId w:val="1005"/>
        </w:numPr>
        <w:pStyle w:val="Compact"/>
      </w:pPr>
      <w:r>
        <w:t xml:space="preserve">Behandlung voraussichtlich länger als 1 Woche, oder</w:t>
      </w:r>
    </w:p>
    <w:p>
      <w:pPr>
        <w:numPr>
          <w:ilvl w:val="1"/>
          <w:numId w:val="1005"/>
        </w:numPr>
        <w:pStyle w:val="Compact"/>
      </w:pPr>
      <w:r>
        <w:t xml:space="preserve">Heil- oder Hilfsmittel nötig (Physiotherapie, Gehstützen …), oder</w:t>
      </w:r>
    </w:p>
    <w:p>
      <w:pPr>
        <w:numPr>
          <w:ilvl w:val="1"/>
          <w:numId w:val="1005"/>
        </w:numPr>
        <w:pStyle w:val="Compact"/>
      </w:pPr>
      <w:r>
        <w:t xml:space="preserve">Wiedererkrankung nach früherem Unfall.</w:t>
      </w:r>
    </w:p>
    <w:p>
      <w:pPr>
        <w:numPr>
          <w:ilvl w:val="1"/>
          <w:numId w:val="1005"/>
        </w:numPr>
        <w:pStyle w:val="Compact"/>
      </w:pPr>
      <w:r>
        <w:t xml:space="preserve">Augen- und HNO-Verletzungen direkt zum Augen- bzw. HNO-Arzt.</w:t>
      </w:r>
    </w:p>
    <w:p>
      <w:pPr>
        <w:numPr>
          <w:ilvl w:val="0"/>
          <w:numId w:val="1004"/>
        </w:numPr>
        <w:pStyle w:val="Compact"/>
      </w:pPr>
      <w:r>
        <w:t xml:space="preserve">Beim Arzt immer sagen:</w:t>
      </w:r>
      <w:r>
        <w:t xml:space="preserve"> </w:t>
      </w:r>
      <w:r>
        <w:rPr>
          <w:bCs/>
          <w:b/>
        </w:rPr>
        <w:t xml:space="preserve">„Arbeitsunfall“</w:t>
      </w:r>
      <w:r>
        <w:t xml:space="preserve"> </w:t>
      </w:r>
      <w:r>
        <w:t xml:space="preserve">– Kostenträger ist die BG, nicht die Krankenkasse.</w:t>
      </w:r>
    </w:p>
    <w:bookmarkEnd w:id="22"/>
    <w:bookmarkStart w:id="23" w:name="innerhalb-von-3-tagen"/>
    <w:p>
      <w:pPr>
        <w:pStyle w:val="Heading2"/>
      </w:pPr>
      <w:r>
        <w:t xml:space="preserve">4. Innerhalb von 3 Tagen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Unfallanzeige an die BG BAU</w:t>
      </w:r>
      <w:r>
        <w:t xml:space="preserve">, wenn der Verletzte</w:t>
      </w:r>
      <w:r>
        <w:t xml:space="preserve"> </w:t>
      </w:r>
      <w:r>
        <w:rPr>
          <w:bCs/>
          <w:b/>
        </w:rPr>
        <w:t xml:space="preserve">mehr als 3 Tage</w:t>
      </w:r>
      <w:r>
        <w:t xml:space="preserve"> </w:t>
      </w:r>
      <w:r>
        <w:t xml:space="preserve">arbeitsunfähig ist oder verstorben. Frist: 3 Tage ab Kenntnis, der Unfalltag zählt nicht mit. (UNF-03)</w:t>
      </w:r>
    </w:p>
    <w:p>
      <w:pPr>
        <w:numPr>
          <w:ilvl w:val="0"/>
          <w:numId w:val="1006"/>
        </w:numPr>
        <w:pStyle w:val="Compact"/>
      </w:pPr>
      <w:r>
        <w:t xml:space="preserve">Meldeweg: elektronisch über das Serviceportal / den Onlinezugang der BG BAU oder die Lohnsoftware. Papiervordruck nur noch übergangsweise bis 31.12.2027. (UNF-04)</w:t>
      </w:r>
    </w:p>
    <w:p>
      <w:pPr>
        <w:numPr>
          <w:ilvl w:val="0"/>
          <w:numId w:val="1006"/>
        </w:numPr>
        <w:pStyle w:val="Compact"/>
      </w:pPr>
      <w:r>
        <w:t xml:space="preserve">Betriebsrat unterschreibt mit (falls vorhanden). Verletzten auf sein Recht auf eine Kopie hinweisen. (UNF-07)</w:t>
      </w:r>
    </w:p>
    <w:p>
      <w:pPr>
        <w:numPr>
          <w:ilvl w:val="0"/>
          <w:numId w:val="1006"/>
        </w:numPr>
        <w:pStyle w:val="Compact"/>
      </w:pPr>
      <w:r>
        <w:t xml:space="preserve">Kopie an die Arbeitsschutzbehörde (UNF-06) – prüfen, ob das elektronische Verfahren das schon erledigt.</w:t>
      </w:r>
    </w:p>
    <w:p>
      <w:pPr>
        <w:numPr>
          <w:ilvl w:val="0"/>
          <w:numId w:val="1006"/>
        </w:numPr>
        <w:pStyle w:val="Compact"/>
      </w:pPr>
      <w:r>
        <w:t xml:space="preserve">Wegeunfälle genauso melden. (UNF-10)</w:t>
      </w:r>
    </w:p>
    <w:bookmarkEnd w:id="23"/>
    <w:bookmarkStart w:id="24" w:name="danach-innerhalb-einer-woche"/>
    <w:p>
      <w:pPr>
        <w:pStyle w:val="Heading2"/>
      </w:pPr>
      <w:r>
        <w:t xml:space="preserve">5. Danach (innerhalb einer Woche)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Ursachenanalyse:</w:t>
      </w:r>
      <w:r>
        <w:t xml:space="preserve"> </w:t>
      </w:r>
      <w:r>
        <w:t xml:space="preserve">Was war technisch, organisatorisch, persönlich die Ursache? (T-O-P)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Maßnahmen</w:t>
      </w:r>
      <w:r>
        <w:t xml:space="preserve"> </w:t>
      </w:r>
      <w:r>
        <w:t xml:space="preserve">festlegen und umsetzen, Verantwortlichen + Termin festlegen.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Gefährdungsbeurteilung fortschreiben.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Unterweisung</w:t>
      </w:r>
      <w:r>
        <w:t xml:space="preserve"> </w:t>
      </w:r>
      <w:r>
        <w:t xml:space="preserve">der Kolonne zum Unfallhergang, dokumentiert.</w:t>
      </w:r>
    </w:p>
    <w:p>
      <w:pPr>
        <w:numPr>
          <w:ilvl w:val="0"/>
          <w:numId w:val="1007"/>
        </w:numPr>
        <w:pStyle w:val="Compact"/>
      </w:pPr>
      <w:r>
        <w:t xml:space="preserve">Bei belastenden Ereignissen: BG BAU nach psychologischer Erstbetreuung fragen. (UNF-14)</w:t>
      </w:r>
    </w:p>
    <w:p>
      <w:pPr>
        <w:numPr>
          <w:ilvl w:val="0"/>
          <w:numId w:val="1007"/>
        </w:numPr>
        <w:pStyle w:val="Compact"/>
      </w:pPr>
      <w:r>
        <w:t xml:space="preserve">Beinahe-Unfälle genauso auswerten (</w:t>
      </w:r>
      <w:r>
        <w:rPr>
          <w:rStyle w:val="VerbatimChar"/>
        </w:rPr>
        <w:t xml:space="preserve">Vorlagen/Beinahe-Unfall_Meldung.md</w:t>
      </w:r>
      <w:r>
        <w:t xml:space="preserve">). (UNF-12)</w:t>
      </w:r>
    </w:p>
    <w:bookmarkEnd w:id="24"/>
    <w:bookmarkStart w:id="25" w:name="merksatz"/>
    <w:p>
      <w:pPr>
        <w:pStyle w:val="Heading2"/>
      </w:pPr>
      <w:r>
        <w:t xml:space="preserve">Merksatz</w:t>
      </w:r>
    </w:p>
    <w:p>
      <w:pPr>
        <w:pStyle w:val="BlockText"/>
      </w:pPr>
      <w:r>
        <w:rPr>
          <w:bCs/>
          <w:b/>
        </w:rPr>
        <w:t xml:space="preserve">Absichern – Notruf – Erste Hilfe – Einweisen – Melden – Dokumentieren – Ursache abstellen.</w:t>
      </w:r>
    </w:p>
    <w:bookmarkEnd w:id="25"/>
    <w:bookmarkEnd w:id="26"/>
    <w:sectPr>
      <w:pgSz w:w="11906" w:h="16838"/>
      <w:pgMar w:left="1020" w:right="1020" w:top="850" w:bottom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color w:val="23282C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2026-10-27T11:57:40Z</dcterms:created>
  <dcterms:modified xsi:type="dcterms:W3CDTF">2026-10-27T11:57:40Z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