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rlaubnisschein-für-heißarbeiten"/>
    <w:p>
      <w:pPr>
        <w:pStyle w:val="Heading1"/>
      </w:pPr>
      <w:r>
        <w:t xml:space="preserve">Erlaubnisschein für Heißarbeiten</w:t>
      </w:r>
    </w:p>
    <w:p>
      <w:pPr>
        <w:pStyle w:val="FirstParagraph"/>
      </w:pPr>
      <w:r>
        <w:rPr>
          <w:iCs/>
          <w:i/>
        </w:rPr>
        <w:t xml:space="preserve">Schweißen, Schneiden, Trennschleifen, Löten, Brennen, Bitumen-/Flämmarbeiten außerhalb dafür eingerichteter Bereiche (DGUV R 100-500 Kap. 2.26, VdS 2008). Vor Beginn ausfüllen und unterschreiben.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Baustelle, Gebäude, Raum/Bereich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Art der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Schweißen ☐ Schneiden ☐ Trennschleifen ☐ Löten ☐ Flämmen/Bitumen ☐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Datum, von – bis (Uhrzeit)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Ausführende Person(en) / Firma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Brandwache (Name)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Xd3b23f06e6ef1e11fa0ffa02d7b960525813fc1"/>
    <w:p>
      <w:pPr>
        <w:pStyle w:val="Heading2"/>
      </w:pPr>
      <w:r>
        <w:t xml:space="preserve">Brandgefahren im Umkreis (Funkenflug bis ca. 10 m, auch durch Öffnungen und Fugen in andere Räume)</w:t>
      </w:r>
    </w:p>
    <w:p>
      <w:pPr>
        <w:numPr>
          <w:ilvl w:val="0"/>
          <w:numId w:val="1001"/>
        </w:numPr>
        <w:pStyle w:val="Compact"/>
      </w:pPr>
      <w:r>
        <w:t xml:space="preserve">☐ brennbare Stoffe/Bauteile ☐ Dämmstoffe ☐ Holzkonstruktionen ☐ Staub ☐ Gase/Dämpfe ☐ Leitungen/Kabel ☐ Hohlräume</w:t>
      </w:r>
    </w:p>
    <w:bookmarkEnd w:id="20"/>
    <w:bookmarkStart w:id="21" w:name="sicherheitsmaßnahmen-vor-beginn"/>
    <w:p>
      <w:pPr>
        <w:pStyle w:val="Heading2"/>
      </w:pPr>
      <w:r>
        <w:t xml:space="preserve">Sicherheitsmaßnahmen vor Beginn</w:t>
      </w:r>
    </w:p>
    <w:p>
      <w:pPr>
        <w:numPr>
          <w:ilvl w:val="0"/>
          <w:numId w:val="1002"/>
        </w:numPr>
        <w:pStyle w:val="Compact"/>
      </w:pPr>
      <w:r>
        <w:t xml:space="preserve">☐ Bewegliche brennbare Stoffe entfernt (Umkreis ____ m)</w:t>
      </w:r>
    </w:p>
    <w:p>
      <w:pPr>
        <w:numPr>
          <w:ilvl w:val="0"/>
          <w:numId w:val="1002"/>
        </w:numPr>
        <w:pStyle w:val="Compact"/>
      </w:pPr>
      <w:r>
        <w:t xml:space="preserve">☐ Unbewegliche brennbare Teile abgedeckt (nicht brennbare Abdeckung, nass gehalten)</w:t>
      </w:r>
    </w:p>
    <w:p>
      <w:pPr>
        <w:numPr>
          <w:ilvl w:val="0"/>
          <w:numId w:val="1002"/>
        </w:numPr>
        <w:pStyle w:val="Compact"/>
      </w:pPr>
      <w:r>
        <w:t xml:space="preserve">☐ Öffnungen, Fugen, Durchbrüche abgedichtet</w:t>
      </w:r>
    </w:p>
    <w:p>
      <w:pPr>
        <w:numPr>
          <w:ilvl w:val="0"/>
          <w:numId w:val="1002"/>
        </w:numPr>
        <w:pStyle w:val="Compact"/>
      </w:pPr>
      <w:r>
        <w:t xml:space="preserve">☐ Explosionsfähige Atmosphäre ausgeschlossen (ggf. gemessen)</w:t>
      </w:r>
    </w:p>
    <w:p>
      <w:pPr>
        <w:numPr>
          <w:ilvl w:val="0"/>
          <w:numId w:val="1002"/>
        </w:numPr>
        <w:pStyle w:val="Compact"/>
      </w:pPr>
      <w:r>
        <w:t xml:space="preserve">☐ Rauchmelder/Brandmeldeanlage berücksichtigt (Abschaltung nur nach Absprache!)</w:t>
      </w:r>
    </w:p>
    <w:p>
      <w:pPr>
        <w:numPr>
          <w:ilvl w:val="0"/>
          <w:numId w:val="1002"/>
        </w:numPr>
        <w:pStyle w:val="Compact"/>
      </w:pPr>
      <w:r>
        <w:t xml:space="preserve">☐ Feuerlöscher bereit: Art ________ Anzahl ____</w:t>
      </w:r>
    </w:p>
    <w:p>
      <w:pPr>
        <w:numPr>
          <w:ilvl w:val="0"/>
          <w:numId w:val="1002"/>
        </w:numPr>
        <w:pStyle w:val="Compact"/>
      </w:pPr>
      <w:r>
        <w:t xml:space="preserve">☐ Wassereimer/Löschdecke bereit</w:t>
      </w:r>
    </w:p>
    <w:p>
      <w:pPr>
        <w:numPr>
          <w:ilvl w:val="0"/>
          <w:numId w:val="1002"/>
        </w:numPr>
        <w:pStyle w:val="Compact"/>
      </w:pPr>
      <w:r>
        <w:t xml:space="preserve">☐ Fluchtweg und Notruf bekannt</w:t>
      </w:r>
    </w:p>
    <w:bookmarkEnd w:id="21"/>
    <w:bookmarkStart w:id="22" w:name="während-und-nach-der-arbeit"/>
    <w:p>
      <w:pPr>
        <w:pStyle w:val="Heading2"/>
      </w:pPr>
      <w:r>
        <w:t xml:space="preserve">Während und nach der Arbeit</w:t>
      </w:r>
    </w:p>
    <w:p>
      <w:pPr>
        <w:numPr>
          <w:ilvl w:val="0"/>
          <w:numId w:val="1003"/>
        </w:numPr>
        <w:pStyle w:val="Compact"/>
      </w:pPr>
      <w:r>
        <w:t xml:space="preserve">☐ Brandwache während der gesamten Arbeit anwesend</w:t>
      </w:r>
    </w:p>
    <w:p>
      <w:pPr>
        <w:numPr>
          <w:ilvl w:val="0"/>
          <w:numId w:val="1003"/>
        </w:numPr>
        <w:pStyle w:val="Compact"/>
      </w:pPr>
      <w:r>
        <w:t xml:space="preserve">☐ Nachkontrolle nach Ende der Arbeit: um ______ Uhr ☐ um ______ Uhr ☐ um ______ Uhr ☐ (mehrere Stunden; Vorgaben von Versicherer/Bauherr beachten)</w:t>
      </w:r>
    </w:p>
    <w:p>
      <w:pPr>
        <w:numPr>
          <w:ilvl w:val="0"/>
          <w:numId w:val="1003"/>
        </w:numPr>
        <w:pStyle w:val="Compact"/>
      </w:pPr>
      <w:r>
        <w:t xml:space="preserve">☐ Keine Glutnester, keine Wärmeentwicklung festgestellt</w:t>
      </w:r>
    </w:p>
    <w:p>
      <w:pPr>
        <w:pStyle w:val="FirstParagraph"/>
      </w:pPr>
      <w:r>
        <w:t xml:space="preserve">Erlaubnis erteilt: ______________________ (Bauleiter / Auftraggeber)</w:t>
      </w:r>
    </w:p>
    <w:p>
      <w:pPr>
        <w:pStyle w:val="BodyText"/>
      </w:pPr>
      <w:r>
        <w:t xml:space="preserve">Kenntnis genommen: ______________________ (Ausführender) ______________________ (Brandwache)</w:t>
      </w:r>
    </w:p>
    <w:bookmarkEnd w:id="22"/>
    <w:bookmarkEnd w:id="23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