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stundenlohnzettel-15-abs.-3-vobb"/>
    <w:p>
      <w:pPr>
        <w:pStyle w:val="Heading1"/>
      </w:pPr>
      <w:r>
        <w:t xml:space="preserve">Stundenlohnzettel (§15 Abs. 3 VOB/B)</w:t>
      </w:r>
    </w:p>
    <w:p>
      <w:pPr>
        <w:pStyle w:val="FirstParagraph"/>
      </w:pPr>
      <w:r>
        <w:rPr>
          <w:iCs/>
          <w:i/>
        </w:rPr>
        <w:t xml:space="preserve">Stundenlohnarbeiten vor Beginn beim AG anzeigen. Zettel werktäglich oder wöchentlich einreichen; der AG muss sie binnen 6 Werktagen bescheinigt zurückgeben, sonst gelten sie als anerkannt. Stundenlohnrechnung spätestens 4 Wochen nach Abschluss.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6" w:color="555555"/>
          <w:left w:val="single" w:sz="6" w:color="555555"/>
          <w:bottom w:val="single" w:sz="6" w:color="555555"/>
          <w:right w:val="single" w:sz="6" w:color="555555"/>
          <w:insideH w:val="single" w:sz="6" w:color="555555"/>
          <w:insideV w:val="single" w:sz="6" w:color="555555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Feld</w:t>
            </w:r>
          </w:p>
        </w:tc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Eintrag</w:t>
            </w: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Bauvorhaben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Auftraggeber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Stundenlohnarbeiten angeordnet von / am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Zettel-Nr.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Datum der Arbeiten</w:t>
            </w:r>
          </w:p>
        </w:tc>
        <w:tc>
          <w:tcPr/>
          <w:p>
            <w:pPr>
              <w:pStyle w:val="Compact"/>
            </w:pPr>
          </w:p>
        </w:tc>
      </w:tr>
    </w:tbl>
    <w:bookmarkStart w:id="20" w:name="X2d5ed679df0ba66e0a4ac1132dce9776a383447"/>
    <w:p>
      <w:pPr>
        <w:pStyle w:val="Heading2"/>
      </w:pPr>
      <w:r>
        <w:t xml:space="preserve">Ausgeführte Arbeiten (genaue Beschreibung, Ort)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0"/>
    <w:bookmarkStart w:id="21" w:name="lohnstunden"/>
    <w:p>
      <w:pPr>
        <w:pStyle w:val="Heading2"/>
      </w:pPr>
      <w:r>
        <w:t xml:space="preserve">Lohnstunden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6" w:color="555555"/>
          <w:left w:val="single" w:sz="6" w:color="555555"/>
          <w:bottom w:val="single" w:sz="6" w:color="555555"/>
          <w:right w:val="single" w:sz="6" w:color="555555"/>
          <w:insideH w:val="single" w:sz="6" w:color="555555"/>
          <w:insideV w:val="single" w:sz="6" w:color="555555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Name</w:t>
            </w:r>
          </w:p>
        </w:tc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Qualifikation (Polier, Facharbeiter, Helfer)</w:t>
            </w:r>
          </w:p>
        </w:tc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von</w:t>
            </w:r>
          </w:p>
        </w:tc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bis</w:t>
            </w:r>
          </w:p>
        </w:tc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Pause</w:t>
            </w:r>
          </w:p>
        </w:tc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Stunden</w:t>
            </w:r>
          </w:p>
        </w:tc>
      </w:tr>
      <w:tr>
        <w:trPr>
          <w:trHeight w:val="425" w:hRule="atLeast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1"/>
    <w:bookmarkStart w:id="22" w:name="geräte-und-material"/>
    <w:p>
      <w:pPr>
        <w:pStyle w:val="Heading2"/>
      </w:pPr>
      <w:r>
        <w:t xml:space="preserve">Geräte und Material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6" w:color="555555"/>
          <w:left w:val="single" w:sz="6" w:color="555555"/>
          <w:bottom w:val="single" w:sz="6" w:color="555555"/>
          <w:right w:val="single" w:sz="6" w:color="555555"/>
          <w:insideH w:val="single" w:sz="6" w:color="555555"/>
          <w:insideV w:val="single" w:sz="6" w:color="555555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Gerät / Material</w:t>
            </w:r>
          </w:p>
        </w:tc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Menge / Stunden</w:t>
            </w:r>
          </w:p>
        </w:tc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Bemerkung</w:t>
            </w:r>
          </w:p>
        </w:tc>
      </w:tr>
      <w:tr>
        <w:trPr>
          <w:trHeight w:val="425" w:hRule="atLeast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Eingereicht am: ______________ Auftragnehmer: ______________________</w:t>
      </w:r>
    </w:p>
    <w:p>
      <w:pPr>
        <w:pStyle w:val="BodyText"/>
      </w:pPr>
      <w:r>
        <w:t xml:space="preserve">Bescheinigt (Auftraggeber): ______________________ Datum: ______________</w:t>
      </w:r>
    </w:p>
    <w:p>
      <w:pPr>
        <w:pStyle w:val="BodyText"/>
      </w:pPr>
      <w:r>
        <w:rPr>
          <w:iCs/>
          <w:i/>
        </w:rPr>
        <w:t xml:space="preserve">Die Bescheinigung bestätigt Art und Umfang der Arbeiten, nicht automatisch die Vergütungspflicht dem Grunde nach.</w:t>
      </w:r>
    </w:p>
    <w:bookmarkEnd w:id="22"/>
    <w:bookmarkEnd w:id="23"/>
    <w:sectPr>
      <w:pgSz w:w="11906" w:h="16838"/>
      <w:pgMar w:left="1020" w:right="1020" w:top="850" w:bottom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Arial" w:hAnsi="Arial"/>
      <w:b/>
      <w:bCs/>
      <w:color w:val="23282C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2026-10-27T11:57:40Z</dcterms:created>
  <dcterms:modified xsi:type="dcterms:W3CDTF">2026-10-27T11:57:40Z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