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85D2E"/>
        </w:rPr>
        <w:t>Черновик статьи для сайта ar-cars.ru — на согласование</w:t>
      </w:r>
    </w:p>
    <w:p>
      <w:r>
        <w:rPr>
          <w:i/>
          <w:color w:val="6B6F76"/>
        </w:rPr>
        <w:t>Проверьте прежде всего факты: цены, сроки, порядок работы, что ARCars делает и чего не делает. Править можно прямо в тексте в режиме рецензирования (Рецензирование → Исправления) или оставлять комментарии на полях. Ничего не опубликуем, пока текст не согласован.</w:t>
      </w:r>
      <w:r>
        <w:rPr>
          <w:i/>
        </w:rPr>
        <w:t xml:space="preserve"> Объём: около 1090 слов.</w:t>
      </w:r>
    </w:p>
    <w:p>
      <w:pPr>
        <w:pStyle w:val="Title"/>
      </w:pPr>
      <w:r>
        <w:t>Утильсбор на автомобиль: что это, кто платит и как посчитать сумму в 2026 году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Адрес на сайте</w:t>
            </w:r>
          </w:p>
        </w:tc>
        <w:tc>
          <w:tcPr>
            <w:tcW w:type="dxa" w:w="6576"/>
          </w:tcPr>
          <w:p>
            <w:r>
              <w:t>https://ar-cars.ru/blog/chto-takoe-utilsbor-na-avtomobili/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Главный поисковый запрос</w:t>
            </w:r>
          </w:p>
        </w:tc>
        <w:tc>
          <w:tcPr>
            <w:tcW w:type="dxa" w:w="6576"/>
          </w:tcPr>
          <w:p>
            <w:r>
              <w:t>что такое утильсбор на автомобили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Заголовок в поиске (title)</w:t>
            </w:r>
          </w:p>
        </w:tc>
        <w:tc>
          <w:tcPr>
            <w:tcW w:type="dxa" w:w="6576"/>
          </w:tcPr>
          <w:p>
            <w:r>
              <w:t>Что такое утильсбор на автомобили и как его рассчитать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Описание в поиске</w:t>
            </w:r>
          </w:p>
        </w:tc>
        <w:tc>
          <w:tcPr>
            <w:tcW w:type="dxa" w:w="6576"/>
          </w:tcPr>
          <w:p>
            <w:r>
              <w:t>Что такое утильсбор на автомобили, кто его платит и как его рассчитать по ставкам 2026 года: формула, льгота до 160 л.с., коэффициенты по мощности и возрасту, пример Kia K3 и Kia Sorento.</w:t>
            </w:r>
          </w:p>
        </w:tc>
      </w:tr>
    </w:tbl>
    <w:p/>
    <w:p>
      <w:r>
        <w:rPr/>
        <w:t>Утильсбор — обязательный платёж за будущую утилизацию машины. Его платит каждый, кто ввозит автомобиль в Россию: и дилер, и частный покупатель. С 1 декабря 2025 года сумма зависит не только от объёма двигателя, но и от мощности. На машине до 160 л.с. физлицо заплатит 3 400 или 5 200 ₽, на машине мощнее — сотни тысяч или миллионы.</w:t>
      </w:r>
    </w:p>
    <w:p>
      <w:pPr>
        <w:pStyle w:val="Heading1"/>
      </w:pPr>
      <w:r>
        <w:rPr/>
        <w:t>Что такое утильсбор</w:t>
      </w:r>
    </w:p>
    <w:p>
      <w:r>
        <w:rPr/>
        <w:t>Утильсбор платят за то, что когда-нибудь машину придётся разобрать и переработать. Это не налог на владение и не налог на сделку. Платит его тот, кто первым ввозит или выпускает машину в России, при перепродаже внутри страны сбор не повторяется.</w:t>
      </w:r>
    </w:p>
    <w:p>
      <w:r>
        <w:rPr/>
        <w:t>Порядок расчёта задаёт постановление правительства № 1291, а действующую формулу — изменения к нему, постановление от 1 ноября 2025 года № 1713. Новые правила работают с 1 декабря 2025 года.</w:t>
      </w:r>
    </w:p>
    <w:p>
      <w:r>
        <w:rPr/>
        <w:t>Утильсбор не заменяет таможенную пошлину. При ввозе это разные платежи, их считают отдельно и складывают.</w:t>
      </w:r>
    </w:p>
    <w:p>
      <w:pPr>
        <w:pStyle w:val="IntenseQuote"/>
      </w:pPr>
      <w:r>
        <w:rPr/>
        <w:t>Утильсбор платят все, кто ввозит машину в Россию. Вопрос не в том, платить или нет, а в том, по какой ставке.</w:t>
      </w:r>
    </w:p>
    <w:p>
      <w:r>
        <w:rPr>
          <w:i/>
          <w:color w:val="6B6F76"/>
        </w:rPr>
        <w:t>[Здесь на сайте будет форма заявки]</w:t>
      </w:r>
    </w:p>
    <w:p>
      <w:pPr>
        <w:pStyle w:val="Heading1"/>
      </w:pPr>
      <w:r>
        <w:rPr/>
        <w:t>Кто платит утильсбор при ввозе автомобиля</w:t>
      </w:r>
    </w:p>
    <w:p>
      <w:r>
        <w:rPr/>
        <w:t>Ставка зависит от того, кто ввозит машину:</w:t>
      </w:r>
    </w:p>
    <w:p>
      <w:pPr>
        <w:pStyle w:val="ListBullet"/>
      </w:pPr>
      <w:r>
        <w:rPr>
          <w:b/>
        </w:rPr>
        <w:t>Компания или ИП</w:t>
      </w:r>
      <w:r>
        <w:rPr/>
        <w:t>, которые ввозят машину на продажу, платят по полной ставке, даже за одну машину.</w:t>
      </w:r>
    </w:p>
    <w:p>
      <w:pPr>
        <w:pStyle w:val="ListBullet"/>
      </w:pPr>
      <w:r>
        <w:rPr>
          <w:b/>
        </w:rPr>
        <w:t>Физлицо</w:t>
      </w:r>
      <w:r>
        <w:rPr/>
        <w:t>, которое ввозит машину для себя, может заплатить по льготной ставке, если машина подходит по мощности.</w:t>
      </w:r>
    </w:p>
    <w:p>
      <w:r>
        <w:rPr/>
        <w:t>При одинаковой машине льготная ставка ниже полной в сотни раз. Поэтому расчёт «для себя» и расчёт «на продажу» — по сути два разных калькулятора.</w:t>
      </w:r>
    </w:p>
    <w:p>
      <w:r>
        <w:rPr/>
        <w:t>Если машину привозят через компанию по подбору, таможенные платежи и утильсбор всё равно платит сам покупатель. В Arcars так и устроено: клиент оплачивает их напрямую в любом банке, а льгота привязана к нему, а не к посреднику.</w:t>
      </w:r>
    </w:p>
    <w:p>
      <w:pPr>
        <w:pStyle w:val="Heading1"/>
      </w:pPr>
      <w:r>
        <w:rPr/>
        <w:t>Правовая основа и подача расчёта</w:t>
      </w:r>
    </w:p>
    <w:p>
      <w:r>
        <w:rPr/>
        <w:t>Ставки и коэффициенты утверждает правительство постановлением, а не закон. Разъяснения по новым правилам для легковых машин ФНС выпустила письмом от 7 ноября 2025 года.</w:t>
      </w:r>
    </w:p>
    <w:p>
      <w:r>
        <w:rPr/>
        <w:t>Расчёт утильсбора подают при таможенном оформлении, до выпуска машины. Если оформлением занимается брокер, расчёт готовит он. Пока сбор не оплачен полностью, машину не выпустят.</w:t>
      </w:r>
    </w:p>
    <w:p>
      <w:pPr>
        <w:pStyle w:val="Heading1"/>
      </w:pPr>
      <w:r>
        <w:rPr/>
        <w:t>Льготная ставка для физлиц</w:t>
      </w:r>
    </w:p>
    <w:p>
      <w:r>
        <w:rPr/>
        <w:t>Льготу получает физлицо, которое ввозит машину для личного пользования. Для машины с бензиновым или дизельным мотором объёмом до 3 литров мощность должна быть не выше 117,68 кВт — это 160 л.с. Для электромобиля порог ниже: 58,84 кВт, около 80 л.с.</w:t>
      </w:r>
    </w:p>
    <w:p>
      <w:r>
        <w:rPr/>
        <w:t>Сумма при льготе: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F2F2F2"/>
          </w:tcPr>
          <w:p>
            <w:r/>
            <w:r>
              <w:rPr>
                <w:b/>
              </w:rPr>
              <w:t>Возраст машины</w:t>
            </w:r>
          </w:p>
        </w:tc>
        <w:tc>
          <w:tcPr>
            <w:tcW w:type="dxa" w:w="3249"/>
            <w:shd w:val="clear" w:color="auto" w:fill="F2F2F2"/>
          </w:tcPr>
          <w:p>
            <w:r/>
            <w:r>
              <w:rPr>
                <w:b/>
              </w:rPr>
              <w:t>Коэффициент</w:t>
            </w:r>
          </w:p>
        </w:tc>
        <w:tc>
          <w:tcPr>
            <w:tcW w:type="dxa" w:w="3249"/>
            <w:shd w:val="clear" w:color="auto" w:fill="F2F2F2"/>
          </w:tcPr>
          <w:p>
            <w:r/>
            <w:r>
              <w:rPr>
                <w:b/>
              </w:rPr>
              <w:t>Утильсбор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До 3 лет</w:t>
            </w:r>
          </w:p>
        </w:tc>
        <w:tc>
          <w:tcPr>
            <w:tcW w:type="dxa" w:w="3249"/>
          </w:tcPr>
          <w:p>
            <w:r/>
            <w:r>
              <w:rPr/>
              <w:t>0,17</w:t>
            </w:r>
          </w:p>
        </w:tc>
        <w:tc>
          <w:tcPr>
            <w:tcW w:type="dxa" w:w="3249"/>
          </w:tcPr>
          <w:p>
            <w:r/>
            <w:r>
              <w:rPr/>
              <w:t>3 400 ₽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Старше 3 лет</w:t>
            </w:r>
          </w:p>
        </w:tc>
        <w:tc>
          <w:tcPr>
            <w:tcW w:type="dxa" w:w="3249"/>
          </w:tcPr>
          <w:p>
            <w:r/>
            <w:r>
              <w:rPr/>
              <w:t>0,26</w:t>
            </w:r>
          </w:p>
        </w:tc>
        <w:tc>
          <w:tcPr>
            <w:tcW w:type="dxa" w:w="3249"/>
          </w:tcPr>
          <w:p>
            <w:r/>
            <w:r>
              <w:rPr/>
              <w:t>5 200 ₽</w:t>
            </w:r>
          </w:p>
        </w:tc>
      </w:tr>
    </w:tbl>
    <w:p/>
    <w:p>
      <w:r>
        <w:rPr/>
        <w:t>У льготы два условия по срокам:</w:t>
      </w:r>
    </w:p>
    <w:p>
      <w:pPr>
        <w:pStyle w:val="ListBullet"/>
      </w:pPr>
      <w:r>
        <w:rPr/>
        <w:t>машину нужно поставить на учёт на себя в течение 12 месяцев с даты таможенного приходного ордера;</w:t>
      </w:r>
    </w:p>
    <w:p>
      <w:pPr>
        <w:pStyle w:val="ListBullet"/>
      </w:pPr>
      <w:r>
        <w:rPr/>
        <w:t>если продать её раньше, чем пройдёт 12 месяцев с этой даты, утильсбор придётся доплатить по полной ставке.</w:t>
      </w:r>
    </w:p>
    <w:p>
      <w:r>
        <w:rPr/>
        <w:t xml:space="preserve">В лимит 160 л.с. укладываются Kia K3, Hyundai Kona, Hyundai Venue и Kia Niro. Какие ещё корейские модели выгодно везти, разобрали в статье </w:t>
      </w:r>
      <w:hyperlink r:id="rId9">
        <w:r>
          <w:rPr>
            <w:color w:val="1F5FBF"/>
            <w:u w:val="single"/>
          </w:rPr>
          <w:t xml:space="preserve">какое авто выгодно привезти из Кореи</w:t>
        </w:r>
      </w:hyperlink>
      <w:r>
        <w:rPr/>
        <w:t>. Смотрите на мощность конкретной версии: у некоторых моделей граница 160 л.с. проходит внутри линейки.</w:t>
      </w:r>
    </w:p>
    <w:p>
      <w:pPr>
        <w:pStyle w:val="Heading1"/>
      </w:pPr>
      <w:r>
        <w:rPr/>
        <w:t>Как считают утильсбор: формула</w:t>
      </w:r>
    </w:p>
    <w:p>
      <w:r>
        <w:rPr/>
        <w:t>Формула одна: базовая ставка × коэффициент. Базовая ставка для легковых машин — 20 000 ₽.</w:t>
      </w:r>
    </w:p>
    <w:p>
      <w:r>
        <w:rPr/>
        <w:t>Вся разница между машинами — в коэффициенте. До декабря 2025 года он зависел от объёма двигателя и возраста машины. Теперь к ним добавилась мощность. Две версии одного мотора с разной мощностью могут попасть в разные строки таблицы и платить разный утильсбор.</w:t>
      </w:r>
    </w:p>
    <w:p>
      <w:pPr>
        <w:pStyle w:val="IntenseQuote"/>
      </w:pPr>
      <w:r>
        <w:rPr/>
        <w:t>С декабря 2025 года коэффициент утильсбора зависит сразу от трёх параметров: объёма, мощности и возраста машины.</w:t>
      </w:r>
    </w:p>
    <w:p>
      <w:pPr>
        <w:pStyle w:val="Heading1"/>
      </w:pPr>
      <w:r>
        <w:rPr/>
        <w:t>Ставки выше 160 л.с. в 2026 году</w:t>
      </w:r>
    </w:p>
    <w:p>
      <w:r>
        <w:rPr/>
        <w:t>Если мощность выше 160 л.с., льгота не действует, и коэффициент берут из общей таблицы постановления. Мощность там указана в киловаттах, лошадиные силы — пересчёт для удобства. Ставки на 2026 год: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2F2F2"/>
          </w:tcPr>
          <w:p>
            <w:r/>
            <w:r>
              <w:rPr>
                <w:b/>
              </w:rPr>
              <w:t>Объём</w:t>
            </w:r>
          </w:p>
        </w:tc>
        <w:tc>
          <w:tcPr>
            <w:tcW w:type="dxa" w:w="2436"/>
            <w:shd w:val="clear" w:color="auto" w:fill="F2F2F2"/>
          </w:tcPr>
          <w:p>
            <w:r/>
            <w:r>
              <w:rPr>
                <w:b/>
              </w:rPr>
              <w:t>Мощность</w:t>
            </w:r>
          </w:p>
        </w:tc>
        <w:tc>
          <w:tcPr>
            <w:tcW w:type="dxa" w:w="2436"/>
            <w:shd w:val="clear" w:color="auto" w:fill="F2F2F2"/>
          </w:tcPr>
          <w:p>
            <w:r/>
            <w:r>
              <w:rPr>
                <w:b/>
              </w:rPr>
              <w:t>До 3 лет</w:t>
            </w:r>
          </w:p>
        </w:tc>
        <w:tc>
          <w:tcPr>
            <w:tcW w:type="dxa" w:w="2436"/>
            <w:shd w:val="clear" w:color="auto" w:fill="F2F2F2"/>
          </w:tcPr>
          <w:p>
            <w:r/>
            <w:r>
              <w:rPr>
                <w:b/>
              </w:rPr>
              <w:t>Старше 3 лет</w:t>
            </w:r>
          </w:p>
        </w:tc>
      </w:tr>
      <w:tr>
        <w:tc>
          <w:tcPr>
            <w:tcW w:type="dxa" w:w="2436"/>
          </w:tcPr>
          <w:p>
            <w:r/>
            <w:r>
              <w:rPr/>
              <w:t>1–2 л</w:t>
            </w:r>
          </w:p>
        </w:tc>
        <w:tc>
          <w:tcPr>
            <w:tcW w:type="dxa" w:w="2436"/>
          </w:tcPr>
          <w:p>
            <w:r/>
            <w:r>
              <w:rPr/>
              <w:t>160–190 л.с. (117,69–139,75 кВт)</w:t>
            </w:r>
          </w:p>
        </w:tc>
        <w:tc>
          <w:tcPr>
            <w:tcW w:type="dxa" w:w="2436"/>
          </w:tcPr>
          <w:p>
            <w:r/>
            <w:r>
              <w:rPr/>
              <w:t>900 000 ₽</w:t>
            </w:r>
          </w:p>
        </w:tc>
        <w:tc>
          <w:tcPr>
            <w:tcW w:type="dxa" w:w="2436"/>
          </w:tcPr>
          <w:p>
            <w:r/>
            <w:r>
              <w:rPr/>
              <w:t>1 492 800 ₽</w:t>
            </w:r>
          </w:p>
        </w:tc>
      </w:tr>
      <w:tr>
        <w:tc>
          <w:tcPr>
            <w:tcW w:type="dxa" w:w="2436"/>
          </w:tcPr>
          <w:p>
            <w:r/>
            <w:r>
              <w:rPr/>
              <w:t>1–2 л</w:t>
            </w:r>
          </w:p>
        </w:tc>
        <w:tc>
          <w:tcPr>
            <w:tcW w:type="dxa" w:w="2436"/>
          </w:tcPr>
          <w:p>
            <w:r/>
            <w:r>
              <w:rPr/>
              <w:t>190–220 л.с. (139,76–161,81 кВт)</w:t>
            </w:r>
          </w:p>
        </w:tc>
        <w:tc>
          <w:tcPr>
            <w:tcW w:type="dxa" w:w="2436"/>
          </w:tcPr>
          <w:p>
            <w:r/>
            <w:r>
              <w:rPr/>
              <w:t>952 800 ₽</w:t>
            </w:r>
          </w:p>
        </w:tc>
        <w:tc>
          <w:tcPr>
            <w:tcW w:type="dxa" w:w="2436"/>
          </w:tcPr>
          <w:p>
            <w:r/>
            <w:r>
              <w:rPr/>
              <w:t>1 584 000 ₽</w:t>
            </w:r>
          </w:p>
        </w:tc>
      </w:tr>
      <w:tr>
        <w:tc>
          <w:tcPr>
            <w:tcW w:type="dxa" w:w="2436"/>
          </w:tcPr>
          <w:p>
            <w:r/>
            <w:r>
              <w:rPr/>
              <w:t>2–3 л</w:t>
            </w:r>
          </w:p>
        </w:tc>
        <w:tc>
          <w:tcPr>
            <w:tcW w:type="dxa" w:w="2436"/>
          </w:tcPr>
          <w:p>
            <w:r/>
            <w:r>
              <w:rPr/>
              <w:t>160–190 л.с. (117,69–139,75 кВт)</w:t>
            </w:r>
          </w:p>
        </w:tc>
        <w:tc>
          <w:tcPr>
            <w:tcW w:type="dxa" w:w="2436"/>
          </w:tcPr>
          <w:p>
            <w:r/>
            <w:r>
              <w:rPr/>
              <w:t>2 306 800 ₽</w:t>
            </w:r>
          </w:p>
        </w:tc>
        <w:tc>
          <w:tcPr>
            <w:tcW w:type="dxa" w:w="2436"/>
          </w:tcPr>
          <w:p>
            <w:r/>
            <w:r>
              <w:rPr/>
              <w:t>3 456 000 ₽</w:t>
            </w:r>
          </w:p>
        </w:tc>
      </w:tr>
      <w:tr>
        <w:tc>
          <w:tcPr>
            <w:tcW w:type="dxa" w:w="2436"/>
          </w:tcPr>
          <w:p>
            <w:r/>
            <w:r>
              <w:rPr/>
              <w:t>2–3 л</w:t>
            </w:r>
          </w:p>
        </w:tc>
        <w:tc>
          <w:tcPr>
            <w:tcW w:type="dxa" w:w="2436"/>
          </w:tcPr>
          <w:p>
            <w:r/>
            <w:r>
              <w:rPr/>
              <w:t>190–220 л.с. (139,76–161,81 кВт)</w:t>
            </w:r>
          </w:p>
        </w:tc>
        <w:tc>
          <w:tcPr>
            <w:tcW w:type="dxa" w:w="2436"/>
          </w:tcPr>
          <w:p>
            <w:r/>
            <w:r>
              <w:rPr/>
              <w:t>2 364 000 ₽</w:t>
            </w:r>
          </w:p>
        </w:tc>
        <w:tc>
          <w:tcPr>
            <w:tcW w:type="dxa" w:w="2436"/>
          </w:tcPr>
          <w:p>
            <w:r/>
            <w:r>
              <w:rPr/>
              <w:t>3 501 600 ₽</w:t>
            </w:r>
          </w:p>
        </w:tc>
      </w:tr>
    </w:tbl>
    <w:p/>
    <w:p>
      <w:r>
        <w:rPr/>
        <w:t xml:space="preserve">Коэффициенты в постановлении расписаны по годам до 2030-го и каждый год растут. Перед сделкой сверьте ставку на дату ввоза или посчитайте её в </w:t>
      </w:r>
      <w:hyperlink r:id="rId10">
        <w:r>
          <w:rPr>
            <w:color w:val="1F5FBF"/>
            <w:u w:val="single"/>
          </w:rPr>
          <w:t xml:space="preserve">калькуляторе растаможки</w:t>
        </w:r>
      </w:hyperlink>
      <w:r>
        <w:rPr/>
        <w:t>.</w:t>
      </w:r>
    </w:p>
    <w:p>
      <w:pPr>
        <w:pStyle w:val="Heading1"/>
      </w:pPr>
      <w:r>
        <w:rPr/>
        <w:t>Новые и подержанные машины</w:t>
      </w:r>
    </w:p>
    <w:p>
      <w:r>
        <w:rPr/>
        <w:t>Возраст в формуле делится на две группы: до 3 лет и старше 3 лет. Для машин старше 3 лет коэффициент выше, и при льготе, и без неё. При льготе разница небольшая: 3 400 ₽ против 5 200 ₽. Выше 160 л.с. она уже измеряется сотнями тысяч рублей.</w:t>
      </w:r>
    </w:p>
    <w:p>
      <w:pPr>
        <w:pStyle w:val="Heading1"/>
      </w:pPr>
      <w:r>
        <w:rPr/>
        <w:t>Примеры расчёта</w:t>
      </w:r>
    </w:p>
    <w:p>
      <w:r>
        <w:rPr/>
        <w:t>Два примера из расчётов Arcars по машинам из Кореи, обе старше 3 лет: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F2F2F2"/>
          </w:tcPr>
          <w:p>
            <w:r/>
            <w:r>
              <w:rPr>
                <w:b/>
              </w:rPr>
              <w:t>Модель</w:t>
            </w:r>
          </w:p>
        </w:tc>
        <w:tc>
          <w:tcPr>
            <w:tcW w:type="dxa" w:w="3249"/>
            <w:shd w:val="clear" w:color="auto" w:fill="F2F2F2"/>
          </w:tcPr>
          <w:p>
            <w:r/>
            <w:r>
              <w:rPr>
                <w:b/>
              </w:rPr>
              <w:t>Мотор и мощность</w:t>
            </w:r>
          </w:p>
        </w:tc>
        <w:tc>
          <w:tcPr>
            <w:tcW w:type="dxa" w:w="3249"/>
            <w:shd w:val="clear" w:color="auto" w:fill="F2F2F2"/>
          </w:tcPr>
          <w:p>
            <w:r/>
            <w:r>
              <w:rPr>
                <w:b/>
              </w:rPr>
              <w:t>Утильсбор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Kia K3</w:t>
            </w:r>
          </w:p>
        </w:tc>
        <w:tc>
          <w:tcPr>
            <w:tcW w:type="dxa" w:w="3249"/>
          </w:tcPr>
          <w:p>
            <w:r/>
            <w:r>
              <w:rPr/>
              <w:t>бензин, до 160 л.с.</w:t>
            </w:r>
          </w:p>
        </w:tc>
        <w:tc>
          <w:tcPr>
            <w:tcW w:type="dxa" w:w="3249"/>
          </w:tcPr>
          <w:p>
            <w:r/>
            <w:r>
              <w:rPr/>
              <w:t>5 200 ₽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Kia Sorento</w:t>
            </w:r>
          </w:p>
        </w:tc>
        <w:tc>
          <w:tcPr>
            <w:tcW w:type="dxa" w:w="3249"/>
          </w:tcPr>
          <w:p>
            <w:r/>
            <w:r>
              <w:rPr/>
              <w:t>дизель 2,2 л, 194 л.с.</w:t>
            </w:r>
          </w:p>
        </w:tc>
        <w:tc>
          <w:tcPr>
            <w:tcW w:type="dxa" w:w="3249"/>
          </w:tcPr>
          <w:p>
            <w:r/>
            <w:r>
              <w:rPr/>
              <w:t>3 501 600 ₽</w:t>
            </w:r>
          </w:p>
        </w:tc>
      </w:tr>
    </w:tbl>
    <w:p/>
    <w:p>
      <w:r>
        <w:rPr/>
        <w:t>Пошлина за мотор 2,2 л выше, чем за 1,6 л, примерно на 180 тысяч рублей. А утильсбор из-за мощности выше 160 л.с. вырос в 673 раза. Решает мощность, а не объём.</w:t>
      </w:r>
    </w:p>
    <w:p>
      <w:pPr>
        <w:pStyle w:val="Heading1"/>
      </w:pPr>
      <w:r>
        <w:rPr/>
        <w:t>Сколько утильсбор занимает в растаможке</w:t>
      </w:r>
    </w:p>
    <w:p>
      <w:r>
        <w:rPr/>
        <w:t>Полная стоимость ввоза складывается из цены машины с доставкой до Владивостока, пошлины, утильсбора, брокерских расходов во Владивостоке (в том числе ЭПТС и СБКТС), комиссии и доставки по России.</w:t>
      </w:r>
    </w:p>
    <w:p>
      <w:r>
        <w:rPr/>
        <w:t xml:space="preserve">Для машины до 160 л.с. утильсбор почти незаметен на фоне остальных статей. Для машины мощнее он может оказаться самой крупной строкой расчёта, больше пошлины. Как складываются все статьи, показали в </w:t>
      </w:r>
      <w:hyperlink r:id="rId11">
        <w:r>
          <w:rPr>
            <w:color w:val="1F5FBF"/>
            <w:u w:val="single"/>
          </w:rPr>
          <w:t xml:space="preserve">расчёте стоимости машины из Кореи</w:t>
        </w:r>
      </w:hyperlink>
      <w:r>
        <w:rPr/>
        <w:t>.</w:t>
      </w:r>
    </w:p>
    <w:p>
      <w:pPr>
        <w:pStyle w:val="Heading1"/>
      </w:pPr>
      <w:r>
        <w:rPr/>
        <w:t>Частые ошибки</w:t>
      </w:r>
    </w:p>
    <w:p>
      <w:pPr>
        <w:pStyle w:val="ListBullet"/>
      </w:pPr>
      <w:r>
        <w:rPr>
          <w:b/>
        </w:rPr>
        <w:t>Не проверить мощность конкретной версии.</w:t>
      </w:r>
      <w:r>
        <w:rPr/>
        <w:t xml:space="preserve"> Версии одной модели отличаются на 10–20 л.с., и этого хватает, чтобы выйти из льготы.</w:t>
      </w:r>
    </w:p>
    <w:p>
      <w:pPr>
        <w:pStyle w:val="ListBullet"/>
      </w:pPr>
      <w:r>
        <w:rPr>
          <w:b/>
        </w:rPr>
        <w:t>Продать машину раньше срока.</w:t>
      </w:r>
      <w:r>
        <w:rPr/>
        <w:t xml:space="preserve"> Если с даты таможенного приходного ордера не прошло 12 месяцев, утильсбор придётся доплатить по полной ставке.</w:t>
      </w:r>
    </w:p>
    <w:p>
      <w:pPr>
        <w:pStyle w:val="ListBullet"/>
      </w:pPr>
      <w:r>
        <w:rPr>
          <w:b/>
        </w:rPr>
        <w:t>Считать по прошлогодней таблице.</w:t>
      </w:r>
      <w:r>
        <w:rPr/>
        <w:t xml:space="preserve"> Коэффициенты растут каждый год, и ставка 2025 года для той же машины в 2026-м уже ниже реальной.</w:t>
      </w:r>
    </w:p>
    <w:p>
      <w:pPr>
        <w:pStyle w:val="IntenseQuote"/>
      </w:pPr>
      <w:r>
        <w:rPr/>
        <w:t>Мощность конкретной версии проверяют до покупки, а не на таможне.</w:t>
      </w:r>
    </w:p>
    <w:p>
      <w:pPr>
        <w:pStyle w:val="Heading1"/>
      </w:pPr>
      <w:r>
        <w:rPr/>
        <w:t>Итог</w:t>
      </w:r>
    </w:p>
    <w:p>
      <w:r>
        <w:rPr/>
        <w:t>Утильсбор зависит от трёх вещей: мощности, объёма и возраста машины. Самая резкая граница — 160 л.с.: ниже неё физлицо платит 3 400 или 5 200 ₽, выше — сотни тысяч или миллионы.</w:t>
      </w:r>
    </w:p>
    <w:p>
      <w:r>
        <w:rPr/>
        <w:t xml:space="preserve">Перед покупкой сверьте мощность именно той версии, которую берёте. Если считаете под реальную сделку, Arcars </w:t>
      </w:r>
      <w:hyperlink r:id="rId12">
        <w:r>
          <w:rPr>
            <w:color w:val="1F5FBF"/>
            <w:u w:val="single"/>
          </w:rPr>
          <w:t xml:space="preserve">подберёт машину в Корее, Японии или Китае</w:t>
        </w:r>
      </w:hyperlink>
      <w:r>
        <w:rPr/>
        <w:t xml:space="preserve"> и посчитает утильсбор вместе со всеми остальными статьями.</w:t>
      </w:r>
    </w:p>
    <w:p>
      <w:pPr>
        <w:pStyle w:val="Heading1"/>
      </w:pPr>
      <w:r>
        <w:rPr/>
        <w:t>Частые вопросы</w:t>
      </w:r>
    </w:p>
    <w:p>
      <w:pPr>
        <w:pStyle w:val="Heading2"/>
      </w:pPr>
      <w:r>
        <w:rPr/>
        <w:t>Кто платит утильсбор при ввозе автомобиля?</w:t>
      </w:r>
    </w:p>
    <w:p>
      <w:r>
        <w:rPr/>
        <w:t>Тот, кто ввозит машину: компания при ввозе на продажу или физлицо, которое везёт машину для себя.</w:t>
      </w:r>
    </w:p>
    <w:p>
      <w:pPr>
        <w:pStyle w:val="Heading2"/>
      </w:pPr>
      <w:r>
        <w:rPr/>
        <w:t>Какой утильсбор платит физлицо за машину для себя?</w:t>
      </w:r>
    </w:p>
    <w:p>
      <w:r>
        <w:rPr/>
        <w:t>3 400 ₽ за машину до 3 лет и 5 200 ₽ за машину старше 3 лет, если мощность не выше 160 л.с., а объём мотора — до 3 литров.</w:t>
      </w:r>
    </w:p>
    <w:p>
      <w:pPr>
        <w:pStyle w:val="Heading2"/>
      </w:pPr>
      <w:r>
        <w:rPr/>
        <w:t>Можно ли продать машину, ввезённую по льготной ставке?</w:t>
      </w:r>
    </w:p>
    <w:p>
      <w:r>
        <w:rPr/>
        <w:t>Можно, но если с даты таможенного приходного ордера не прошло 12 месяцев, утильсбор придётся доплатить по полной ставке.</w:t>
      </w:r>
    </w:p>
    <w:p>
      <w:pPr>
        <w:pStyle w:val="Heading2"/>
      </w:pPr>
      <w:r>
        <w:rPr/>
        <w:t>Чем отличается утильсбор для новых и подержанных машин?</w:t>
      </w:r>
    </w:p>
    <w:p>
      <w:r>
        <w:rPr/>
        <w:t>Порог один — 3 года. Для машин старше 3 лет коэффициент выше: при льготе 5 200 ₽ вместо 3 400 ₽, без льготы — на сотни тысяч рублей больше.</w:t>
      </w:r>
    </w:p>
    <w:p>
      <w:pPr>
        <w:pStyle w:val="Heading1"/>
      </w:pPr>
      <w:r>
        <w:rPr/>
        <w:t>Источники</w:t>
      </w:r>
    </w:p>
    <w:p>
      <w:pPr>
        <w:pStyle w:val="ListBullet"/>
      </w:pPr>
      <w:hyperlink r:id="rId13">
        <w:r>
          <w:rPr>
            <w:color w:val="1F5FBF"/>
            <w:u w:val="single"/>
          </w:rPr>
          <w:t xml:space="preserve">Постановление Правительства РФ от 01.11.2025 № 1713</w:t>
        </w:r>
      </w:hyperlink>
      <w:r>
        <w:rPr/>
        <w:t xml:space="preserve"> — коэффициенты утильсбора по объёму, мощности и возрасту, условия льготы</w:t>
      </w:r>
    </w:p>
    <w:p>
      <w:pPr>
        <w:pStyle w:val="ListBullet"/>
      </w:pPr>
      <w:hyperlink r:id="rId14">
        <w:r>
          <w:rPr>
            <w:color w:val="1F5FBF"/>
            <w:u w:val="single"/>
          </w:rPr>
          <w:t xml:space="preserve">Письмо ФНС России от 07.11.2025 № СД-4-3/10006@ «Об утилизационном сборе»</w:t>
        </w:r>
      </w:hyperlink>
      <w:r>
        <w:rPr/>
        <w:t xml:space="preserve"> — разъяснение новых правил</w:t>
      </w:r>
    </w:p>
    <w:p>
      <w:pPr>
        <w:pStyle w:val="ListBullet"/>
      </w:pPr>
      <w:hyperlink r:id="rId15">
        <w:r>
          <w:rPr>
            <w:color w:val="1F5FBF"/>
            <w:u w:val="single"/>
          </w:rPr>
          <w:t xml:space="preserve">Федеральная таможенная служба</w:t>
        </w:r>
      </w:hyperlink>
      <w:r>
        <w:rPr/>
        <w:t xml:space="preserve"> — ведомство, которое принимает расчёт и платёж при ввозе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-cars.ru/blog/kakoe-avto-vygodno-privezti-iz-korei/" TargetMode="External"/><Relationship Id="rId10" Type="http://schemas.openxmlformats.org/officeDocument/2006/relationships/hyperlink" Target="https://ar-cars.ru/kalkulyator-rastamozhki/" TargetMode="External"/><Relationship Id="rId11" Type="http://schemas.openxmlformats.org/officeDocument/2006/relationships/hyperlink" Target="https://ar-cars.ru/blog/skolko-stoit-prignat-mashinu-iz-korei/" TargetMode="External"/><Relationship Id="rId12" Type="http://schemas.openxmlformats.org/officeDocument/2006/relationships/hyperlink" Target="https://ar-cars.ru/" TargetMode="External"/><Relationship Id="rId13" Type="http://schemas.openxmlformats.org/officeDocument/2006/relationships/hyperlink" Target="https://legalacts.ru/doc/postanovlenie-pravitelstva-rf-ot-01112025-n-1713-o-vnesenii/" TargetMode="External"/><Relationship Id="rId14" Type="http://schemas.openxmlformats.org/officeDocument/2006/relationships/hyperlink" Target="https://www.consultant.ru/document/cons_doc_LAW_518515/" TargetMode="External"/><Relationship Id="rId15" Type="http://schemas.openxmlformats.org/officeDocument/2006/relationships/hyperlink" Target="https://customs.gov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