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Принято. Все три уточнения финальной ревизии фиксируем.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APPROVED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Финальная последовательность принятия решения: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Base Universe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/ Calculation Results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Eligibility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Preliminary Long Candidate Detection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Classification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Evaluation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Long Eligibility / Selection Decision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 List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Зафиксированы ключевые инженерные границы: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предоставляет канонические данные.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выполняет объективные расчёты, технические классификации, Risk Metrics и формирует технические уровни/кандидаты Invalidation.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выполняет Long-бизнес-логику: окончательный Setup, Selection Decision, Risk Flags, выбор Key Level и Invalidation Reference, ranking_score и Priority.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отдельного инструмента не останавливает запуск.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Частичная невозможность оценки допускает DEGRADED.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Системная невозможность оценить любой инструмент → FAILED / INVALID; предыдущая ACTIVE-версия сохраняется.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все инструменты корректно оценены, но ни один не прошёл Long Selection, пустой LongCandidateList является VALID.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Working Watchlist передаются только INCLUDED.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не участвует в Long Selection Logic.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выполняет Short/Range Selection, прогнозирование или торговое решение.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Единственный технический вопрос, оставленный на интеграционную стадию, — сверка точных названий запрашиваемых канонических секций с утверждённым контрактом Data Access Layer v0.1. Это не препятствует утверждению архитектуры самого Long Selection Module.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v0.1 зафиксирован как APPROVED.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