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Согласен. Это и есть правильная точка старта: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Сначала процесс → затем необходимые данные → затем источники → затем Shared Data Library → затем архитектура интеграции.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этого мы фактически проектировали транспорт данных, не определив сам груз.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Новый порядок работы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Разложить торговый процесс TIP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утверждённому циклу: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Postmarket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Premarket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Внутри каждой фазы нужно пройти по каждому утверждённому модулю и определить: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какое решение принимает модуль;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исходные данные нужны для решения;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обязательны, а какие дополнительные;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требуется актуальность;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нужна историческая глубина;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необходима частота обновления;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результат модуль передаёт дальше.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Создать реестр данных TIP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элемента данных фиксировать не просто название, а полный контракт: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ID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Уникальное имя данных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именно обозначают данные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Потребитель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модуль использует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процесса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/ Session / Postmarket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Какое решение поддерживает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Обязательность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/ Required / Optional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Частота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 / 1 sec / 1 min / Event / Daily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Задержка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Допустимая задержка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История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Требуемая глубина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IBKR / TradingView / внутренние данные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Резервный источник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необходимости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Хранение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хранить / временно / активно / архив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качества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проверки обязательны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Только после этого распределить источники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Предварительное правило остаётся: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Interactive Brokers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рыночные данные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ордера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исполнения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позиции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состояние счёта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TradingView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визуальная среда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ручная разметка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уровни трейдера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алерты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└── ручные входные сигналы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Auxiliary Intelligence Environment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Polygon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расширенная история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массовый анализ инструментов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сделки и котировки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агрегированные свечи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└── дополнительные справочные данные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это пока рабочее распределение, а не окончательная спецификация. Реестр данных покажет, действительно ли каждый источник закрывает свои задачи.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Первый объект детализации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начинать не с источника, а с первого этапа процесса: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Data Requirements v0.1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разбирать его по модулям: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Module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 Module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 Module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Module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модуля будет создана цепочка: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модуля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Необходимые данные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данным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Конкретный источник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 модуля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 мы получим не очередной общий перечень, а трассируемую архитектуру: каждый элемент данных будет связан с конкретным решением, модулем и поставщиком.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Начальной рабочей задачей следует зафиксировать: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 полный набор входных данных Base Universe Module, не изменяя утверждённую спецификацию самого модуля.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