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Тогда сделаем следующий шаг по плану — зафиксируем основу Trading Decision Engine v0.1.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Decision Engine v0.1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DRAFT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Decision Engine — центральный аналитический компонент Session Module.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Его задача: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преобразовать множество рыночных, сценарных и портфельных данных в одну понятную торговую команду.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данные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II / Order Book;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волатильность;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тренд;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momentum;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инструмента;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прогнозный коридор;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точка входа;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стоп;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цели;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портфеля;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открытые позиции;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сессии;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новости и критические события.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Внутренние аналитические блоки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Analyzer;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 Analyzer;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Analyzer;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Book Analyzer;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Analyzer;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Analyzer;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Analyzer;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&amp; Session Analyzer.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блок формирует внутреннюю оценку, но не отправляет отдельное сообщение трейдеру.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Консолидированный выход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активного тикера Trading Decision Engine формирует: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 State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команд: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HOLD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TRADE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Главное правило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Трейдер не получает набор противоречивых сигналов от разных анализаторов.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получает только: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одну итоговую команду по одному инструменту в один момент времени.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Граница ответственности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Decision Engine: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анализирует;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сопоставляет;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приоритизирует;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рекомендацию.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не: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исполняет сделки;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меняет ордера самостоятельно;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заменяет решение трейдера;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управляет Dynamic Focus Chart напрямую.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Focus Chart только отображает выбранный тикер и подготовленные данные.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этом шаге основа Trading Decision Engine v0.1 определена. После перерыва логично продолжить с его внутренней логикой принятия решения и правилами приоритета команд.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