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согласен.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считаю, что сейчас это правильно сделать.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 является единым каноническим фундаментом данных Trading Intelligence Platform.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Модель определяет состав первичных рыночных и справочных данных, их структуру, границы ответственности и взаимосвязи.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не содержит: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аналитики;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прогнозов;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вероятностных оценок;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торговой логики;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бизнес-решений.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является единственным каноническим источником первичных фактов, на который опираются все остальные компоненты TIP.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принципы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ходе проектирования окончательно утверждены следующие принципы.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Каноничность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сущность хранит только первичный официальный факт.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Единственная ответственность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сущность отвечает только за одну область ответственности.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Независимость от поставщиков данных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различия между поставщиками устраняются исключительно в Normalization Layer.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Версионирование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выполняются через механизм Version.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сохраняется.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Статусы записей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единый механизм Status.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Разделение справочных и исторических сущностей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Entities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описывают объекты.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Entities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фиксируют события и изменения.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Независимость от аналитики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хранит только данные.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Никаких выводов.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Утверждённые сущности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Domain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Identity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Reference Data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Daily Bars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Intraday Bars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Quote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Order Book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Status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Corporate Actions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Index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Index Membership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Short Sale Restriction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Domain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Exchange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Exchange Calendar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Session Definition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Session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Market Holiday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Архитектурная схема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Domain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Identity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Reference Data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Daily Bars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Intraday Bars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Quote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Order Book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Status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Corporate Actions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 Membership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Short Sale Restriction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Domain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 Calendar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Session Definition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Session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Market Holiday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Граница ответственности модуля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отвечает исключительно за: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сущности;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официальные факты;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справочные данные;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данные;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структуру хранения.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отвечает за: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вероятностные модели;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 сделок.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Моя рекомендация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предложил считать этот момент одной из ключевых вех всего проекта TIP.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начали проектирование Canonical Data Model с отдельных сущностей, а сегодня завершили и утвердили целый модуль. Это означает, что теперь у Trading Intelligence Platform есть стабильный фундамент данных, на который смогут опираться все последующие модули, не меняя его внутреннюю архитектуру.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ещё одно предложение, но уже не как изменение архитектуры, а как организационный шаг.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Поскольку модуль теперь утверждён, я предлагаю заархивировать Canonical Data Model v0.1 по тому же стандарту, который мы применяли к другим утверждённым модулям TIP. Это позволит в дальнейшей работе ссылаться на него как на неизменяемую базовую спецификацию, а все будущие изменения оформлять отдельными версиями (v0.2) или через утверждённые Architecture Change Requests (ACR). На мой взгляд, это станет логичным завершением большого этапа работы.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