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лабораторна-робота-1"/>
    <w:p>
      <w:pPr>
        <w:pStyle w:val="Heading1"/>
      </w:pPr>
      <w:r>
        <w:t xml:space="preserve">Лабораторна робота № 1</w:t>
      </w:r>
    </w:p>
    <w:bookmarkStart w:id="20" w:name="розгалужені-алгоритми"/>
    <w:p>
      <w:pPr>
        <w:pStyle w:val="Heading2"/>
      </w:pPr>
      <w:r>
        <w:t xml:space="preserve">Розгалужені алгоритми</w:t>
      </w:r>
    </w:p>
    <w:p>
      <w:pPr>
        <w:pStyle w:val="FirstParagraph"/>
      </w:pPr>
      <w:r>
        <w:rPr>
          <w:bCs/>
          <w:b/>
        </w:rPr>
        <w:t xml:space="preserve">Дисципліна:</w:t>
      </w:r>
      <w:r>
        <w:t xml:space="preserve"> </w:t>
      </w:r>
      <w:r>
        <w:t xml:space="preserve">Структури даних та алгоритми (СДА)</w:t>
      </w:r>
      <w:r>
        <w:br/>
      </w:r>
      <w:r>
        <w:rPr>
          <w:bCs/>
          <w:b/>
        </w:rPr>
        <w:t xml:space="preserve">Мова програмування:</w:t>
      </w:r>
      <w:r>
        <w:t xml:space="preserve"> </w:t>
      </w:r>
      <w:r>
        <w:t xml:space="preserve">С (не С++ і не будь-яка інша мова)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Загальна інформація про курс</w:t>
      </w:r>
      <w:r>
        <w:t xml:space="preserve"> </w:t>
      </w:r>
      <w:r>
        <w:t xml:space="preserve">(перелік лабораторних робіт, система оцінювання, середовище розробки) винесена в окремий документ — див.</w:t>
      </w:r>
      <w:r>
        <w:t xml:space="preserve"> </w:t>
      </w:r>
      <w:r>
        <w:rPr>
          <w:bCs/>
          <w:b/>
        </w:rPr>
        <w:t xml:space="preserve">SDA_Course_Info.md / 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мета-лабораторної-роботи"/>
    <w:p>
      <w:pPr>
        <w:pStyle w:val="Heading2"/>
      </w:pPr>
      <w:r>
        <w:t xml:space="preserve">1. Мета лабораторної роботи</w:t>
      </w:r>
    </w:p>
    <w:p>
      <w:pPr>
        <w:pStyle w:val="FirstParagraph"/>
      </w:pPr>
      <w:r>
        <w:t xml:space="preserve"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bookmarkEnd w:id="21"/>
    <w:bookmarkStart w:id="22" w:name="постановка-задачі"/>
    <w:p>
      <w:pPr>
        <w:pStyle w:val="Heading2"/>
      </w:pPr>
      <w:r>
        <w:t xml:space="preserve">2. Постановка задачі</w:t>
      </w:r>
    </w:p>
    <w:p>
      <w:pPr>
        <w:pStyle w:val="FirstParagraph"/>
      </w:pPr>
      <w:r>
        <w:t xml:space="preserve">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>
      <w:pPr>
        <w:pStyle w:val="BodyText"/>
      </w:pPr>
      <w:r>
        <w:t xml:space="preserve">Розв’язати задачу</w:t>
      </w:r>
      <w:r>
        <w:t xml:space="preserve"> </w:t>
      </w:r>
      <w:r>
        <w:rPr>
          <w:bCs/>
          <w:b/>
        </w:rPr>
        <w:t xml:space="preserve">двома способами</w:t>
      </w:r>
      <w:r>
        <w:t xml:space="preserve"> </w:t>
      </w:r>
      <w:r>
        <w:t xml:space="preserve">(написати дві програми):</w:t>
      </w:r>
    </w:p>
    <w:p>
      <w:pPr>
        <w:numPr>
          <w:ilvl w:val="0"/>
          <w:numId w:val="1001"/>
        </w:numPr>
        <w:pStyle w:val="Compact"/>
      </w:pPr>
      <w:r>
        <w:t xml:space="preserve">У програмі дозволяється використовувати тільки одиничні операції порівняння (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 і</w:t>
      </w:r>
      <w:r>
        <w:t xml:space="preserve"> </w:t>
      </w:r>
      <w:r>
        <w:rPr>
          <w:bCs/>
          <w:b/>
        </w:rPr>
        <w:t xml:space="preserve">не дозволяється</w:t>
      </w:r>
      <w:r>
        <w:t xml:space="preserve"> </w:t>
      </w:r>
      <w:r>
        <w:t xml:space="preserve">використовувати булеві (логічні) операції (</w:t>
      </w:r>
      <w:r>
        <w:rPr>
          <w:rStyle w:val="VerbatimChar"/>
        </w:rPr>
        <w:t xml:space="preserve">not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тощо);</w:t>
      </w:r>
    </w:p>
    <w:p>
      <w:pPr>
        <w:numPr>
          <w:ilvl w:val="0"/>
          <w:numId w:val="1001"/>
        </w:numPr>
        <w:pStyle w:val="Compact"/>
      </w:pPr>
      <w:r>
        <w:t xml:space="preserve">У програмі необхідно</w:t>
      </w:r>
      <w:r>
        <w:t xml:space="preserve"> </w:t>
      </w:r>
      <w:r>
        <w:rPr>
          <w:bCs/>
          <w:b/>
        </w:rPr>
        <w:t xml:space="preserve">обов’язково</w:t>
      </w:r>
      <w:r>
        <w:t xml:space="preserve"> </w:t>
      </w:r>
      <w:r>
        <w:t xml:space="preserve">використати булеві (логічні) операції (</w:t>
      </w:r>
      <w:r>
        <w:rPr>
          <w:rStyle w:val="VerbatimChar"/>
        </w:rPr>
        <w:t xml:space="preserve">not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тощо); використання булевих операцій не повинно бути надлишковим.</w:t>
      </w:r>
    </w:p>
    <w:bookmarkEnd w:id="22"/>
    <w:bookmarkStart w:id="26" w:name="вимоги-до-оформлення-звіту"/>
    <w:p>
      <w:pPr>
        <w:pStyle w:val="Heading2"/>
      </w:pPr>
      <w:r>
        <w:t xml:space="preserve">3. Вимоги до оформлення звіту</w:t>
      </w:r>
    </w:p>
    <w:p>
      <w:pPr>
        <w:pStyle w:val="FirstParagraph"/>
      </w:pPr>
      <w:r>
        <w:t xml:space="preserve">Обов’язково в протоколі (звіті) має бути (</w:t>
      </w:r>
      <w:r>
        <w:rPr>
          <w:bCs/>
          <w:b/>
        </w:rPr>
        <w:t xml:space="preserve">відсутність будь-чого із переліченого вважається помилкою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Титульна сторінка.</w:t>
      </w:r>
    </w:p>
    <w:p>
      <w:pPr>
        <w:numPr>
          <w:ilvl w:val="0"/>
          <w:numId w:val="1002"/>
        </w:numPr>
        <w:pStyle w:val="Compact"/>
      </w:pPr>
      <w:r>
        <w:t xml:space="preserve">Завдання на лабораторну роботу та умова завдання за варіантом.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 діаграми (блок-схеми)</w:t>
      </w:r>
      <w:r>
        <w:t xml:space="preserve"> </w:t>
      </w:r>
      <w:r>
        <w:t xml:space="preserve">алгоритмів — по одній на кожен спосіб розв’язку задачі.</w:t>
      </w:r>
    </w:p>
    <w:p>
      <w:pPr>
        <w:numPr>
          <w:ilvl w:val="0"/>
          <w:numId w:val="1002"/>
        </w:numPr>
        <w:pStyle w:val="Compact"/>
      </w:pPr>
      <w:r>
        <w:t xml:space="preserve">Текст обох програм (програмний код).</w:t>
      </w:r>
    </w:p>
    <w:p>
      <w:pPr>
        <w:numPr>
          <w:ilvl w:val="0"/>
          <w:numId w:val="1002"/>
        </w:numPr>
        <w:pStyle w:val="Compact"/>
      </w:pPr>
      <w:r>
        <w:t xml:space="preserve">Скріншоти тестування програм (щонайменше 3–5 для кожної програми). Тестовий набір значень x має бути підібраний так, щоб коректність усіх гілок алгоритму була протестована; результати тестування для всіх вхідних значень з тестового набору роздруковуються для кожної з програм окремо.</w:t>
      </w:r>
    </w:p>
    <w:p>
      <w:pPr>
        <w:pStyle w:val="FirstParagraph"/>
      </w:pPr>
      <w:r>
        <w:t xml:space="preserve">Письмово відповідати на контрольні питання</w:t>
      </w:r>
      <w:r>
        <w:t xml:space="preserve"> </w:t>
      </w:r>
      <w:r>
        <w:rPr>
          <w:bCs/>
          <w:b/>
        </w:rPr>
        <w:t xml:space="preserve">не обов’язково</w:t>
      </w:r>
      <w:r>
        <w:t xml:space="preserve">. За бажанням можна це зробити, але додаткових балів це не дає — усно викладач все одно запитає.</w:t>
      </w:r>
    </w:p>
    <w:bookmarkStart w:id="23" w:name="правила-оформлення-блок-схем"/>
    <w:p>
      <w:pPr>
        <w:pStyle w:val="Heading3"/>
      </w:pPr>
      <w:r>
        <w:t xml:space="preserve">3.1 Правила оформлення блок-схем</w:t>
      </w:r>
    </w:p>
    <w:p>
      <w:pPr>
        <w:numPr>
          <w:ilvl w:val="0"/>
          <w:numId w:val="1003"/>
        </w:numPr>
        <w:pStyle w:val="Compact"/>
      </w:pPr>
      <w:r>
        <w:t xml:space="preserve">Правила оформлення дивіться у файлі «правила_оформлення_блоксхем.pdf» (надається викладачем окремо, наприклад у чаті дисципліни). Додаткові практичні поради щодо побудови блок-схем — у документі</w:t>
      </w:r>
      <w:r>
        <w:t xml:space="preserve"> </w:t>
      </w:r>
      <w:r>
        <w:rPr>
          <w:bCs/>
          <w:b/>
        </w:rPr>
        <w:t xml:space="preserve">SDA_Flowchart_Tips.md / .docx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У блоках обчислень треба вказувати, за якою формулою виконуються обчислення.</w:t>
      </w:r>
    </w:p>
    <w:p>
      <w:pPr>
        <w:numPr>
          <w:ilvl w:val="0"/>
          <w:numId w:val="1003"/>
        </w:numPr>
        <w:pStyle w:val="Compact"/>
      </w:pPr>
      <w:r>
        <w:t xml:space="preserve">Операції обчислень та операції виводу даних — це різні за своєю природою операції, тому не варто об’єднувати їх в один блок на діаграмі.</w:t>
      </w:r>
    </w:p>
    <w:p>
      <w:pPr>
        <w:numPr>
          <w:ilvl w:val="0"/>
          <w:numId w:val="1003"/>
        </w:numPr>
        <w:pStyle w:val="Compact"/>
      </w:pPr>
      <w:r>
        <w:t xml:space="preserve">Виходи з блоків розгалуження (блоки умови) мають бути позначені або «0» та «1», або «false» та «true» — відповідно до того, який вихід виконується при справдженні умови, а який — при несправдженні.</w:t>
      </w:r>
    </w:p>
    <w:p>
      <w:pPr>
        <w:numPr>
          <w:ilvl w:val="0"/>
          <w:numId w:val="1003"/>
        </w:numPr>
        <w:pStyle w:val="Compact"/>
      </w:pPr>
      <w:r>
        <w:t xml:space="preserve">Розгалуження алгоритму треба будувати так, щоб одна й та сама умова не перевірялась двічі (аналогічно і в коді не повинно бути двох перевірок однієї й тієї самої умови).</w:t>
      </w:r>
    </w:p>
    <w:bookmarkEnd w:id="23"/>
    <w:bookmarkStart w:id="25" w:name="вимоги-до-програм"/>
    <w:p>
      <w:pPr>
        <w:pStyle w:val="Heading3"/>
      </w:pPr>
      <w:r>
        <w:t xml:space="preserve">3.2 Вимоги до програм</w:t>
      </w:r>
    </w:p>
    <w:p>
      <w:pPr>
        <w:numPr>
          <w:ilvl w:val="0"/>
          <w:numId w:val="1004"/>
        </w:numPr>
      </w:pPr>
      <w:r>
        <w:t xml:space="preserve">Програма має відповідати побудованій діаграмі алгоритму. Якщо на діаграмі зображено один блок, а в програмі йому відповідають кілька різних операторів на різних гілках алгоритму — це неправильно.</w:t>
      </w:r>
    </w:p>
    <w:p>
      <w:pPr>
        <w:numPr>
          <w:ilvl w:val="0"/>
          <w:numId w:val="1004"/>
        </w:numPr>
      </w:pPr>
      <w:r>
        <w:t xml:space="preserve">Для обчислення невеликих цілочисельних степенів числа (квадрат, куб тощо)</w:t>
      </w:r>
      <w:r>
        <w:t xml:space="preserve"> </w:t>
      </w:r>
      <w:r>
        <w:rPr>
          <w:bCs/>
          <w:b/>
        </w:rPr>
        <w:t xml:space="preserve">не варто</w:t>
      </w:r>
      <w:r>
        <w:t xml:space="preserve"> </w:t>
      </w:r>
      <w:r>
        <w:t xml:space="preserve">застосовувати функцію</w:t>
      </w:r>
      <w:r>
        <w:t xml:space="preserve"> </w:t>
      </w:r>
      <w:r>
        <w:rPr>
          <w:rStyle w:val="VerbatimChar"/>
        </w:rPr>
        <w:t xml:space="preserve">pow</w:t>
      </w:r>
      <w:r>
        <w:t xml:space="preserve"> </w:t>
      </w:r>
      <w:r>
        <w:t xml:space="preserve">з бібліотеки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— вона обчислюється через логарифм, тож її обчислювальна складність суттєво вища, ніж у звичайного множення.</w:t>
      </w:r>
    </w:p>
    <w:p>
      <w:pPr>
        <w:numPr>
          <w:ilvl w:val="0"/>
          <w:numId w:val="1004"/>
        </w:numPr>
      </w:pPr>
      <w:r>
        <w:t xml:space="preserve">Мета роботи — навчитися писати алгоритми з розгалуженнями, тому не слід спрощувати собі задачу написанням власних функцій для перевірки, якому проміжку належить x. Усі логічні умови в першій лабораторній роботі мають розглядатися безпосередньо в тілі основної програми.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/* Приклад, як НЕ треба робити в цій ЛР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Вихід з програми (return).</w:t>
      </w:r>
      <w:r>
        <w:t xml:space="preserve"> </w:t>
      </w:r>
      <w:r>
        <w:t xml:space="preserve">В ідеалі,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має бути один:</w:t>
      </w:r>
    </w:p>
    <w:p>
      <w:pPr>
        <w:numPr>
          <w:ilvl w:val="0"/>
          <w:numId w:val="1000"/>
        </w:numPr>
        <w:pStyle w:val="BlockText"/>
      </w:pPr>
      <w:r>
        <w:t xml:space="preserve">«Мінімізуйте кількість операцій return у кожній процедурі. Стає тяжче зрозуміти, як працює процедура, якщо, коли ви читаєте її кінець, ви не здогадуєтеся про можливість того, що десь там вгорі є точка виходу з неї. Використовуйте return, коли це покращує читабельність. У деяких процедурах, щойно ви знаєте відповідь, ви хочете повернути її в головну програму негайно. Якщо процедура визначена у такий спосіб, що вона не потребує жодного підчищення (code cleanup), то якщо значення не повертається негайно, це означає, що ви мусите писати більше коду.»</w:t>
      </w:r>
      <w:r>
        <w:t xml:space="preserve"> </w:t>
      </w:r>
      <w:r>
        <w:t xml:space="preserve">— Стів Макконелл, «Досконалий код»</w:t>
      </w:r>
    </w:p>
    <w:p>
      <w:pPr>
        <w:numPr>
          <w:ilvl w:val="0"/>
          <w:numId w:val="1000"/>
        </w:numPr>
      </w:pPr>
      <w:r>
        <w:t xml:space="preserve">Приклад ситуації, коли є сенс у двох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calculate_smth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data_array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якщо масив порожній, одразу виходимо з процедури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arr_length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робимо якісь обчислення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Але в цій, першій, лабораторній роботі всі логічні умови мають бути розглянуті в тілі основної програми, тому там має бути лише один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Оформлення коду.</w:t>
      </w:r>
      <w:r>
        <w:t xml:space="preserve"> </w:t>
      </w:r>
      <w:r>
        <w:t xml:space="preserve">Хорошим зразком рекомендацій щодо оформлення коду є NASA C Style Guide:</w:t>
      </w:r>
      <w:r>
        <w:t xml:space="preserve"> </w:t>
      </w:r>
      <w:hyperlink r:id="rId24">
        <w:r>
          <w:rPr>
            <w:rStyle w:val="Hyperlink"/>
          </w:rPr>
          <w:t xml:space="preserve">http://mechatronics.me.wisc.edu/labresources/DataSheets/NASA-GSFC_C_Programming_Styles-94-003.pdf</w:t>
        </w:r>
      </w:hyperlink>
    </w:p>
    <w:bookmarkEnd w:id="25"/>
    <w:bookmarkEnd w:id="26"/>
    <w:bookmarkStart w:id="27" w:name="контрольні-питання"/>
    <w:p>
      <w:pPr>
        <w:pStyle w:val="Heading2"/>
      </w:pPr>
      <w:r>
        <w:t xml:space="preserve">4. Контрольні питання</w:t>
      </w:r>
    </w:p>
    <w:p>
      <w:pPr>
        <w:numPr>
          <w:ilvl w:val="0"/>
          <w:numId w:val="1005"/>
        </w:numPr>
        <w:pStyle w:val="Compact"/>
      </w:pPr>
      <w:r>
        <w:t xml:space="preserve">Класифікація керуючих конструкцій розгалуження.</w:t>
      </w:r>
    </w:p>
    <w:p>
      <w:pPr>
        <w:numPr>
          <w:ilvl w:val="0"/>
          <w:numId w:val="1005"/>
        </w:numPr>
        <w:pStyle w:val="Compact"/>
      </w:pPr>
      <w:r>
        <w:t xml:space="preserve">Запис керуючих конструкцій розгалуження діаграмами дій.</w:t>
      </w:r>
    </w:p>
    <w:p>
      <w:pPr>
        <w:numPr>
          <w:ilvl w:val="0"/>
          <w:numId w:val="1005"/>
        </w:numPr>
        <w:pStyle w:val="Compact"/>
      </w:pPr>
      <w:r>
        <w:t xml:space="preserve">Запис керуючих конструкцій розгалуження мовою програмування.</w:t>
      </w:r>
    </w:p>
    <w:p>
      <w:pPr>
        <w:numPr>
          <w:ilvl w:val="0"/>
          <w:numId w:val="1005"/>
        </w:numPr>
        <w:pStyle w:val="Compact"/>
      </w:pPr>
      <w:r>
        <w:t xml:space="preserve">Таблиця істинності булевої (логічної) операції</w:t>
      </w:r>
      <w:r>
        <w:t xml:space="preserve"> </w:t>
      </w:r>
      <w:r>
        <w:rPr>
          <w:rStyle w:val="VerbatimChar"/>
        </w:rPr>
        <w:t xml:space="preserve">not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Таблиця істинності булевої (логічної) операції</w:t>
      </w:r>
      <w:r>
        <w:t xml:space="preserve"> </w:t>
      </w:r>
      <w:r>
        <w:rPr>
          <w:rStyle w:val="VerbatimChar"/>
        </w:rPr>
        <w:t xml:space="preserve">and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Таблиця істинності булевої (логічної) операції</w:t>
      </w:r>
      <w:r>
        <w:t xml:space="preserve"> </w:t>
      </w:r>
      <w:r>
        <w:rPr>
          <w:rStyle w:val="VerbatimChar"/>
        </w:rPr>
        <w:t xml:space="preserve">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Запис складних булевих (логічних) виразів.</w:t>
      </w:r>
    </w:p>
    <w:p>
      <w:pPr>
        <w:numPr>
          <w:ilvl w:val="0"/>
          <w:numId w:val="1005"/>
        </w:numPr>
        <w:pStyle w:val="Compact"/>
      </w:pPr>
      <w:r>
        <w:t xml:space="preserve">Які існують варіанти використання вкладених умовних конструкцій (при наявності альтернативної гілки та при її відсутності) та особливості запису таких вкладених конструкцій мовою програмування?</w:t>
      </w:r>
    </w:p>
    <w:bookmarkEnd w:id="27"/>
    <w:bookmarkStart w:id="28" w:name="варіанти-індивідуальних-завдань"/>
    <w:p>
      <w:pPr>
        <w:pStyle w:val="Heading2"/>
      </w:pPr>
      <w:r>
        <w:t xml:space="preserve">5. Варіанти індивідуальних завдань</w:t>
      </w:r>
    </w:p>
    <w:p>
      <w:pPr>
        <w:pStyle w:val="FirstParagraph"/>
      </w:pPr>
      <w:r>
        <w:t xml:space="preserve">Для заданого дійсного x обчислити:</w:t>
      </w:r>
    </w:p>
    <w:p>
      <w:pPr>
        <w:pStyle w:val="SourceCode"/>
      </w:pPr>
      <w:r>
        <w:rPr>
          <w:rStyle w:val="VerbatimChar"/>
        </w:rPr>
        <w:t xml:space="preserve">         f1(x) ,  x ∈ D1</w:t>
      </w:r>
      <w:r>
        <w:br/>
      </w:r>
      <w:r>
        <w:rPr>
          <w:rStyle w:val="VerbatimChar"/>
        </w:rPr>
        <w:t xml:space="preserve">y(x) =</w:t>
      </w:r>
      <w:r>
        <w:br/>
      </w:r>
      <w:r>
        <w:rPr>
          <w:rStyle w:val="VerbatimChar"/>
        </w:rPr>
        <w:t xml:space="preserve">         f2(x) ,  x ∈ D2</w:t>
      </w:r>
    </w:p>
    <w:p>
      <w:pPr>
        <w:pStyle w:val="FirstParagraph"/>
      </w:pPr>
      <w:r>
        <w:t xml:space="preserve">(для x поза об’єднанням D1 ∪ D2 функція не визначена — програма повинна вивести відповідне повідомлення).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f1(x), x ∈ 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f2(x), x ∈ 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1, 11, 21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10x³ + 7x/5 + 2, x ∈ [–49,–10) ∪ (0,10]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 + 9, x ∈ (20, +∞)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2, 12, 22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x³ – 5x², x ∈ (0,5]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– 3, x ∈ [–32,–20) ∪ (10, +∞)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3, 13, 23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–14x – 20, x ∈ (–21,3] ∪ (12, +∞)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13x²/11 – 6, x ∈ (–∞, –41]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4, 14, 24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4x² + 2, x ∈ (–15,3]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3x³/4 – 5, x ∈ (–∞, –30] ∪ (20, +∞)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5, 15, 25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x³ – 6, x ∈ (–10,–5] ∪ (5,15]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2x³ – 3x + 2, x ∈ [25, +∞)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6, 16, 26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x³ + 14, x ∈ [2,7]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–4x³ + 3x – 7, x ∈ (–13,–3] ∪ (14, +∞)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7, 17, 27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–3x²/5 + 9, x ∈ [0,8] ∪ [16, +∞)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15x – 2, x ∈ (–∞, 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8, 18, 28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–6x² + 8, x ∈ [0,7)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–x³/7 + 10, x ∈ (–∞, –10] ∪ [11, +∞)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9, 19, 29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–9x³ + 5x², x ∈ (2,12] ∪ (22,32)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–x² – 12, x ∈ (–∞, 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10, 20, 30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–5x³ + 10, x ∈ [8,23)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2x³ + 8x², x ∈ (–∞, –19) ∪ (–3,0]</w:t>
            </w:r>
          </w:p>
        </w:tc>
      </w:tr>
    </w:tbl>
    <w:p>
      <w:pPr>
        <w:pStyle w:val="BodyText"/>
      </w:pPr>
      <w:r>
        <w:rPr>
          <w:iCs/>
          <w:i/>
        </w:rPr>
        <w:t xml:space="preserve">(Джерело нумерує 30 варіантів, кожні 10 з яких повторюють ту саму функцію — таблиця вище об’єднує їх за формулою; викладач призначає конкретний номер варіанта 1–30, формула визначається за залишком від ділення на 10, де залишок 0 відповідає рядку «10, 20, 30».)</w:t>
      </w:r>
    </w:p>
    <w:p>
      <w:pPr>
        <w:pStyle w:val="BodyText"/>
      </w:pPr>
      <w:r>
        <w:rPr>
          <w:iCs/>
          <w:i/>
        </w:rPr>
        <w:t xml:space="preserve">(кінець документа)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://mechatronics.me.wisc.edu/labresources/DataSheets/NASA-GSFC_C_Programming_Styles-94-00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mechatronics.me.wisc.edu/labresources/DataSheets/NASA-GSFC_C_Programming_Styles-94-00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2026-09-05T10:10:40Z</dcterms:created>
  <dcterms:modified xsi:type="dcterms:W3CDTF">2026-09-05T10:10:40Z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