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A66C2"/>
          <w:sz w:val="28"/>
          <w:szCs w:val="28"/>
        </w:rPr>
        <w:t xml:space="preserve">Ledger Summit</w:t>
      </w:r>
    </w:p>
    <w:p>
      <w:pPr>
        <w:spacing w:after="80"/>
      </w:pPr>
      <w:r>
        <w:rPr>
          <w:b/>
          <w:bCs/>
          <w:sz w:val="44"/>
          <w:szCs w:val="44"/>
        </w:rPr>
        <w:t xml:space="preserve">Revised AI/SEO content strategy</w:t>
      </w:r>
    </w:p>
    <w:p>
      <w:pPr>
        <w:spacing w:after="240"/>
      </w:pPr>
      <w:r>
        <w:rPr>
          <w:i/>
          <w:iCs/>
          <w:color w:val="4B5563"/>
          <w:sz w:val="22"/>
          <w:szCs w:val="22"/>
        </w:rPr>
        <w:t xml:space="preserve">Audit of the existing plan + competitor &amp; SERP gap research + a three‑pillar build for case studies, system implementation, and professional services.</w:t>
      </w:r>
    </w:p>
    <w:p>
      <w:pPr>
        <w:pStyle w:val="Heading1"/>
      </w:pPr>
      <w:r>
        <w:t xml:space="preserve">Executive summary</w:t>
      </w:r>
    </w:p>
    <w:p>
      <w:pPr>
        <w:spacing w:after="120" w:before="0"/>
      </w:pPr>
      <w:r>
        <w:t xml:space="preserve">The existing plan (ledger_summit_ai_seo_content_strategy.xlsx, 2026‑05‑03) is well‑scoped for the work it covers — accounting and finance automation pillars, a strong QuickBooks tool cluster, and Tool Box AI as a product hub. It would land Ledger Summit in the conversation for the head terms it targets.</w:t>
      </w:r>
    </w:p>
    <w:p>
      <w:pPr>
        <w:spacing w:after="120" w:before="0"/>
      </w:pPr>
      <w:r>
        <w:t xml:space="preserve">It is not yet wide enough on three fronts the market is now paying for:</w:t>
      </w:r>
    </w:p>
    <w:p>
      <w:pPr>
        <w:pStyle w:val="ListParagraph"/>
        <w:numPr>
          <w:ilvl w:val="0"/>
          <w:numId w:val="2"/>
        </w:numPr>
        <w:spacing w:after="60"/>
      </w:pPr>
      <w:r>
        <w:rPr>
          <w:b/>
          <w:bCs/>
        </w:rPr>
        <w:t xml:space="preserve">Case studies that name a vertical and an ERP. </w:t>
      </w:r>
      <w:r>
        <w:t xml:space="preserve">The current plan adds five — but the highest‑demand SERPs in 2026 reward proof at the intersection of a workflow and a system: SaaS rev‑rec, manufacturing close, multi‑entity intercompany, ASC 842 remediation, QBO → NetSuite migration, GovCon timesheet‑to‑billing, PE portco transformation. These are largely missing.</w:t>
      </w:r>
    </w:p>
    <w:p>
      <w:pPr>
        <w:pStyle w:val="ListParagraph"/>
        <w:numPr>
          <w:ilvl w:val="0"/>
          <w:numId w:val="2"/>
        </w:numPr>
        <w:spacing w:after="60"/>
      </w:pPr>
      <w:r>
        <w:rPr>
          <w:b/>
          <w:bCs/>
        </w:rPr>
        <w:t xml:space="preserve">System implementation as a service. </w:t>
      </w:r>
      <w:r>
        <w:t xml:space="preserve">Today the plan sells "automation services" but does not pitch the act of implementing or migrating between systems (NetSuite, Sage Intacct, Ramp, Bill, FloQast, BlackLine, Numeric). Implementation‑intent queries are large and underserved; capturing them differentiates Ledger Summit from product‑only competitors.</w:t>
      </w:r>
    </w:p>
    <w:p>
      <w:pPr>
        <w:pStyle w:val="ListParagraph"/>
        <w:numPr>
          <w:ilvl w:val="0"/>
          <w:numId w:val="2"/>
        </w:numPr>
        <w:spacing w:after="60"/>
      </w:pPr>
      <w:r>
        <w:rPr>
          <w:b/>
          <w:bCs/>
        </w:rPr>
        <w:t xml:space="preserve">Professional services / fractional offerings. </w:t>
      </w:r>
      <w:r>
        <w:t xml:space="preserve">Fractional controller, fractional CFO, managed close‑as‑a‑service, ASC 606/842 services, IPO readiness, and audit prep are absent. These pages capture buyers in evaluation mode and unlock recurring revenue beyond automation projects.</w:t>
      </w:r>
    </w:p>
    <w:p>
      <w:pPr>
        <w:spacing w:after="120" w:before="0"/>
      </w:pPr>
      <w:r/>
      <w:r/>
    </w:p>
    <w:p>
      <w:pPr>
        <w:pStyle w:val="Heading1"/>
      </w:pPr>
      <w:r>
        <w:t xml:space="preserve">1.  Audit of the current plan</w:t>
      </w:r>
    </w:p>
    <w:p>
      <w:pPr>
        <w:pStyle w:val="Heading3"/>
      </w:pPr>
      <w:r>
        <w:t xml:space="preserve">Strengths</w:t>
      </w:r>
    </w:p>
    <w:p>
      <w:pPr>
        <w:pStyle w:val="ListParagraph"/>
        <w:numPr>
          <w:ilvl w:val="0"/>
          <w:numId w:val="2"/>
        </w:numPr>
        <w:spacing w:after="60"/>
      </w:pPr>
      <w:r>
        <w:t xml:space="preserve">Solid pillar architecture (accounting / finance / Tool Box AI) and clean prioritization across 28 items.</w:t>
      </w:r>
    </w:p>
    <w:p>
      <w:pPr>
        <w:pStyle w:val="ListParagraph"/>
        <w:numPr>
          <w:ilvl w:val="0"/>
          <w:numId w:val="2"/>
        </w:numPr>
        <w:spacing w:after="60"/>
      </w:pPr>
      <w:r>
        <w:t xml:space="preserve">The QuickBooks tool cluster is the strongest authority asset on the site — eight existing tools point at one services page is exactly the right play.</w:t>
      </w:r>
    </w:p>
    <w:p>
      <w:pPr>
        <w:pStyle w:val="ListParagraph"/>
        <w:numPr>
          <w:ilvl w:val="0"/>
          <w:numId w:val="2"/>
        </w:numPr>
        <w:spacing w:after="60"/>
      </w:pPr>
      <w:r>
        <w:t xml:space="preserve">Construction sub‑cluster (WIP, POC, AIA, subcontractor) is unusually deep for a U.S. mid‑market firm and is genuinely differentiated.</w:t>
      </w:r>
    </w:p>
    <w:p>
      <w:pPr>
        <w:pStyle w:val="ListParagraph"/>
        <w:numPr>
          <w:ilvl w:val="0"/>
          <w:numId w:val="2"/>
        </w:numPr>
        <w:spacing w:after="60"/>
      </w:pPr>
      <w:r>
        <w:t xml:space="preserve">Search‑intent classification, schema recs, and internal‑link plan are well thought out — most of this can stay verbatim.</w:t>
      </w:r>
    </w:p>
    <w:p>
      <w:pPr>
        <w:pStyle w:val="ListParagraph"/>
        <w:numPr>
          <w:ilvl w:val="0"/>
          <w:numId w:val="2"/>
        </w:numPr>
        <w:spacing w:after="60"/>
      </w:pPr>
      <w:r>
        <w:t xml:space="preserve">The plan already names many of the right head terms ("month end close automation," "financial reporting automation," "procure‑to‑pay automation," "netsuite automation," "costpoint automation"). Few firms covering this space have this discipline.</w:t>
      </w:r>
    </w:p>
    <w:p>
      <w:pPr>
        <w:pStyle w:val="Heading3"/>
      </w:pPr>
      <w:r>
        <w:t xml:space="preserve">Gaps</w:t>
      </w:r>
    </w:p>
    <w:p>
      <w:pPr>
        <w:pStyle w:val="ListParagraph"/>
        <w:numPr>
          <w:ilvl w:val="0"/>
          <w:numId w:val="2"/>
        </w:numPr>
        <w:spacing w:after="60"/>
      </w:pPr>
      <w:r>
        <w:rPr>
          <w:b/>
          <w:bCs/>
        </w:rPr>
        <w:t xml:space="preserve">Vertical depth is shallow outside construction and GovCon. </w:t>
      </w:r>
      <w:r>
        <w:t xml:space="preserve">SaaS, manufacturing, non‑profit, PE portco, and family office are large mid‑market wedges with named ERPs and named auditors and underbuilt SERPs.</w:t>
      </w:r>
    </w:p>
    <w:p>
      <w:pPr>
        <w:pStyle w:val="ListParagraph"/>
        <w:numPr>
          <w:ilvl w:val="0"/>
          <w:numId w:val="2"/>
        </w:numPr>
        <w:spacing w:after="60"/>
      </w:pPr>
      <w:r>
        <w:rPr>
          <w:b/>
          <w:bCs/>
        </w:rPr>
        <w:t xml:space="preserve">Implementation/migration pages are missing. </w:t>
      </w:r>
      <w:r>
        <w:t xml:space="preserve">"NetSuite implementation partner," "Sage Intacct implementation services," "QuickBooks to NetSuite migration," "Ramp implementation" are commercial‑intent queries with thin SERPs and high CPC.</w:t>
      </w:r>
    </w:p>
    <w:p>
      <w:pPr>
        <w:pStyle w:val="ListParagraph"/>
        <w:numPr>
          <w:ilvl w:val="0"/>
          <w:numId w:val="2"/>
        </w:numPr>
        <w:spacing w:after="60"/>
      </w:pPr>
      <w:r>
        <w:rPr>
          <w:b/>
          <w:bCs/>
        </w:rPr>
        <w:t xml:space="preserve">Professional services are missing. </w:t>
      </w:r>
      <w:r>
        <w:t xml:space="preserve">Fractional controller / CFO, outsourced FP&amp;A, interim controller, managed close‑as‑a‑service, and tech‑accounting service offerings (ASC 606/842, IPO readiness, carve‑out, technical memos) are not in the plan at all.</w:t>
      </w:r>
    </w:p>
    <w:p>
      <w:pPr>
        <w:pStyle w:val="ListParagraph"/>
        <w:numPr>
          <w:ilvl w:val="0"/>
          <w:numId w:val="2"/>
        </w:numPr>
        <w:spacing w:after="60"/>
      </w:pPr>
      <w:r>
        <w:rPr>
          <w:b/>
          <w:bCs/>
        </w:rPr>
        <w:t xml:space="preserve">Comparison &amp; alternative pages are missing. </w:t>
      </w:r>
      <w:r>
        <w:t xml:space="preserve">"FloQast alternative," "BlackLine alternative," "Costpoint customization vs. Tool Box AI" — these capture in‑market buyers and current SERPs are vendor‑biased.</w:t>
      </w:r>
    </w:p>
    <w:p>
      <w:pPr>
        <w:pStyle w:val="ListParagraph"/>
        <w:numPr>
          <w:ilvl w:val="0"/>
          <w:numId w:val="2"/>
        </w:numPr>
        <w:spacing w:after="60"/>
      </w:pPr>
      <w:r>
        <w:rPr>
          <w:b/>
          <w:bCs/>
        </w:rPr>
        <w:t xml:space="preserve">AEO/answer‑engine assets are thin. </w:t>
      </w:r>
      <w:r>
        <w:t xml:space="preserve">AI Overviews now appear on ~48% of Google queries; AI search visitors convert 4–5× organic. The plan should treat each money page as an answer‑engine asset (short answer block, FAQ schema, citation‑ready stat lines).</w:t>
      </w:r>
    </w:p>
    <w:p>
      <w:pPr>
        <w:pStyle w:val="ListParagraph"/>
        <w:numPr>
          <w:ilvl w:val="0"/>
          <w:numId w:val="2"/>
        </w:numPr>
        <w:spacing w:after="60"/>
      </w:pPr>
      <w:r>
        <w:rPr>
          <w:b/>
          <w:bCs/>
        </w:rPr>
        <w:t xml:space="preserve">No 'AI controls / SOX‑for‑AI' content. </w:t>
      </w:r>
      <w:r>
        <w:t xml:space="preserve">PCAOB tech‑assisted‑analysis amendments are now in force and auditors are pushing back on AI evidence. Ledger Summit can claim this category before competitors notice it exists.</w:t>
      </w:r>
    </w:p>
    <w:p>
      <w:pPr>
        <w:pStyle w:val="ListParagraph"/>
        <w:numPr>
          <w:ilvl w:val="0"/>
          <w:numId w:val="2"/>
        </w:numPr>
        <w:spacing w:after="60"/>
      </w:pPr>
      <w:r>
        <w:rPr>
          <w:b/>
          <w:bCs/>
        </w:rPr>
        <w:t xml:space="preserve">No category claim on "close‑as‑a‑service." </w:t>
      </w:r>
      <w:r>
        <w:t xml:space="preserve">Greenfield SERP, growing demand from PE portcos. Worth claiming early.</w:t>
      </w:r>
    </w:p>
    <w:p>
      <w:pPr>
        <w:pStyle w:val="Heading1"/>
      </w:pPr>
      <w:r>
        <w:t xml:space="preserve">2.  Competitive landscape</w:t>
      </w:r>
    </w:p>
    <w:p>
      <w:pPr>
        <w:spacing w:after="120" w:before="0"/>
      </w:pPr>
      <w:r>
        <w:t xml:space="preserve">Ledger Summit's authentic wedge is "AI on top of your existing ERP, delivered as an implementation" — neither services firms nor SaaS vendors own that position well.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260"/>
      </w:tblGrid>
      <w:tr>
        <w:trPr>
          <w:tblHeader/>
        </w:trPr>
        <w:tc>
          <w:tcPr>
            <w:tcW w:type="dxa" w:w="22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Bucket</w:t>
            </w:r>
          </w:p>
        </w:tc>
        <w:tc>
          <w:tcPr>
            <w:tcW w:type="dxa" w:w="44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Notable competitors</w:t>
            </w:r>
          </w:p>
        </w:tc>
        <w:tc>
          <w:tcPr>
            <w:tcW w:type="dxa" w:w="32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Weakness Ledger Summit can exploit</w:t>
            </w:r>
          </w:p>
        </w:tc>
      </w:tr>
      <w:tr>
        <w:tc>
          <w:tcPr>
            <w:tcW w:type="dxa" w:w="2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Services firms</w:t>
            </w:r>
          </w:p>
        </w:tc>
        <w:tc>
          <w:tcPr>
            <w:tcW w:type="dxa" w:w="44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RSM, Armanino, CrossCountry, CFGI, Eide Bailly, Centri, BPM, Withum, Aprio, E78, Consero</w:t>
            </w:r>
          </w:p>
        </w:tc>
        <w:tc>
          <w:tcPr>
            <w:tcW w:type="dxa" w:w="3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Brand‑led; thin procedural content; not AI‑native</w:t>
            </w:r>
          </w:p>
        </w:tc>
      </w:tr>
      <w:tr>
        <w:tc>
          <w:tcPr>
            <w:tcW w:type="dxa" w:w="2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Software (close)</w:t>
            </w:r>
          </w:p>
        </w:tc>
        <w:tc>
          <w:tcPr>
            <w:tcW w:type="dxa" w:w="44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FloQast, Numeric, BlackLine, Trintech, Nominal, Trullion</w:t>
            </w:r>
          </w:p>
        </w:tc>
        <w:tc>
          <w:tcPr>
            <w:tcW w:type="dxa" w:w="3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Software‑first; no implementation depth; light proof</w:t>
            </w:r>
          </w:p>
        </w:tc>
      </w:tr>
      <w:tr>
        <w:tc>
          <w:tcPr>
            <w:tcW w:type="dxa" w:w="2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Software (P2P/O2C)</w:t>
            </w:r>
          </w:p>
        </w:tc>
        <w:tc>
          <w:tcPr>
            <w:tcW w:type="dxa" w:w="44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Bill, Ramp, Tipalti, Stampli, Coupa, AvidXchange, HighRadius, Versapay, Lockstep</w:t>
            </w:r>
          </w:p>
        </w:tc>
        <w:tc>
          <w:tcPr>
            <w:tcW w:type="dxa" w:w="3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Single‑process; no holistic close/AI story</w:t>
            </w:r>
          </w:p>
        </w:tc>
      </w:tr>
      <w:tr>
        <w:tc>
          <w:tcPr>
            <w:tcW w:type="dxa" w:w="2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VARs</w:t>
            </w:r>
          </w:p>
        </w:tc>
        <w:tc>
          <w:tcPr>
            <w:tcW w:type="dxa" w:w="44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Myers‑Holum, Protelo, Bryant Park, Centium, TeamBlueSky</w:t>
            </w:r>
          </w:p>
        </w:tc>
        <w:tc>
          <w:tcPr>
            <w:tcW w:type="dxa" w:w="3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Tactical ERP only; no AI‑on‑top narrative</w:t>
            </w:r>
          </w:p>
        </w:tc>
      </w:tr>
      <w:tr>
        <w:tc>
          <w:tcPr>
            <w:tcW w:type="dxa" w:w="2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EPM/Reporting</w:t>
            </w:r>
          </w:p>
        </w:tc>
        <w:tc>
          <w:tcPr>
            <w:tcW w:type="dxa" w:w="44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Vena, OneStream, Workiva</w:t>
            </w:r>
          </w:p>
        </w:tc>
        <w:tc>
          <w:tcPr>
            <w:tcW w:type="dxa" w:w="3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EPM‑heavy; not capturing close/automation intent</w:t>
            </w:r>
          </w:p>
        </w:tc>
      </w:tr>
    </w:tbl>
    <w:p>
      <w:pPr>
        <w:spacing w:after="120" w:before="0"/>
      </w:pPr>
      <w:r>
        <w:t xml:space="preserve"/>
      </w:r>
    </w:p>
    <w:p>
      <w:pPr>
        <w:spacing w:after="120" w:before="0"/>
      </w:pPr>
      <w:r/>
      <w:r/>
    </w:p>
    <w:p>
      <w:pPr>
        <w:pStyle w:val="Heading1"/>
      </w:pPr>
      <w:r>
        <w:t xml:space="preserve">3.  High‑demand queries with weak top‑10 results</w:t>
      </w:r>
    </w:p>
    <w:p>
      <w:pPr>
        <w:spacing w:after="120" w:before="0"/>
      </w:pPr>
      <w:r>
        <w:t xml:space="preserve">Specific openings where the current top results are listicles, vendor brochures, AI‑spun thin content, or 2023–2024 explainers. Each is a clean entry point for an implementation‑led page.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360"/>
      </w:tblGrid>
      <w:tr>
        <w:trPr>
          <w:tblHeader/>
        </w:trPr>
        <w:tc>
          <w:tcPr>
            <w:tcW w:type="dxa" w:w="30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Query</w:t>
            </w:r>
          </w:p>
        </w:tc>
        <w:tc>
          <w:tcPr>
            <w:tcW w:type="dxa" w:w="3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Today's top 10 (paraphrased)</w:t>
            </w:r>
          </w:p>
        </w:tc>
        <w:tc>
          <w:tcPr>
            <w:tcW w:type="dxa" w:w="33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Why Ledger Summit can win</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month end close automation</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Top 10: vendor listicles (Numeric/Spendesk/HighRadius)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implementation playbook with controls</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for controllers</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Hype + careers content from 2024–2025</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workflow‑by‑workflow playbook</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automation</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App‑roundup posts; Intuit help center</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automation roadmap</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automation</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Oracle pages + reseller brochures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post‑implementation optimization angle</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costpoint automation</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Deltek + a few VAR posts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Nothing controller‑facing</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readiness assessment for finance</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Fivetran + AI‑spun listicles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real 50‑point scorecard</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automation</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RecVue/Finquery 2022–2024 vendor blogs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Post‑adoption remediation gap</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blackline alternative</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Numeric/Nominal vendor‑biased posts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neutral implementation guide</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controller services</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Local SEO + listicles</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 AI‑enabled differentiation</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close as a service</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Almost no SERP; greenfield</w:t>
            </w:r>
          </w:p>
        </w:tc>
        <w:tc>
          <w:tcPr>
            <w:tcW w:type="dxa" w:w="3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Pure category claim</w:t>
            </w:r>
          </w:p>
        </w:tc>
      </w:tr>
    </w:tbl>
    <w:p>
      <w:pPr>
        <w:pStyle w:val="Heading1"/>
      </w:pPr>
      <w:r>
        <w:t xml:space="preserve">4.  AEO/answer‑engine question targets</w:t>
      </w:r>
    </w:p>
    <w:p>
      <w:pPr>
        <w:spacing w:after="120" w:before="0"/>
      </w:pPr>
      <w:r>
        <w:t xml:space="preserve">Each of the questions below is a high‑intent prompt to ChatGPT/Perplexity/Google AI Overviews where a controls‑first, implementation‑led answer beats today's vendor‑brochure responses. Each money page should answer at least 2–3 of these in a structured FAQ block with FAQPage + HowTo schema.</w:t>
      </w:r>
    </w:p>
    <w:p>
      <w:pPr>
        <w:pStyle w:val="ListParagraph"/>
        <w:numPr>
          <w:ilvl w:val="0"/>
          <w:numId w:val="2"/>
        </w:numPr>
        <w:spacing w:after="60"/>
      </w:pPr>
      <w:r>
        <w:t xml:space="preserve">How do I implement AI in our month‑end close without breaking SOX controls?</w:t>
      </w:r>
    </w:p>
    <w:p>
      <w:pPr>
        <w:pStyle w:val="ListParagraph"/>
        <w:numPr>
          <w:ilvl w:val="0"/>
          <w:numId w:val="2"/>
        </w:numPr>
        <w:spacing w:after="60"/>
      </w:pPr>
      <w:r>
        <w:t xml:space="preserve">What's the right sequence to roll out AI agents in finance — close, AP, or FP&amp;A first?</w:t>
      </w:r>
    </w:p>
    <w:p>
      <w:pPr>
        <w:pStyle w:val="ListParagraph"/>
        <w:numPr>
          <w:ilvl w:val="0"/>
          <w:numId w:val="2"/>
        </w:numPr>
        <w:spacing w:after="60"/>
      </w:pPr>
      <w:r>
        <w:t xml:space="preserve">What does an AI‑readiness assessment for a controller actually include?</w:t>
      </w:r>
    </w:p>
    <w:p>
      <w:pPr>
        <w:pStyle w:val="ListParagraph"/>
        <w:numPr>
          <w:ilvl w:val="0"/>
          <w:numId w:val="2"/>
        </w:numPr>
        <w:spacing w:after="60"/>
      </w:pPr>
      <w:r>
        <w:t xml:space="preserve">How long does a NetSuite implementation really take for a $50M company?</w:t>
      </w:r>
    </w:p>
    <w:p>
      <w:pPr>
        <w:pStyle w:val="ListParagraph"/>
        <w:numPr>
          <w:ilvl w:val="0"/>
          <w:numId w:val="2"/>
        </w:numPr>
        <w:spacing w:after="60"/>
      </w:pPr>
      <w:r>
        <w:t xml:space="preserve">When should we migrate from QuickBooks to NetSuite vs. Sage Intacct?</w:t>
      </w:r>
    </w:p>
    <w:p>
      <w:pPr>
        <w:pStyle w:val="ListParagraph"/>
        <w:numPr>
          <w:ilvl w:val="0"/>
          <w:numId w:val="2"/>
        </w:numPr>
        <w:spacing w:after="60"/>
      </w:pPr>
      <w:r>
        <w:t xml:space="preserve">What's the difference between FloQast, BlackLine, and Numeric for a 5‑day close?</w:t>
      </w:r>
    </w:p>
    <w:p>
      <w:pPr>
        <w:pStyle w:val="ListParagraph"/>
        <w:numPr>
          <w:ilvl w:val="0"/>
          <w:numId w:val="2"/>
        </w:numPr>
        <w:spacing w:after="60"/>
      </w:pPr>
      <w:r>
        <w:t xml:space="preserve">What controls do auditors expect when GenAI touches the GL?</w:t>
      </w:r>
    </w:p>
    <w:p>
      <w:pPr>
        <w:pStyle w:val="ListParagraph"/>
        <w:numPr>
          <w:ilvl w:val="0"/>
          <w:numId w:val="2"/>
        </w:numPr>
        <w:spacing w:after="60"/>
      </w:pPr>
      <w:r>
        <w:t xml:space="preserve">How do you pass an audit when AI agents post journal entries?</w:t>
      </w:r>
    </w:p>
    <w:p>
      <w:pPr>
        <w:pStyle w:val="ListParagraph"/>
        <w:numPr>
          <w:ilvl w:val="0"/>
          <w:numId w:val="2"/>
        </w:numPr>
        <w:spacing w:after="60"/>
      </w:pPr>
      <w:r>
        <w:t xml:space="preserve">How do you build a finance data warehouse for under $50K?</w:t>
      </w:r>
    </w:p>
    <w:p>
      <w:pPr>
        <w:pStyle w:val="ListParagraph"/>
        <w:numPr>
          <w:ilvl w:val="0"/>
          <w:numId w:val="2"/>
        </w:numPr>
        <w:spacing w:after="60"/>
      </w:pPr>
      <w:r>
        <w:t xml:space="preserve">What's the implementation playbook for ASC 842 remediation in 2026?</w:t>
      </w:r>
    </w:p>
    <w:p>
      <w:pPr>
        <w:pStyle w:val="ListParagraph"/>
        <w:numPr>
          <w:ilvl w:val="0"/>
          <w:numId w:val="2"/>
        </w:numPr>
        <w:spacing w:after="60"/>
      </w:pPr>
      <w:r>
        <w:t xml:space="preserve">What does 'audit‑ready close' mean and how do you build one in 90 days?</w:t>
      </w:r>
    </w:p>
    <w:p>
      <w:pPr>
        <w:pStyle w:val="ListParagraph"/>
        <w:numPr>
          <w:ilvl w:val="0"/>
          <w:numId w:val="2"/>
        </w:numPr>
        <w:spacing w:after="60"/>
      </w:pPr>
      <w:r>
        <w:t xml:space="preserve">How does a Costpoint shop automate DCAA‑compliant timesheet‑to‑billing?</w:t>
      </w:r>
    </w:p>
    <w:p>
      <w:r>
        <w:br w:type="page"/>
      </w:r>
    </w:p>
    <w:p>
      <w:pPr>
        <w:pStyle w:val="Heading1"/>
      </w:pPr>
      <w:r>
        <w:t xml:space="preserve">5.  Pillar 1 — Case studies (vertical × system × workflow)</w:t>
      </w:r>
    </w:p>
    <w:p>
      <w:pPr>
        <w:spacing w:after="120" w:before="0"/>
      </w:pPr>
      <w:r>
        <w:t xml:space="preserve">The current plan adds five case studies. Add the twelve below to triple proof coverage across the verticals and ERPs that appear most often in mid‑market AI/automation buying conversations. Each should be ~1,200–1,800 words with: profile (industry, revenue, ERP), problem, what was implemented, controls/audit posture, before/after metrics, implementation timeline, and a buyer‑relevant CTA.</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1100"/>
        <w:gridCol w:w="2260"/>
      </w:tblGrid>
      <w:tr>
        <w:trPr>
          <w:tblHeader/>
        </w:trPr>
        <w:tc>
          <w:tcPr>
            <w:tcW w:type="dxa" w:w="37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Case study</w:t>
            </w:r>
          </w:p>
        </w:tc>
        <w:tc>
          <w:tcPr>
            <w:tcW w:type="dxa" w:w="28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Target keyword</w:t>
            </w:r>
          </w:p>
        </w:tc>
        <w:tc>
          <w:tcPr>
            <w:tcW w:type="dxa" w:w="11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Priority</w:t>
            </w:r>
          </w:p>
        </w:tc>
        <w:tc>
          <w:tcPr>
            <w:tcW w:type="dxa" w:w="22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Why it wins</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SaaS Revenue Recognition Automation (ASC 606)</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saas revenue recognition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$50M ARR SaaS, deferred rev/invoice‑to‑cash; show usage‑based + contract modifications</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Manufacturing Month‑End Close (Inventory Cutoff)</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manufacturing close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Discrete mfg, std cost, WIP, cutoff exceptions; ties to inventory recon tools</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PE‑Backed Portfolio Company Finance Transformation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pe backed cfo close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First‑100‑days story for portco CFO; close days, KPI pack, lender reporting</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Construction WIP + AIA Billing End‑to‑End</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construction wip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Job cost → WIP → POC → AIA G702/G703 → reporting; named contractor profile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GovCon DCAA‑Compliant Timesheet‑to‑Billing</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government contractor accounting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Costpoint or Unanet shop; labor distribution, indirect rates, audit pack</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Multi‑Entity Intercompany Elimination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intercompany elimination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Replaces BlackLine narrative; 5+ entities, FX, eliminations, consolidation</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Lease Accounting Remediation (Post‑Adoption Cleanup)</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remediation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Shows messy data fix, modifications, disclosures</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From QuickBooks to NetSuite in 90 Days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to netsuite migration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Cut date, COA mapping, parallel close, cutover risk register</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Family Office / Holdco Consolidation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family office consolidation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Multi‑LLC, K‑1 ready, GIPS‑style reporting</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Non‑Profit Fund Accounting + Grant Close</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nonprofit fund accounting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Sage Intacct or NetSuite; restricted funds, grants, board pack</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AP / P2P Automation in Mid‑Market (Bill+Ramp Stack)</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p2p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3‑way match, approvals, exceptions, ERP sync</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AR / O2C Automation with Cash Application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order to cash automation case study</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Invoicing, collections, dunning, dispute, cash app</w:t>
            </w:r>
          </w:p>
        </w:tc>
      </w:tr>
    </w:tbl>
    <w:p>
      <w:pPr>
        <w:spacing w:after="120" w:before="0"/>
      </w:pPr>
      <w:r>
        <w:t xml:space="preserve"/>
      </w:r>
    </w:p>
    <w:p>
      <w:pPr>
        <w:spacing w:after="120" w:before="0"/>
      </w:pPr>
      <w:r/>
      <w:r/>
    </w:p>
    <w:p>
      <w:r>
        <w:br w:type="page"/>
      </w:r>
    </w:p>
    <w:p>
      <w:pPr>
        <w:pStyle w:val="Heading1"/>
      </w:pPr>
      <w:r>
        <w:t xml:space="preserve">6.  Pillar 2 — System implementation services</w:t>
      </w:r>
    </w:p>
    <w:p>
      <w:pPr>
        <w:spacing w:after="120" w:before="0"/>
      </w:pPr>
      <w:r>
        <w:t xml:space="preserve">The current plan covers "automation" but not the act of implementing, migrating, or upgrading the underlying systems. These pages capture buyers earlier — in evaluation, RFP, or ERP‑switch mode — and feed naturally into the existing automation pillars.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1100"/>
        <w:gridCol w:w="2260"/>
      </w:tblGrid>
      <w:tr>
        <w:trPr>
          <w:tblHeader/>
        </w:trPr>
        <w:tc>
          <w:tcPr>
            <w:tcW w:type="dxa" w:w="37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New page</w:t>
            </w:r>
          </w:p>
        </w:tc>
        <w:tc>
          <w:tcPr>
            <w:tcW w:type="dxa" w:w="28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Target keyword</w:t>
            </w:r>
          </w:p>
        </w:tc>
        <w:tc>
          <w:tcPr>
            <w:tcW w:type="dxa" w:w="11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Priority</w:t>
            </w:r>
          </w:p>
        </w:tc>
        <w:tc>
          <w:tcPr>
            <w:tcW w:type="dxa" w:w="22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Notes / angle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Implementation Partner</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implementation partner</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U.S. mid‑market; controls‑first build; vertical add‑ons (saas, mfg, construction, govcon)</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Sage Intacct Implementation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sage intacct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Strong fit for non‑profits, services, multi‑entity SMB</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 NetSuite Migration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to netsuite migration</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Full migration playbook page with checklist + tool</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 Sage Intacct Migration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to sage intacct migration</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Companion migration page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Ramp Implementation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ramp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Cards, bills, AP automation, ERP sync; controllers want this rolled out properly</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Bill.com / Bill Implementation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bill com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Workflow, approvals, ERP sync; supports P2P pillar</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FloQast Alternative &amp; Implementation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floqast alternative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Implementation‑led answer to checklist‑only competitors</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BlackLine Alternative &amp; Implementation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blackline alternative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Mid‑market controls + reconciliation done lighter</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Numeric / Nominal Implementation</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numeric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Capture buyers in eval mode; real rollout playbook</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Modern Finance Data Stack (Fivetran + Snowflake)</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data warehouse for finance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Foundation for AI; pairs with AI‑readiness assessment</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AI‑Readiness Assessment for Finance Teams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readiness assessment for finance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Hub asset; 50‑point scorecard, gated download, lead magnet</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Controls Framework (SOX‑Ready Agents)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sox controls for ai agents in finance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Defining the category; controls matrix, evidence pack template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Audit‑Ready Close Playbook (90‑Day Build)</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audit ready close playbook</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Differentiates Ledger Summit from feature pages</w:t>
            </w:r>
          </w:p>
        </w:tc>
      </w:tr>
    </w:tbl>
    <w:p>
      <w:pPr>
        <w:spacing w:after="120" w:before="0"/>
      </w:pPr>
      <w:r>
        <w:t xml:space="preserve"/>
      </w:r>
    </w:p>
    <w:p>
      <w:pPr>
        <w:spacing w:after="120" w:before="0"/>
      </w:pPr>
      <w:r/>
      <w:r/>
    </w:p>
    <w:p>
      <w:r>
        <w:br w:type="page"/>
      </w:r>
    </w:p>
    <w:p>
      <w:pPr>
        <w:pStyle w:val="Heading1"/>
      </w:pPr>
      <w:r>
        <w:t xml:space="preserve">7.  Pillar 3 — Professional &amp; managed services</w:t>
      </w:r>
    </w:p>
    <w:p>
      <w:pPr>
        <w:spacing w:after="120" w:before="0"/>
      </w:pPr>
      <w:r>
        <w:t xml:space="preserve">Recurring revenue, broader ICP, and lower CAC — the offers below capture buyers who don't yet want a project and want a partner. The differentiator across the lineup is "AI‑enabled, audit‑ready," not 'fractional people doing what they always did.'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700"/>
        <w:gridCol w:w="2800"/>
        <w:gridCol w:w="1100"/>
        <w:gridCol w:w="2260"/>
      </w:tblGrid>
      <w:tr>
        <w:trPr>
          <w:tblHeader/>
        </w:trPr>
        <w:tc>
          <w:tcPr>
            <w:tcW w:type="dxa" w:w="37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New page</w:t>
            </w:r>
          </w:p>
        </w:tc>
        <w:tc>
          <w:tcPr>
            <w:tcW w:type="dxa" w:w="28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Target keyword</w:t>
            </w:r>
          </w:p>
        </w:tc>
        <w:tc>
          <w:tcPr>
            <w:tcW w:type="dxa" w:w="11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Priority</w:t>
            </w:r>
          </w:p>
        </w:tc>
        <w:tc>
          <w:tcPr>
            <w:tcW w:type="dxa" w:w="22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Notes / angle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Controller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controller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AI‑enabled twist; outcomes per month; pricing tier card</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CFO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cfo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Higher‑margin layer above controller offer</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Outsourced Accounting Services (CAS 2.0)</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outsourced accounting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AI‑native CAS; pairs with AI for Accounting Firms (already in plan as customer offering)</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Outsourced FP&amp;A / Managed Forecasting</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outsourced fpa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Pairs with revenue forecasting page already in plan</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Interim Controller / Interim CFO</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interim controller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Specific 60–120 day engagements; M&amp;A, IPO, leave coverage</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Managed Close-as-a-Service</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managed close as a service</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New category page; bundle close ops + automation</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606 Implementation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606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Tech‑accounting service; high CPC long‑tail</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Lease Accounting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implementation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Adoption + remediation</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Technical Accounting Memos as a Service</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technical accounting memo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Low</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Niche but uncontested; great for backlinks/AEO</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IPO Readiness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ipo readiness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Reach across to RSM/CrossCountry territory</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Carve‑Out Accounting &amp; Opening Balance Sheet</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carve out accounting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Transaction services adjacency</w:t>
            </w:r>
          </w:p>
        </w:tc>
      </w:tr>
      <w:tr>
        <w:tc>
          <w:tcPr>
            <w:tcW w:type="dxa" w:w="3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Audit Prep / PBC Automation Services</w:t>
            </w:r>
          </w:p>
        </w:tc>
        <w:tc>
          <w:tcPr>
            <w:tcW w:type="dxa" w:w="28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audit prep services</w:t>
            </w:r>
          </w:p>
        </w:tc>
        <w:tc>
          <w:tcPr>
            <w:tcW w:type="dxa" w:w="11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Med</w:t>
            </w:r>
          </w:p>
        </w:tc>
        <w:tc>
          <w:tcPr>
            <w:tcW w:type="dxa" w:w="22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Sells the close‑controls work</w:t>
            </w:r>
          </w:p>
        </w:tc>
      </w:tr>
    </w:tbl>
    <w:p>
      <w:pPr>
        <w:spacing w:after="120" w:before="0"/>
      </w:pPr>
      <w:r>
        <w:t xml:space="preserve"/>
      </w:r>
    </w:p>
    <w:p>
      <w:pPr>
        <w:spacing w:after="120" w:before="0"/>
      </w:pPr>
      <w:r/>
      <w:r/>
    </w:p>
    <w:p>
      <w:r>
        <w:br w:type="page"/>
      </w:r>
    </w:p>
    <w:p>
      <w:pPr>
        <w:pStyle w:val="Heading1"/>
      </w:pPr>
      <w:r>
        <w:t xml:space="preserve">8.  /toolboxai/ page — review and recommendations</w:t>
      </w:r>
    </w:p>
    <w:p>
      <w:pPr>
        <w:spacing w:after="120" w:before="0"/>
      </w:pPr>
      <w:r>
        <w:t xml:space="preserve">The existing plan correctly flags Tool Box AI as the most valuable commercial asset on the site. The current page positions Tool Box AI as a product ("ERP upgrade for QuickBooks/Xero"). That captures product‑intent traffic, but it misses two things: (1) buyers searching for the implementation, not the product; (2) AI‑Overview answers that need clearly structured comparison and process content. Recommended additions: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360"/>
      </w:tblGrid>
      <w:tr>
        <w:trPr>
          <w:tblHeader/>
        </w:trPr>
        <w:tc>
          <w:tcPr>
            <w:tcW w:type="dxa" w:w="30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Add</w:t>
            </w:r>
          </w:p>
        </w:tc>
        <w:tc>
          <w:tcPr>
            <w:tcW w:type="dxa" w:w="4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What it does</w:t>
            </w:r>
          </w:p>
        </w:tc>
        <w:tc>
          <w:tcPr>
            <w:tcW w:type="dxa" w:w="23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Why</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Add comparison block</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Tool Box AI vs. FloQast / BlackLine / Numeric / Costpoint customization</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Captures comparison‑intent traffic the Existing Pages Audit flags as missing</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Vertical jump links</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upgrade · Costpoint alternative · Construction · GovCon · Multi‑entity</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Lets one page collect demand for several head terms</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Implementation phases panel</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Discovery → Pilot → Controls → Integrate → Rollout → Managed support</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Differentiates from product‑only competitors</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Embedded mini‑case studies</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3 quantified outcomes with named ERP context (anonymized OK)</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Beats vendor brochureware on E‑E‑A‑T</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evidence pack section</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What auditors get when AI agents touch the GL</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Net‑new content category; aligns with PCAOB guidance</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Pricing transparency band</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Implementation tier table (Pilot / Standard / Enterprise)</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Most competitors hide pricing; transparency wins SQLs</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Schema upgrade</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SoftwareApplication + Product + Service + FAQPage + BreadcrumbList</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Today only SoftwareApplication+Product; adding Service signals offer is also implementation</w:t>
            </w:r>
          </w:p>
        </w:tc>
      </w:tr>
      <w:tr>
        <w:tc>
          <w:tcPr>
            <w:tcW w:type="dxa" w:w="30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Embed AI‑Readiness Scorecard</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Scored quiz that returns a 50‑point report by email</w:t>
            </w:r>
          </w:p>
        </w:tc>
        <w:tc>
          <w:tcPr>
            <w:tcW w:type="dxa" w:w="23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Best top‑of‑funnel asset; feeds CRM and AEO citations</w:t>
            </w:r>
          </w:p>
        </w:tc>
      </w:tr>
    </w:tbl>
    <w:p>
      <w:pPr>
        <w:spacing w:after="120" w:before="0"/>
      </w:pPr>
      <w:r>
        <w:t xml:space="preserve"/>
      </w:r>
    </w:p>
    <w:p>
      <w:pPr>
        <w:spacing w:after="120" w:before="0"/>
      </w:pPr>
      <w:r/>
      <w:r/>
    </w:p>
    <w:p>
      <w:pPr>
        <w:pStyle w:val="Heading1"/>
      </w:pPr>
      <w:r>
        <w:t xml:space="preserve">9.  New free tools (lead magnets)</w:t>
      </w:r>
    </w:p>
    <w:p>
      <w:pPr>
        <w:spacing w:after="120" w:before="0"/>
      </w:pPr>
      <w:r>
        <w:t xml:space="preserve">Tools convert top‑of‑funnel traffic and generate citations from AI Overviews. The QuickBooks utility cluster proves Ledger Summit can do this well. Add these to feed the new pillars: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860"/>
      </w:tblGrid>
      <w:tr>
        <w:trPr>
          <w:tblHeader/>
        </w:trPr>
        <w:tc>
          <w:tcPr>
            <w:tcW w:type="dxa" w:w="3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Tool</w:t>
            </w:r>
          </w:p>
        </w:tc>
        <w:tc>
          <w:tcPr>
            <w:tcW w:type="dxa" w:w="3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Target keyword</w:t>
            </w:r>
          </w:p>
        </w:tc>
        <w:tc>
          <w:tcPr>
            <w:tcW w:type="dxa" w:w="28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What it feeds</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Readiness Scorecard for Finance</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readiness assessment for finance</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Lead magnet hub asset; 50 questions; emailed report</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Implementation Cost &amp; Timeline Estimator</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netsuite implementation cost</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 intent; rare in SERP</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 NetSuite Migration Checklist Generator</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quickbooks to netsuite migration checklist</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Pairs with migration page</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FloQast vs Numeric vs BlackLine Picker</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floqast vs blackline vs numeric</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Comparison‑intent capture; outputs a recommendation</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Remediation Self‑Audit</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audit checklist</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Catch post‑adoption issues; sell remediation</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SOX‑for‑AI Controls Self‑Audit</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sox controls for ai</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Hub asset for the AI controls category</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Close Maturity Scorecard</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close maturity assessment</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Replaces FloQast's 'close report' lead magnet</w:t>
            </w:r>
          </w:p>
        </w:tc>
      </w:tr>
      <w:tr>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Controller ROI Calculator</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fractional controller cost</w:t>
            </w:r>
          </w:p>
        </w:tc>
        <w:tc>
          <w:tcPr>
            <w:tcW w:type="dxa" w:w="28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High commercial intent calculator</w:t>
            </w:r>
          </w:p>
        </w:tc>
      </w:tr>
    </w:tbl>
    <w:p>
      <w:pPr>
        <w:pStyle w:val="Heading1"/>
      </w:pPr>
      <w:r>
        <w:t xml:space="preserve">10.  Trends shaping the 2026 plan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3160"/>
      </w:tblGrid>
      <w:tr>
        <w:trPr>
          <w:tblHeader/>
        </w:trPr>
        <w:tc>
          <w:tcPr>
            <w:tcW w:type="dxa" w:w="32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Trend</w:t>
            </w:r>
          </w:p>
        </w:tc>
        <w:tc>
          <w:tcPr>
            <w:tcW w:type="dxa" w:w="3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What's happening</w:t>
            </w:r>
          </w:p>
        </w:tc>
        <w:tc>
          <w:tcPr>
            <w:tcW w:type="dxa" w:w="31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How to use it</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Agentic AI in close moves to prod</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DataSnipper+MS, Trullion Trulli, Numeric, Nominal</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Publish agent‑by‑agent rollout playbooks</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PCAOB tech‑assisted analysis amendments</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Auditors demanding evidence standards for AI</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Build 'AI evidence pack your auditor accepts'</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Overviews on ~48% of Google queries</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AI search converts 4–5× organic</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GEO every page: schema, FAQ, citation lines</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ASC 842 enforcement aging</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Post‑adoption cleanup is the buy trigger</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Remediation services + case study</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ERP consolidation cycle</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QBO → Intacct/NetSuite among PE portcos</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Migration playbooks + tools</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Close‑as‑a‑Service emerges</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E78, BDO, Consero bundling tech+people</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Claim category before someone else does</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50% of PE AI projects stall on data</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Fivetran/MIT report</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Position AI‑readiness assessment as gate</w:t>
            </w:r>
          </w:p>
        </w:tc>
      </w:tr>
      <w:tr>
        <w:tc>
          <w:tcPr>
            <w:tcW w:type="dxa" w:w="32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Vertical AI agents $5.1B → $47.1B 2030</w:t>
            </w:r>
          </w:p>
        </w:tc>
        <w:tc>
          <w:tcPr>
            <w:tcW w:type="dxa" w:w="3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44.8% CAGR, vertical wins</w:t>
            </w:r>
          </w:p>
        </w:tc>
        <w:tc>
          <w:tcPr>
            <w:tcW w:type="dxa" w:w="31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Vertical clusters: SaaS, mfg, construction, GovCon, non‑profit, PE portco</w:t>
            </w:r>
          </w:p>
        </w:tc>
      </w:tr>
    </w:tbl>
    <w:p>
      <w:r>
        <w:br w:type="page"/>
      </w:r>
    </w:p>
    <w:p>
      <w:pPr>
        <w:pStyle w:val="Heading1"/>
      </w:pPr>
      <w:r>
        <w:t xml:space="preserve">11.  90‑day prioritized roadmap</w:t>
      </w:r>
    </w:p>
    <w:p>
      <w:pPr>
        <w:spacing w:after="120" w:before="0"/>
      </w:pPr>
      <w:r>
        <w:t xml:space="preserve">This sequence maximizes proof‑to‑demand fit. It assumes the existing plan's homepage and pillar updates ship in parallel; new pages below are net‑new on top of that work.</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660"/>
      </w:tblGrid>
      <w:tr>
        <w:trPr>
          <w:tblHeader/>
        </w:trPr>
        <w:tc>
          <w:tcPr>
            <w:tcW w:type="dxa" w:w="17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Window</w:t>
            </w:r>
          </w:p>
        </w:tc>
        <w:tc>
          <w:tcPr>
            <w:tcW w:type="dxa" w:w="450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Ship</w:t>
            </w:r>
          </w:p>
        </w:tc>
        <w:tc>
          <w:tcPr>
            <w:tcW w:type="dxa" w:w="3660"/>
            <w:tcBorders>
              <w:top w:val="single" w:color="D5DDE8" w:sz="6"/>
              <w:left w:val="single" w:color="D5DDE8" w:sz="6"/>
              <w:bottom w:val="single" w:color="D5DDE8" w:sz="6"/>
              <w:right w:val="single" w:color="D5DDE8" w:sz="6"/>
            </w:tcBorders>
            <w:shd w:fill="EAF3FF" w:val="clear"/>
            <w:tcMar>
              <w:top w:type="dxa" w:w="80"/>
              <w:left w:type="dxa" w:w="120"/>
              <w:bottom w:type="dxa" w:w="80"/>
              <w:right w:type="dxa" w:w="120"/>
            </w:tcMar>
          </w:tcPr>
          <w:p>
            <w:pPr>
              <w:spacing w:after="0"/>
            </w:pPr>
            <w:r>
              <w:rPr>
                <w:b/>
                <w:bCs/>
              </w:rPr>
              <w:t xml:space="preserve">Why</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1–7</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Reposition homepage + /services/ai-accounting/ + /services/ai-finance/</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Pillar architecture; hero CTA into implementation pages; AI‑readiness lead magnet</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8–21</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Ship 4 money pages: Month‑End Close Automation, QuickBooks Automation, Financial Reporting Automation, AI Implementation for Accounting</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Anchored to existing tools; FAQ schema; comparison table block</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22–35</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Ship 4 services pages: Fractional Controller, Managed Close‑as‑a‑Service, NetSuite Implementation Partner, AI‑Readiness Assessment</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Differentiates services from product; assessment becomes a hub asset</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36–56</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Publish 5 case studies (Multi‑Entity Close, SaaS Rev‑Rec, Construction WIP, GovCon Timesheet‑to‑Billing, QBO→NetSuite Migration)</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Use Tool Box AI proof + named ERP context; quantified before/after</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57–70</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Vertical landing pages (SaaS, Mfg, Construction, GovCon, Non‑Profit, PE Portco) + cross‑link</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Each vertical = case study + service angle + tool entry</w:t>
            </w:r>
          </w:p>
        </w:tc>
      </w:tr>
      <w:tr>
        <w:tc>
          <w:tcPr>
            <w:tcW w:type="dxa" w:w="17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Days 71–90</w:t>
            </w:r>
          </w:p>
        </w:tc>
        <w:tc>
          <w:tcPr>
            <w:tcW w:type="dxa" w:w="450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AEO sweep + 6 controller‑grade blog posts answering the 12 AEO questions</w:t>
            </w:r>
          </w:p>
        </w:tc>
        <w:tc>
          <w:tcPr>
            <w:tcW w:type="dxa" w:w="3660"/>
            <w:tcBorders>
              <w:top w:val="single" w:color="D5DDE8" w:sz="6"/>
              <w:left w:val="single" w:color="D5DDE8" w:sz="6"/>
              <w:bottom w:val="single" w:color="D5DDE8" w:sz="6"/>
              <w:right w:val="single" w:color="D5DDE8" w:sz="6"/>
            </w:tcBorders>
            <w:tcMar>
              <w:top w:type="dxa" w:w="80"/>
              <w:left w:type="dxa" w:w="120"/>
              <w:bottom w:type="dxa" w:w="80"/>
              <w:right w:type="dxa" w:w="120"/>
            </w:tcMar>
          </w:tcPr>
          <w:p>
            <w:pPr>
              <w:spacing w:after="0"/>
            </w:pPr>
            <w:r>
              <w:t xml:space="preserve">Update FAQ schema; refresh top‑of‑funnel posts; backlink outreach</w:t>
            </w:r>
          </w:p>
        </w:tc>
      </w:tr>
    </w:tbl>
    <w:p>
      <w:pPr>
        <w:pStyle w:val="Heading1"/>
      </w:pPr>
      <w:r>
        <w:t xml:space="preserve">12.  Top 12 net‑new pages to ship first</w:t>
      </w:r>
    </w:p>
    <w:p>
      <w:pPr>
        <w:spacing w:after="120" w:before="0"/>
      </w:pPr>
      <w:r>
        <w:t xml:space="preserve">If you can only do twelve, do these — ordered by expected revenue impact within 90 days:</w:t>
      </w:r>
    </w:p>
    <w:p>
      <w:pPr>
        <w:pStyle w:val="ListParagraph"/>
        <w:numPr>
          <w:ilvl w:val="0"/>
          <w:numId w:val="3"/>
        </w:numPr>
        <w:spacing w:after="60"/>
      </w:pPr>
      <w:r>
        <w:rPr>
          <w:b/>
          <w:bCs/>
        </w:rPr>
        <w:t xml:space="preserve">Month‑End Close Automation Services</w:t>
      </w:r>
      <w:r>
        <w:t xml:space="preserve"> — already in plan; ship first because tools, proof, and demand all align.</w:t>
      </w:r>
    </w:p>
    <w:p>
      <w:pPr>
        <w:pStyle w:val="ListParagraph"/>
        <w:numPr>
          <w:ilvl w:val="0"/>
          <w:numId w:val="3"/>
        </w:numPr>
        <w:spacing w:after="60"/>
      </w:pPr>
      <w:r>
        <w:rPr>
          <w:b/>
          <w:bCs/>
        </w:rPr>
        <w:t xml:space="preserve">AI‑Readiness Assessment for Finance Teams</w:t>
      </w:r>
      <w:r>
        <w:t xml:space="preserve"> — interactive scorecard; becomes lead‑magnet hub for every page.</w:t>
      </w:r>
    </w:p>
    <w:p>
      <w:pPr>
        <w:pStyle w:val="ListParagraph"/>
        <w:numPr>
          <w:ilvl w:val="0"/>
          <w:numId w:val="3"/>
        </w:numPr>
        <w:spacing w:after="60"/>
      </w:pPr>
      <w:r>
        <w:rPr>
          <w:b/>
          <w:bCs/>
        </w:rPr>
        <w:t xml:space="preserve">QuickBooks Automation Services</w:t>
      </w:r>
      <w:r>
        <w:t xml:space="preserve"> — already in plan; consolidate the QBO tool cluster's authority.</w:t>
      </w:r>
    </w:p>
    <w:p>
      <w:pPr>
        <w:pStyle w:val="ListParagraph"/>
        <w:numPr>
          <w:ilvl w:val="0"/>
          <w:numId w:val="3"/>
        </w:numPr>
        <w:spacing w:after="60"/>
      </w:pPr>
      <w:r>
        <w:rPr>
          <w:b/>
          <w:bCs/>
        </w:rPr>
        <w:t xml:space="preserve">Managed Close‑as‑a‑Service</w:t>
      </w:r>
      <w:r>
        <w:t xml:space="preserve"> — claim the empty category.</w:t>
      </w:r>
    </w:p>
    <w:p>
      <w:pPr>
        <w:pStyle w:val="ListParagraph"/>
        <w:numPr>
          <w:ilvl w:val="0"/>
          <w:numId w:val="3"/>
        </w:numPr>
        <w:spacing w:after="60"/>
      </w:pPr>
      <w:r>
        <w:rPr>
          <w:b/>
          <w:bCs/>
        </w:rPr>
        <w:t xml:space="preserve">Fractional Controller Services</w:t>
      </w:r>
      <w:r>
        <w:t xml:space="preserve"> — recurring revenue + AI‑enabled differentiation.</w:t>
      </w:r>
    </w:p>
    <w:p>
      <w:pPr>
        <w:pStyle w:val="ListParagraph"/>
        <w:numPr>
          <w:ilvl w:val="0"/>
          <w:numId w:val="3"/>
        </w:numPr>
        <w:spacing w:after="60"/>
      </w:pPr>
      <w:r>
        <w:rPr>
          <w:b/>
          <w:bCs/>
        </w:rPr>
        <w:t xml:space="preserve">NetSuite Implementation Partner</w:t>
      </w:r>
      <w:r>
        <w:t xml:space="preserve"> — leverages two existing NetSuite case studies.</w:t>
      </w:r>
    </w:p>
    <w:p>
      <w:pPr>
        <w:pStyle w:val="ListParagraph"/>
        <w:numPr>
          <w:ilvl w:val="0"/>
          <w:numId w:val="3"/>
        </w:numPr>
        <w:spacing w:after="60"/>
      </w:pPr>
      <w:r>
        <w:rPr>
          <w:b/>
          <w:bCs/>
        </w:rPr>
        <w:t xml:space="preserve">Case study: Multi‑Entity Intercompany Elimination</w:t>
      </w:r>
      <w:r>
        <w:t xml:space="preserve"> — beats BlackLine narrative.</w:t>
      </w:r>
    </w:p>
    <w:p>
      <w:pPr>
        <w:pStyle w:val="ListParagraph"/>
        <w:numPr>
          <w:ilvl w:val="0"/>
          <w:numId w:val="3"/>
        </w:numPr>
        <w:spacing w:after="60"/>
      </w:pPr>
      <w:r>
        <w:rPr>
          <w:b/>
          <w:bCs/>
        </w:rPr>
        <w:t xml:space="preserve">QuickBooks → NetSuite Migration</w:t>
      </w:r>
      <w:r>
        <w:t xml:space="preserve"> + interactive cost/timeline tool — high‑intent, thin SERP.</w:t>
      </w:r>
    </w:p>
    <w:p>
      <w:pPr>
        <w:pStyle w:val="ListParagraph"/>
        <w:numPr>
          <w:ilvl w:val="0"/>
          <w:numId w:val="3"/>
        </w:numPr>
        <w:spacing w:after="60"/>
      </w:pPr>
      <w:r>
        <w:rPr>
          <w:b/>
          <w:bCs/>
        </w:rPr>
        <w:t xml:space="preserve">AI Controls Framework (SOX‑Ready Agents)</w:t>
      </w:r>
      <w:r>
        <w:t xml:space="preserve"> — category claim before PCAOB story matures.</w:t>
      </w:r>
    </w:p>
    <w:p>
      <w:pPr>
        <w:pStyle w:val="ListParagraph"/>
        <w:numPr>
          <w:ilvl w:val="0"/>
          <w:numId w:val="3"/>
        </w:numPr>
        <w:spacing w:after="60"/>
      </w:pPr>
      <w:r>
        <w:rPr>
          <w:b/>
          <w:bCs/>
        </w:rPr>
        <w:t xml:space="preserve">Case study: SaaS Revenue Recognition Automation</w:t>
      </w:r>
      <w:r>
        <w:t xml:space="preserve"> — large, underserved vertical.</w:t>
      </w:r>
    </w:p>
    <w:p>
      <w:pPr>
        <w:pStyle w:val="ListParagraph"/>
        <w:numPr>
          <w:ilvl w:val="0"/>
          <w:numId w:val="3"/>
        </w:numPr>
        <w:spacing w:after="60"/>
      </w:pPr>
      <w:r>
        <w:rPr>
          <w:b/>
          <w:bCs/>
        </w:rPr>
        <w:t xml:space="preserve">FloQast Alternative &amp; Implementation</w:t>
      </w:r>
      <w:r>
        <w:t xml:space="preserve"> — captures in‑market buyers; ties to close pillar.</w:t>
      </w:r>
    </w:p>
    <w:p>
      <w:pPr>
        <w:pStyle w:val="ListParagraph"/>
        <w:numPr>
          <w:ilvl w:val="0"/>
          <w:numId w:val="3"/>
        </w:numPr>
        <w:spacing w:after="60"/>
      </w:pPr>
      <w:r>
        <w:rPr>
          <w:b/>
          <w:bCs/>
        </w:rPr>
        <w:t xml:space="preserve">Tool Box AI page rewrite</w:t>
      </w:r>
      <w:r>
        <w:t xml:space="preserve"> — add comparison, implementation phases, AI evidence pack section.</w:t>
      </w:r>
    </w:p>
    <w:p>
      <w:pPr>
        <w:pStyle w:val="Heading1"/>
      </w:pPr>
      <w:r>
        <w:t xml:space="preserve">13.  How we'll know it worked (60–90 days)</w:t>
      </w:r>
    </w:p>
    <w:p>
      <w:pPr>
        <w:pStyle w:val="ListParagraph"/>
        <w:numPr>
          <w:ilvl w:val="0"/>
          <w:numId w:val="2"/>
        </w:numPr>
        <w:spacing w:after="60"/>
      </w:pPr>
      <w:r>
        <w:t xml:space="preserve">Organic clicks on /services/* up 40%+ vs. trailing 90 days; assisted demos from organic up 25%+.</w:t>
      </w:r>
    </w:p>
    <w:p>
      <w:pPr>
        <w:pStyle w:val="ListParagraph"/>
        <w:numPr>
          <w:ilvl w:val="0"/>
          <w:numId w:val="2"/>
        </w:numPr>
        <w:spacing w:after="60"/>
      </w:pPr>
      <w:r>
        <w:t xml:space="preserve">Number of indexed money pages with FAQ rich results doubled.</w:t>
      </w:r>
    </w:p>
    <w:p>
      <w:pPr>
        <w:pStyle w:val="ListParagraph"/>
        <w:numPr>
          <w:ilvl w:val="0"/>
          <w:numId w:val="2"/>
        </w:numPr>
        <w:spacing w:after="60"/>
      </w:pPr>
      <w:r>
        <w:t xml:space="preserve">AI Overview citations on at least 8 of the 12 AEO target questions (track via Perplexity Sources + manual ChatGPT spot checks).</w:t>
      </w:r>
    </w:p>
    <w:p>
      <w:pPr>
        <w:pStyle w:val="ListParagraph"/>
        <w:numPr>
          <w:ilvl w:val="0"/>
          <w:numId w:val="2"/>
        </w:numPr>
        <w:spacing w:after="60"/>
      </w:pPr>
      <w:r>
        <w:t xml:space="preserve">≥ 3 named or composite case studies featuring quantified before/after metrics published — including at least one for SaaS, one for construction or GovCon, one for multi‑entity / intercompany.</w:t>
      </w:r>
    </w:p>
    <w:p>
      <w:pPr>
        <w:pStyle w:val="ListParagraph"/>
        <w:numPr>
          <w:ilvl w:val="0"/>
          <w:numId w:val="2"/>
        </w:numPr>
        <w:spacing w:after="60"/>
      </w:pPr>
      <w:r>
        <w:t xml:space="preserve">AI‑Readiness Scorecard captures &gt; 250 leads/month and ≥ 8% become qualified meetings.</w:t>
      </w:r>
    </w:p>
    <w:p>
      <w:pPr>
        <w:pStyle w:val="ListParagraph"/>
        <w:numPr>
          <w:ilvl w:val="0"/>
          <w:numId w:val="2"/>
        </w:numPr>
        <w:spacing w:after="60"/>
      </w:pPr>
      <w:r>
        <w:t xml:space="preserve">Tool Box AI page click‑to‑demo rate up 30%+ after rewrite (track via /toolboxai/#book).</w:t>
      </w:r>
    </w:p>
    <w:p>
      <w:pPr>
        <w:pStyle w:val="Heading1"/>
      </w:pPr>
      <w:r>
        <w:t xml:space="preserve">14.  What to watch for</w:t>
      </w:r>
    </w:p>
    <w:p>
      <w:pPr>
        <w:pStyle w:val="ListParagraph"/>
        <w:numPr>
          <w:ilvl w:val="0"/>
          <w:numId w:val="2"/>
        </w:numPr>
        <w:spacing w:after="60"/>
      </w:pPr>
      <w:r>
        <w:rPr>
          <w:b/>
          <w:bCs/>
        </w:rPr>
        <w:t xml:space="preserve">Don't dilute the QuickBooks story. </w:t>
      </w:r>
      <w:r>
        <w:t xml:space="preserve">The QBO cluster is your strongest authority asset; new NetSuite/Sage Intacct content should be additive, not at the expense of QBO depth.</w:t>
      </w:r>
    </w:p>
    <w:p>
      <w:pPr>
        <w:pStyle w:val="ListParagraph"/>
        <w:numPr>
          <w:ilvl w:val="0"/>
          <w:numId w:val="2"/>
        </w:numPr>
        <w:spacing w:after="60"/>
      </w:pPr>
      <w:r>
        <w:rPr>
          <w:b/>
          <w:bCs/>
        </w:rPr>
        <w:t xml:space="preserve">Don't chase enterprise. </w:t>
      </w:r>
      <w:r>
        <w:t xml:space="preserve">Stay in the $5M–$500M lane; enterprise content fights RSM/CrossCountry for terms you can't win.</w:t>
      </w:r>
    </w:p>
    <w:p>
      <w:pPr>
        <w:pStyle w:val="ListParagraph"/>
        <w:numPr>
          <w:ilvl w:val="0"/>
          <w:numId w:val="2"/>
        </w:numPr>
        <w:spacing w:after="60"/>
      </w:pPr>
      <w:r>
        <w:rPr>
          <w:b/>
          <w:bCs/>
        </w:rPr>
        <w:t xml:space="preserve">Watch case‑study legal review cycles. </w:t>
      </w:r>
      <w:r>
        <w:t xml:space="preserve">Composite case studies labeled as such ship faster than waiting on client logo approval.</w:t>
      </w:r>
    </w:p>
    <w:p>
      <w:pPr>
        <w:pStyle w:val="ListParagraph"/>
        <w:numPr>
          <w:ilvl w:val="0"/>
          <w:numId w:val="2"/>
        </w:numPr>
        <w:spacing w:after="60"/>
      </w:pPr>
      <w:r>
        <w:rPr>
          <w:b/>
          <w:bCs/>
        </w:rPr>
        <w:t xml:space="preserve">Vercel and Supabase costs at scale. </w:t>
      </w:r>
      <w:r>
        <w:t xml:space="preserve">If new tools add interactive scoring with persistence, plan the data layer up front (you already have Supabase wired in).</w:t>
      </w:r>
    </w:p>
    <w:p>
      <w:pPr>
        <w:pStyle w:val="ListParagraph"/>
        <w:numPr>
          <w:ilvl w:val="0"/>
          <w:numId w:val="2"/>
        </w:numPr>
        <w:spacing w:after="60"/>
      </w:pPr>
      <w:r>
        <w:rPr>
          <w:b/>
          <w:bCs/>
        </w:rPr>
        <w:t xml:space="preserve">AEO can move fast. </w:t>
      </w:r>
      <w:r>
        <w:t xml:space="preserve">Re‑audit the 12 AEO questions monthly; AI Overview answers shift on a 30–60 day cadence.</w:t>
      </w:r>
    </w:p>
    <w:p>
      <w:pPr>
        <w:pStyle w:val="ListParagraph"/>
        <w:numPr>
          <w:ilvl w:val="0"/>
          <w:numId w:val="2"/>
        </w:numPr>
        <w:spacing w:after="60"/>
      </w:pPr>
      <w:r>
        <w:rPr>
          <w:b/>
          <w:bCs/>
        </w:rPr>
        <w:t xml:space="preserve">Don't over‑gate. </w:t>
      </w:r>
      <w:r>
        <w:t xml:space="preserve">AI scorecards behind email gates can perform worse than ungated tools that prompt for email at the result page. Test both.</w:t>
      </w:r>
    </w:p>
    <w:p>
      <w:r>
        <w:br w:type="page"/>
      </w:r>
    </w:p>
    <w:p>
      <w:pPr>
        <w:pStyle w:val="Heading1"/>
      </w:pPr>
      <w:r>
        <w:t xml:space="preserve">Appendix A — Sources &amp; references</w:t>
      </w:r>
    </w:p>
    <w:p>
      <w:pPr>
        <w:pStyle w:val="ListParagraph"/>
        <w:numPr>
          <w:ilvl w:val="0"/>
          <w:numId w:val="2"/>
        </w:numPr>
        <w:spacing w:after="60"/>
      </w:pPr>
      <w:r>
        <w:t xml:space="preserve">ledger_summit_ai_seo_content_strategy.xlsx (provided 2026‑05‑03) — existing plan.</w:t>
      </w:r>
    </w:p>
    <w:p>
      <w:pPr>
        <w:pStyle w:val="ListParagraph"/>
        <w:numPr>
          <w:ilvl w:val="0"/>
          <w:numId w:val="2"/>
        </w:numPr>
        <w:spacing w:after="60"/>
      </w:pPr>
      <w:r>
        <w:t xml:space="preserve">Drive: case‑study HTML snapshots in My Drive / LedgerSummit/.</w:t>
      </w:r>
    </w:p>
    <w:p>
      <w:pPr>
        <w:pStyle w:val="ListParagraph"/>
        <w:numPr>
          <w:ilvl w:val="0"/>
          <w:numId w:val="2"/>
        </w:numPr>
        <w:spacing w:after="60"/>
      </w:pPr>
      <w:r>
        <w:t xml:space="preserve">Hackett Group — Gen‑AI in Finance benchmarking 2026.</w:t>
      </w:r>
    </w:p>
    <w:p>
      <w:pPr>
        <w:pStyle w:val="ListParagraph"/>
        <w:numPr>
          <w:ilvl w:val="0"/>
          <w:numId w:val="2"/>
        </w:numPr>
        <w:spacing w:after="60"/>
      </w:pPr>
      <w:r>
        <w:t xml:space="preserve">PCAOB — adoption of amendments related to technology‑assisted analysis (2025); commentary on AI and audit quality.</w:t>
      </w:r>
    </w:p>
    <w:p>
      <w:pPr>
        <w:pStyle w:val="ListParagraph"/>
        <w:numPr>
          <w:ilvl w:val="0"/>
          <w:numId w:val="2"/>
        </w:numPr>
        <w:spacing w:after="60"/>
      </w:pPr>
      <w:r>
        <w:t xml:space="preserve">DataSnipper × Microsoft — agentic AI for finance &amp; audit (Jul 2025).</w:t>
      </w:r>
    </w:p>
    <w:p>
      <w:pPr>
        <w:pStyle w:val="ListParagraph"/>
        <w:numPr>
          <w:ilvl w:val="0"/>
          <w:numId w:val="2"/>
        </w:numPr>
        <w:spacing w:after="60"/>
      </w:pPr>
      <w:r>
        <w:t xml:space="preserve">Trullion — Trulli agent launch (2025).</w:t>
      </w:r>
    </w:p>
    <w:p>
      <w:pPr>
        <w:pStyle w:val="ListParagraph"/>
        <w:numPr>
          <w:ilvl w:val="0"/>
          <w:numId w:val="2"/>
        </w:numPr>
        <w:spacing w:after="60"/>
      </w:pPr>
      <w:r>
        <w:t xml:space="preserve">Numeric — "FloQast vs. BlackLine vs. Numeric" comparison (vendor‑biased baseline for our neutral piece).</w:t>
      </w:r>
    </w:p>
    <w:p>
      <w:pPr>
        <w:pStyle w:val="ListParagraph"/>
        <w:numPr>
          <w:ilvl w:val="0"/>
          <w:numId w:val="2"/>
        </w:numPr>
        <w:spacing w:after="60"/>
      </w:pPr>
      <w:r>
        <w:t xml:space="preserve">EisnerAmper — Finance Transformation in Private Equity (Mar 2026).</w:t>
      </w:r>
    </w:p>
    <w:p>
      <w:pPr>
        <w:pStyle w:val="ListParagraph"/>
        <w:numPr>
          <w:ilvl w:val="0"/>
          <w:numId w:val="2"/>
        </w:numPr>
        <w:spacing w:after="60"/>
      </w:pPr>
      <w:r>
        <w:t xml:space="preserve">PE Professional — "Why private markets' AI ambitions are hitting a wall" (Apr 2026).</w:t>
      </w:r>
    </w:p>
    <w:p>
      <w:pPr>
        <w:pStyle w:val="ListParagraph"/>
        <w:numPr>
          <w:ilvl w:val="0"/>
          <w:numId w:val="2"/>
        </w:numPr>
        <w:spacing w:after="60"/>
      </w:pPr>
      <w:r>
        <w:t xml:space="preserve">Fivetran/MIT — AI readiness data.</w:t>
      </w:r>
    </w:p>
    <w:p>
      <w:pPr>
        <w:pStyle w:val="ListParagraph"/>
        <w:numPr>
          <w:ilvl w:val="0"/>
          <w:numId w:val="2"/>
        </w:numPr>
        <w:spacing w:after="60"/>
      </w:pPr>
      <w:r>
        <w:t xml:space="preserve">Foundation Software — Best Construction Accounting Software 2026.</w:t>
      </w:r>
    </w:p>
    <w:p>
      <w:pPr>
        <w:pStyle w:val="ListParagraph"/>
        <w:numPr>
          <w:ilvl w:val="0"/>
          <w:numId w:val="2"/>
        </w:numPr>
        <w:spacing w:after="60"/>
      </w:pPr>
      <w:r>
        <w:t xml:space="preserve">Tipalti — Accounting Trends 2026.</w:t>
      </w:r>
    </w:p>
    <w:p>
      <w:pPr>
        <w:pStyle w:val="ListParagraph"/>
        <w:numPr>
          <w:ilvl w:val="0"/>
          <w:numId w:val="2"/>
        </w:numPr>
        <w:spacing w:after="60"/>
      </w:pPr>
      <w:r>
        <w:t xml:space="preserve">Accounting Today — "Accounting marketing trends for 2026: a CMO's perspective."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B5563"/>
        <w:sz w:val="18"/>
        <w:szCs w:val="18"/>
      </w:rPr>
      <w:t xml:space="preserve">ledgersummit.com</w:t>
    </w:r>
    <w:r>
      <w:rPr>
        <w:color w:val="4B5563"/>
        <w:sz w:val="18"/>
        <w:szCs w:val="18"/>
      </w:rPr>
      <w:t xml:space="preserve">	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8" w:sz="4" w:space="6"/>
      </w:pBdr>
      <w:tabs>
        <w:tab w:val="right" w:pos="9026"/>
      </w:tabs>
    </w:pPr>
    <w:r>
      <w:rPr>
        <w:color w:val="4B5563"/>
        <w:sz w:val="18"/>
        <w:szCs w:val="18"/>
      </w:rPr>
      <w:t xml:space="preserve">Ledger Summit  ·  Revised Content Strategy</w:t>
    </w:r>
    <w:r>
      <w:rPr>
        <w:color w:val="4B5563"/>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F36"/>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0A66C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Summit — Revised Content Strategy (May 2026)</dc:title>
  <dc:creator>Ledger Summit</dc:creator>
  <dc:description>Strategy memo reviewing the AI/SEO content plan and proposing case studies, system implementation, and professional services pillars</dc:description>
  <cp:lastModifiedBy>Un-named</cp:lastModifiedBy>
  <cp:revision>1</cp:revision>
  <dcterms:created xsi:type="dcterms:W3CDTF">2026-05-03T15:48:02.822Z</dcterms:created>
  <dcterms:modified xsi:type="dcterms:W3CDTF">2026-05-03T15:48:02.822Z</dcterms:modified>
</cp:coreProperties>
</file>

<file path=docProps/custom.xml><?xml version="1.0" encoding="utf-8"?>
<Properties xmlns="http://schemas.openxmlformats.org/officeDocument/2006/custom-properties" xmlns:vt="http://schemas.openxmlformats.org/officeDocument/2006/docPropsVTypes"/>
</file>