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29. Политические вызовы и новые приоритеты внутренней политики России в начале XXI в.</w:t>
      </w:r>
    </w:p>
    <w:p>
      <w:r>
        <w:t>[[page::325]]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[[page::326]]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[[page::327]]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[[page::328]]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[[page::329]]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[[page::330]]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[[page::331]]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[[page::332]]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[[page::333]]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[[page::334]]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