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704850" cy="704850"/>
            <wp:effectExtent t="0" r="0" b="0" l="0"/>
            <wp:docPr id="1" name="logo" descr="logo" title="Quantra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0A0F1C"/>
          <w:sz w:val="42"/>
          <w:szCs w:val="42"/>
        </w:rPr>
        <w:t xml:space="preserve">Quantra AI</w:t>
      </w:r>
    </w:p>
    <w:p>
      <w:pPr>
        <w:spacing w:after="40"/>
      </w:pPr>
      <w:r>
        <w:rPr>
          <w:rFonts w:ascii="Georgia" w:cs="Georgia" w:eastAsia="Georgia" w:hAnsi="Georgia"/>
          <w:color w:val="0B7A5E"/>
          <w:sz w:val="25"/>
          <w:szCs w:val="25"/>
        </w:rPr>
        <w:t xml:space="preserve">Launch Checklist &amp; Go-Live Plan</w:t>
      </w:r>
    </w:p>
    <w:p>
      <w:pPr>
        <w:spacing w:after="160"/>
      </w:pPr>
      <w:r>
        <w:rPr>
          <w:i/>
          <w:iCs/>
          <w:color w:val="5A6680"/>
          <w:sz w:val="18"/>
          <w:szCs w:val="18"/>
        </w:rPr>
        <w:t xml:space="preserve">Sequenced operational steps from "built" to "live" · Confidential · June 2026</w:t>
      </w:r>
    </w:p>
    <w:p>
      <w:pPr>
        <w:spacing w:after="110" w:line="268"/>
      </w:pPr>
      <w:r>
        <w:rPr>
          <w:b/>
          <w:bCs/>
        </w:rPr>
        <w:t xml:space="preserve">Engineering is largely done; what remains is operational. </w:t>
      </w:r>
      <w:r>
        <w:t xml:space="preserve">Work the phases top-to-bottom — each builds on the last. Tick the box, name an owner, and do not pass the go-live gate until every gate row is green. Owners are shorthand: </w:t>
      </w:r>
      <w:r>
        <w:rPr>
          <w:b/>
          <w:bCs/>
        </w:rPr>
        <w:t xml:space="preserve">ENG</w:t>
      </w:r>
      <w:r>
        <w:t xml:space="preserve"> (engineering), </w:t>
      </w:r>
      <w:r>
        <w:rPr>
          <w:b/>
          <w:bCs/>
        </w:rPr>
        <w:t xml:space="preserve">FDR</w:t>
      </w:r>
      <w:r>
        <w:t xml:space="preserve"> (founder / BizDev), </w:t>
      </w:r>
      <w:r>
        <w:rPr>
          <w:b/>
          <w:bCs/>
        </w:rPr>
        <w:t xml:space="preserve">LEG</w:t>
      </w:r>
      <w:r>
        <w:t xml:space="preserve"> (legal/compliance), </w:t>
      </w:r>
      <w:r>
        <w:rPr>
          <w:b/>
          <w:bCs/>
        </w:rPr>
        <w:t xml:space="preserve">OPS</w:t>
      </w:r>
      <w:r>
        <w:t xml:space="preserve"> (operations).</w:t>
      </w:r>
    </w:p>
    <w:p>
      <w:pPr>
        <w:pStyle w:val="Heading1"/>
      </w:pPr>
      <w:r>
        <w:t xml:space="preserve">Phase 0 — Pre-flight (company &amp; 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5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 a company / legal entity for billing and contracts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FDR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Trademark search for "Quantra"; secure domain + email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FDR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Create accounts: hosting, Postgres provider, Resend, Stripe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Decide pricing per tier and confirm currency/tax handling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FDR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entity</w:t>
            </w:r>
          </w:p>
        </w:tc>
      </w:tr>
    </w:tbl>
    <w:p>
      <w:pPr>
        <w:pStyle w:val="Heading1"/>
      </w:pPr>
      <w:r>
        <w:t xml:space="preserve">Phase 1 —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5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Provision managed Postgres; copy DATABASE_URL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Deploy the app (Render/Railway/Fly or Docker) per DEPLOY.md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Point your domain at it; confirm automatic HTTPS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deploy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Set all env vars; NODE_ENV=production (Secure cookies on)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deploy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Confirm /healthz returns ok and storage = postgres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deploy</w:t>
            </w:r>
          </w:p>
        </w:tc>
      </w:tr>
    </w:tbl>
    <w:p>
      <w:pPr>
        <w:pStyle w:val="Heading1"/>
      </w:pPr>
      <w:r>
        <w:t xml:space="preserve">Phase 2 — Integrations (email &amp; billing)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5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Verify sending domain in Resend; set RESEND_API_KEY + MAIL_FROM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Create Stripe Pro &amp; Ultimate prices (test mode first)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FDR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Run the Stripe test-mode flow end-to-end (see STRIPE_TEST.md)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Stripe test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 live webhook; set STRIPE_* live keys; remove QUANTRA_DEV_BILLING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Stripe test passes</w:t>
            </w:r>
          </w:p>
        </w:tc>
      </w:tr>
    </w:tbl>
    <w:p>
      <w:pPr>
        <w:pStyle w:val="Heading1"/>
      </w:pPr>
      <w:r>
        <w:t xml:space="preserve">Phase 3 — Staging verification</w:t>
      </w:r>
    </w:p>
    <w:p>
      <w:pPr>
        <w:spacing w:after="110" w:line="268"/>
      </w:pPr>
      <w:r>
        <w:t xml:space="preserve">Run the full </w:t>
      </w:r>
      <w:r>
        <w:rPr>
          <w:b/>
          <w:bCs/>
        </w:rPr>
        <w:t xml:space="preserve">DEPLOY.md §7 checklist</w:t>
      </w:r>
      <w:r>
        <w:t xml:space="preserve"> against staging before launch: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5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Sign up → real verification email arrives → link verifies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Forgot password → reset email → new password works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Upgrade → Stripe Checkout (test card) → plan upgrades via webhook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billing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Restart service → accounts, watchlists &amp; plans persist (Postgres)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Rate-limits trip (login spam → 429); security headers present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deploy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Export data + delete account both work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deploy</w:t>
            </w:r>
          </w:p>
        </w:tc>
      </w:tr>
    </w:tbl>
    <w:p>
      <w:pPr>
        <w:pStyle w:val="Heading1"/>
      </w:pPr>
      <w:r>
        <w:t xml:space="preserve">Phase 4 — Legal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5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Lawyer reviews Terms, Privacy &amp; Refund docs for your jurisdiction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entity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Fill governing law / company details into the legal pages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legal review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Confirm GDPR / UAE PDPL basis; data-export &amp; deletion verified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staging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Confirm "educational, not advice" disclaimer on every surface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List sub-processors (DB, email, Stripe, data vendor) in Privacy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Phase 5 — Go-live gate</w:t>
      </w:r>
    </w:p>
    <w:p>
      <w:pPr>
        <w:spacing w:after="110" w:line="268"/>
      </w:pPr>
      <w:r>
        <w:t xml:space="preserve">Do not launch until every row below is ticked and green.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7A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Go-live gate — ALL must be green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7A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HTTPS live; /healthz green; Postgres persistence confirmed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Real signup → verify → reset emails delivered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Stripe live checkout upgrades plan; portal cancels/downgrades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Legal docs reviewed &amp; published; consent enforced at signup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LEG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Market-data licence in place OR pilot uses client data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FDR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Monitoring + error alerts + DB backups configured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6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  Rollback plan written; on-call/owner identified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</w:tr>
    </w:tbl>
    <w:p>
      <w:pPr>
        <w:pStyle w:val="Heading1"/>
      </w:pPr>
      <w:r>
        <w:t xml:space="preserve">Phase 6 —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5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Wire uptime + error monitoring and on-call alerts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Schedule automated database backups; test a restore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Add edge rate-limit / WAF if running multiple instances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ENG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scale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Stand up a support inbox + response SLA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62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☐</w:t>
            </w:r>
          </w:p>
        </w:tc>
        <w:tc>
          <w:tcPr>
            <w:tcW w:type="dxa" w:w="534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Begin the performance track record (below)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FDR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launch</w:t>
            </w:r>
          </w:p>
        </w:tc>
      </w:tr>
    </w:tbl>
    <w:p>
      <w:pPr>
        <w:pStyle w:val="Heading1"/>
      </w:pPr>
      <w:r>
        <w:t xml:space="preserve">Performance track record (credibility for "AI scores")</w:t>
      </w:r>
    </w:p>
    <w:p>
      <w:pPr>
        <w:spacing w:after="110" w:line="268"/>
      </w:pPr>
      <w:r>
        <w:t xml:space="preserve">Competitors selling AI scores publish audited or transparent track records. Start logging from day one so you can make honest, defensible claims:</w:t>
      </w:r>
    </w:p>
    <w:p>
      <w:pPr>
        <w:spacing w:after="40"/>
      </w:pPr>
      <w:r>
        <w:t xml:space="preserve">• </w:t>
      </w:r>
      <w:r>
        <w:rPr>
          <w:b/>
          <w:bCs/>
        </w:rPr>
        <w:t xml:space="preserve">Snapshot daily: </w:t>
      </w:r>
      <w:r>
        <w:t xml:space="preserve">store each asset’s Quantra Score and the realised forward return at fixed horizons (e.g. +5/+10/+30 sessions).</w:t>
      </w:r>
    </w:p>
    <w:p>
      <w:pPr>
        <w:spacing w:after="40"/>
      </w:pPr>
      <w:r>
        <w:t xml:space="preserve">• </w:t>
      </w:r>
      <w:r>
        <w:rPr>
          <w:b/>
          <w:bCs/>
        </w:rPr>
        <w:t xml:space="preserve">Report hit-rate honestly: </w:t>
      </w:r>
      <w:r>
        <w:t xml:space="preserve">publish out-of-sample directional accuracy and the sample size; never imply guaranteed returns.</w:t>
      </w:r>
    </w:p>
    <w:p>
      <w:pPr>
        <w:spacing w:after="40"/>
      </w:pPr>
      <w:r>
        <w:t xml:space="preserve">• </w:t>
      </w:r>
      <w:r>
        <w:rPr>
          <w:b/>
          <w:bCs/>
        </w:rPr>
        <w:t xml:space="preserve">Show the distribution, not just the average: </w:t>
      </w:r>
      <w:r>
        <w:t xml:space="preserve">include the probability cone and how often outcomes landed inside it.</w:t>
      </w:r>
    </w:p>
    <w:p>
      <w:pPr>
        <w:spacing w:after="110" w:line="268"/>
      </w:pPr>
      <w:r>
        <w:t xml:space="preserve">• </w:t>
      </w:r>
      <w:r>
        <w:rPr>
          <w:b/>
          <w:bCs/>
        </w:rPr>
        <w:t xml:space="preserve">Third-party verification later: </w:t>
      </w:r>
      <w:r>
        <w:t xml:space="preserve">once there’s a meaningful sample, consider an independent audit of the methodology and results.</w:t>
      </w:r>
    </w:p>
    <w:p>
      <w:r>
        <w:t xml:space="preserve"/>
      </w:r>
    </w:p>
    <w:p>
      <w:pPr>
        <w:pBdr>
          <w:top w:val="single" w:color="CFD8E3" w:sz="4" w:space="8"/>
        </w:pBdr>
        <w:spacing w:before="180"/>
      </w:pPr>
      <w:r>
        <w:rPr>
          <w:i/>
          <w:iCs/>
          <w:color w:val="5A6680"/>
          <w:sz w:val="16"/>
          <w:szCs w:val="16"/>
        </w:rPr>
        <w:t xml:space="preserve">Quantra AI · Educational analysis tool — not investment advice. Verify all vendor terms and legal requirements for your jurisdiction. ©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680"/>
        <w:sz w:val="16"/>
        <w:szCs w:val="16"/>
      </w:rPr>
      <w:t xml:space="preserve">Quantra AI — Launch Checklist · Confidential</w:t>
    </w:r>
    <w:r>
      <w:rPr>
        <w:sz w:val="16"/>
        <w:szCs w:val="16"/>
      </w:rPr>
      <w:t xml:space="preserve">	</w:t>
    </w:r>
    <w:r>
      <w:rPr>
        <w:color w:val="5A66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B489" w:sz="6" w:space="6"/>
      </w:pBdr>
      <w:spacing w:after="130" w:before="300"/>
      <w:outlineLvl w:val="0"/>
    </w:pPr>
    <w:rPr>
      <w:rFonts w:ascii="Arial" w:cs="Arial" w:eastAsia="Arial" w:hAnsi="Arial"/>
      <w:b/>
      <w:bCs/>
      <w:color w:val="0A0F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7e0d81acbe41240c8213a20d3064a57a3321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Quantra AI — Launch Checklist</dc:title>
  <dc:creator>Quantra AI</dc:creator>
  <cp:lastModifiedBy>Un-named</cp:lastModifiedBy>
  <cp:revision>1</cp:revision>
  <dcterms:created xsi:type="dcterms:W3CDTF">2026-06-18T09:31:30.131Z</dcterms:created>
  <dcterms:modified xsi:type="dcterms:W3CDTF">2026-06-18T09:31:30.133Z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