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62000" cy="762000"/>
            <wp:effectExtent t="0" r="0" b="0" l="0"/>
            <wp:docPr id="1" name="logo" descr="logo" title="Quantra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0A0F1C"/>
          <w:sz w:val="44"/>
          <w:szCs w:val="44"/>
        </w:rPr>
        <w:t xml:space="preserve">Quantra AI</w:t>
      </w:r>
    </w:p>
    <w:p>
      <w:pPr>
        <w:spacing w:after="40"/>
      </w:pPr>
      <w:r>
        <w:rPr>
          <w:rFonts w:ascii="Georgia" w:cs="Georgia" w:eastAsia="Georgia" w:hAnsi="Georgia"/>
          <w:color w:val="0B7A5E"/>
          <w:sz w:val="26"/>
          <w:szCs w:val="26"/>
        </w:rPr>
        <w:t xml:space="preserve">Path to the First Paying Pilot</w:t>
      </w:r>
    </w:p>
    <w:p>
      <w:pPr>
        <w:spacing w:after="160"/>
      </w:pPr>
      <w:r>
        <w:rPr>
          <w:i/>
          <w:iCs/>
          <w:color w:val="5A6680"/>
          <w:sz w:val="18"/>
          <w:szCs w:val="18"/>
        </w:rPr>
        <w:t xml:space="preserve">A practical, lowest-cost go-to-market plan  ·  Confidential  ·  June 2026</w:t>
      </w:r>
    </w:p>
    <w:p>
      <w:pPr>
        <w:spacing w:after="110" w:line="270"/>
      </w:pPr>
      <w:r>
        <w:rPr>
          <w:b/>
          <w:bCs/>
        </w:rPr>
        <w:t xml:space="preserve">The core idea: </w:t>
      </w:r>
      <w:r>
        <w:t xml:space="preserve">sell a business-to-business pilot first, not direct-to-consumer. One paying client avoids consumer billing, marketing and scale — and the client’s existing market-data licence can cover the largest cost. Sell first, then build exactly what they need.</w:t>
      </w:r>
    </w:p>
    <w:p>
      <w:pPr>
        <w:pStyle w:val="Heading1"/>
      </w:pPr>
      <w:r>
        <w:t xml:space="preserve">The wedge: a paid B2B pilot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Target: </w:t>
      </w:r>
      <w:r>
        <w:t xml:space="preserve">one broker, fintech or crypto app from the 106-firm UAE list.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Offer: </w:t>
      </w:r>
      <w:r>
        <w:t xml:space="preserve">a 60–90 day paid pilot — Quantra embedded as a white-labelled microsite or analysis widget for the client’s users.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Why it is cheapest: </w:t>
      </w:r>
      <w:r>
        <w:t xml:space="preserve">no subscription-billing build (invoice directly), no consumer auth at scale, and the client is the regulated entity — so your regulatory burden as a software vendor is far lower than giving advice yourself.</w:t>
      </w:r>
    </w:p>
    <w:p>
      <w:pPr>
        <w:pStyle w:val="Heading1"/>
      </w:pPr>
      <w:r>
        <w:t xml:space="preserve">Phase 1 — De-risk the data (the #1 blocker)</w:t>
      </w:r>
    </w:p>
    <w:p>
      <w:pPr>
        <w:spacing w:after="110" w:line="270"/>
      </w:pPr>
      <w:r>
        <w:t xml:space="preserve">The current build runs on free/unofficial data endpoints that cannot legally or reliably support a paid product. Fix this first, cheapest option first: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Shortcut (for the pilot): </w:t>
      </w:r>
      <w:r>
        <w:t xml:space="preserve">consume the client’s own market-data feed. Zero extra data cost and it avoids redistribution issues.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Own licence (to be independent): </w:t>
      </w:r>
      <w:r>
        <w:t xml:space="preserve">adopt a vendor whose paid tier permits commercial use. Verify current pricing — it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100"/>
        <w:gridCol w:w="2360"/>
      </w:tblGrid>
      <w:tr>
        <w:trPr>
          <w:tblHeader/>
        </w:trPr>
        <w:tc>
          <w:tcPr>
            <w:tcW w:type="dxa" w:w="3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</w:t>
            </w:r>
          </w:p>
        </w:tc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Cheap option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 / month</w:t>
            </w:r>
          </w:p>
        </w:tc>
      </w:tr>
      <w:tr>
        <w:tc>
          <w:tcPr>
            <w:tcW w:type="dxa" w:w="3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Stocks + fundamentals + news/sentiment</w:t>
            </w:r>
          </w:p>
        </w:tc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Finnhub or Twelve Data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~$30–80</w:t>
            </w:r>
          </w:p>
        </w:tc>
      </w:tr>
      <w:tr>
        <w:tc>
          <w:tcPr>
            <w:tcW w:type="dxa" w:w="3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Fundamentals-heavy</w:t>
            </w:r>
          </w:p>
        </w:tc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Financial Modeling Prep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~$22–80</w:t>
            </w:r>
          </w:p>
        </w:tc>
      </w:tr>
      <w:tr>
        <w:tc>
          <w:tcPr>
            <w:tcW w:type="dxa" w:w="3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Crypto (commercial-licensed)</w:t>
            </w:r>
          </w:p>
        </w:tc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CoinGecko paid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~$129</w:t>
            </w:r>
          </w:p>
        </w:tc>
      </w:tr>
      <w:tr>
        <w:tc>
          <w:tcPr>
            <w:tcW w:type="dxa" w:w="3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Foreign exchange</w:t>
            </w:r>
          </w:p>
        </w:tc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Bundled, or paid FX</w:t>
            </w:r>
          </w:p>
        </w:tc>
        <w:tc>
          <w:tcPr>
            <w:tcW w:type="dxa" w:w="2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~$0–15</w:t>
            </w:r>
          </w:p>
        </w:tc>
      </w:tr>
    </w:tbl>
    <w:p>
      <w:pPr>
        <w:spacing w:after="110" w:line="270"/>
      </w:pPr>
      <w:r>
        <w:rPr>
          <w:b/>
          <w:bCs/>
        </w:rPr>
        <w:t xml:space="preserve">Note: </w:t>
      </w:r>
      <w:r>
        <w:t xml:space="preserve">consolidating to one or two vendors keeps cost and complexity down. Watch the “redistribution” clause — showing data inside a client’s app may need a higher tier; the client-licence shortcut avoids this for the pilot.</w:t>
      </w:r>
    </w:p>
    <w:p>
      <w:pPr>
        <w:pStyle w:val="Heading1"/>
      </w:pPr>
      <w:r>
        <w:t xml:space="preserve">Phase 2 — Minimal productionisation</w:t>
      </w:r>
    </w:p>
    <w:p>
      <w:pPr>
        <w:spacing w:after="110" w:line="270"/>
      </w:pPr>
      <w:r>
        <w:t xml:space="preserve">The existing Node server and static front-end deploy almost as-is. Build only what a pilot needs: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Hosting: </w:t>
      </w:r>
      <w:r>
        <w:t xml:space="preserve">Render, Railway or Fly.io for the server (~$10–25/mo); front-end on Cloudflare Pages or Vercel (free).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Per-client access: </w:t>
      </w:r>
      <w:r>
        <w:t xml:space="preserve">one API key per client plus basic usage logging — skip consumer login entirely for the pilot.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Database: </w:t>
      </w:r>
      <w:r>
        <w:t xml:space="preserve">Supabase (Postgres, free tier) for keys and usage only.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Reliability: </w:t>
      </w:r>
      <w:r>
        <w:t xml:space="preserve">reuse the existing cache, add retry/back-off, and a free uptime monitor.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Billing: </w:t>
      </w:r>
      <w:r>
        <w:t xml:space="preserve">Stripe Invoicing (no code) for the pilot. Full subscription billing comes later, with the consumer product.</w:t>
      </w:r>
    </w:p>
    <w:p>
      <w:pPr>
        <w:pStyle w:val="Heading1"/>
      </w:pPr>
      <w:r>
        <w:t xml:space="preserve">Phase 3 — Legal &amp; compliance minimum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Entity: </w:t>
      </w:r>
      <w:r>
        <w:t xml:space="preserve">a low-cost home-jurisdiction company now; a UAE free-zone licence later if localising (budget ~$3–6k).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Documents: </w:t>
      </w:r>
      <w:r>
        <w:t xml:space="preserve">Terms of Service + Privacy Policy (generator ~$10–30/mo, or a lawyer for a few hundred dollars). Keep the “educational, not advice” disclaimer everywhere.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Trademark: </w:t>
      </w:r>
      <w:r>
        <w:t xml:space="preserve">search “Quantra” before printing more material — it may be taken; budget for a possible rename.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Review: </w:t>
      </w:r>
      <w:r>
        <w:t xml:space="preserve">one lawyer hour over the pilot contract and disclaimer for the target market.</w:t>
      </w:r>
    </w:p>
    <w:p>
      <w:pPr>
        <w:pStyle w:val="Heading1"/>
      </w:pPr>
      <w:r>
        <w:t xml:space="preserve">Phase 4 — The pilot contract: promise vs. don’t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Promise: </w:t>
      </w:r>
      <w:r>
        <w:t xml:space="preserve">analysis, the Quantra Score, probabilistic forecasts, reports and multi-currency; a stated uptime target (~99%); a support response time; a clear data-source caveat.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Never promise: </w:t>
      </w:r>
      <w:r>
        <w:t xml:space="preserve">investment returns, “accurate predictions”, tradeable signals, or any regulatory cover for the client.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b/>
          <w:bCs/>
        </w:rPr>
        <w:t xml:space="preserve">Agree a success metric up front </w:t>
      </w:r>
      <w:r>
        <w:t xml:space="preserve">(e.g., user-engagement uplift, satisfaction) so the pilot can convert to an annual contract.</w:t>
      </w:r>
    </w:p>
    <w:p>
      <w:pPr>
        <w:pStyle w:val="Heading1"/>
      </w:pPr>
      <w:r>
        <w:t xml:space="preserve">Budget to first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E2A2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6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Recurring: data + hosting + tools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~$10–190 / month</w:t>
            </w:r>
          </w:p>
        </w:tc>
      </w:tr>
      <w:tr>
        <w:tc>
          <w:tcPr>
            <w:tcW w:type="dxa" w:w="6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One-time: legal &amp; documents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$300–1,500</w:t>
            </w:r>
          </w:p>
        </w:tc>
      </w:tr>
      <w:tr>
        <w:tc>
          <w:tcPr>
            <w:tcW w:type="dxa" w:w="6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One-time: entity (more for UAE free zone)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$0–6,000</w:t>
            </w:r>
          </w:p>
        </w:tc>
      </w:tr>
      <w:tr>
        <w:tc>
          <w:tcPr>
            <w:tcW w:type="dxa" w:w="6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Pilot fee to charge the client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3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$3,000–15,000 (60–90 days)</w:t>
            </w:r>
          </w:p>
        </w:tc>
      </w:tr>
    </w:tbl>
    <w:p>
      <w:pPr>
        <w:pStyle w:val="Heading1"/>
      </w:pPr>
      <w:r>
        <w:t xml:space="preserve">First 30 days, in order</w:t>
      </w:r>
    </w:p>
    <w:p>
      <w:pPr>
        <w:pStyle w:val="ListParagraph"/>
        <w:numPr>
          <w:ilvl w:val="0"/>
          <w:numId w:val="3"/>
        </w:numPr>
        <w:spacing w:after="55" w:line="264"/>
      </w:pPr>
      <w:r>
        <w:rPr>
          <w:b/>
          <w:bCs/>
        </w:rPr>
        <w:t xml:space="preserve">Sell before you build: </w:t>
      </w:r>
      <w:r>
        <w:t xml:space="preserve">demo to 5–10 firms; secure one verbal “yes” to a paid pilot.</w:t>
      </w:r>
    </w:p>
    <w:p>
      <w:pPr>
        <w:pStyle w:val="ListParagraph"/>
        <w:numPr>
          <w:ilvl w:val="0"/>
          <w:numId w:val="3"/>
        </w:numPr>
        <w:spacing w:after="55" w:line="264"/>
      </w:pPr>
      <w:r>
        <w:rPr>
          <w:b/>
          <w:bCs/>
        </w:rPr>
        <w:t xml:space="preserve">Decide data: </w:t>
      </w:r>
      <w:r>
        <w:t xml:space="preserve">use the client’s licence, or sign one vendor and swap the data layer (the engine does not change — only the fetch endpoints).</w:t>
      </w:r>
    </w:p>
    <w:p>
      <w:pPr>
        <w:pStyle w:val="ListParagraph"/>
        <w:numPr>
          <w:ilvl w:val="0"/>
          <w:numId w:val="3"/>
        </w:numPr>
        <w:spacing w:after="55" w:line="264"/>
      </w:pPr>
      <w:r>
        <w:rPr>
          <w:b/>
          <w:bCs/>
        </w:rPr>
        <w:t xml:space="preserve">Deploy </w:t>
      </w:r>
      <w:r>
        <w:t xml:space="preserve">server + front-end; add per-client API key, usage logging and an uptime monitor.</w:t>
      </w:r>
    </w:p>
    <w:p>
      <w:pPr>
        <w:pStyle w:val="ListParagraph"/>
        <w:numPr>
          <w:ilvl w:val="0"/>
          <w:numId w:val="3"/>
        </w:numPr>
        <w:spacing w:after="55" w:line="264"/>
      </w:pPr>
      <w:r>
        <w:rPr>
          <w:b/>
          <w:bCs/>
        </w:rPr>
        <w:t xml:space="preserve">Legal: </w:t>
      </w:r>
      <w:r>
        <w:t xml:space="preserve">draft ToS/disclaimer, one lawyer review, quick trademark check.</w:t>
      </w:r>
    </w:p>
    <w:p>
      <w:pPr>
        <w:pStyle w:val="ListParagraph"/>
        <w:numPr>
          <w:ilvl w:val="0"/>
          <w:numId w:val="3"/>
        </w:numPr>
        <w:spacing w:after="55" w:line="264"/>
      </w:pPr>
      <w:r>
        <w:rPr>
          <w:b/>
          <w:bCs/>
        </w:rPr>
        <w:t xml:space="preserve">Invoice </w:t>
      </w:r>
      <w:r>
        <w:t xml:space="preserve">the pilot via Stripe Invoicing. You now have a paying customer.</w:t>
      </w:r>
    </w:p>
    <w:p>
      <w:pPr>
        <w:pStyle w:val="Heading1"/>
      </w:pPr>
      <w:r>
        <w:t xml:space="preserve">The honest framing</w:t>
      </w:r>
    </w:p>
    <w:p>
      <w:pPr>
        <w:spacing w:after="110" w:line="270"/>
      </w:pPr>
      <w:r>
        <w:t xml:space="preserve">This reaches a real paying pilot in roughly three to six focused weeks for low hundreds of dollars a month — provided the design partner is secured first. It does not, by itself, make Quantra a direct-to-consumer SaaS; that is a later phase (consumer auth, subscription billing, scale infrastructure and an audited track record). And no plan can guarantee the pilot converts or that the market embraces the product — that is sales and product-fit. But this is the lowest-cost, lowest-risk way to find out, with someone else’s budget on the table.</w:t>
      </w:r>
    </w:p>
    <w:p>
      <w:r>
        <w:t xml:space="preserve"/>
      </w:r>
    </w:p>
    <w:p>
      <w:pPr>
        <w:pBdr>
          <w:top w:val="single" w:color="CFD8E3" w:sz="4" w:space="8"/>
        </w:pBdr>
        <w:spacing w:before="160"/>
      </w:pPr>
      <w:r>
        <w:rPr>
          <w:i/>
          <w:iCs/>
          <w:color w:val="5A6680"/>
          <w:sz w:val="16"/>
          <w:szCs w:val="16"/>
        </w:rPr>
        <w:t xml:space="preserve">Quantra AI · Educational analysis tool — not investment advice. Estimates are indicative; verify vendor pricing and legal requirements for your jurisdiction. ©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680"/>
        <w:sz w:val="16"/>
        <w:szCs w:val="16"/>
      </w:rPr>
      <w:t xml:space="preserve">Quantra AI — Confidential</w:t>
    </w:r>
    <w:r>
      <w:rPr>
        <w:sz w:val="16"/>
        <w:szCs w:val="16"/>
      </w:rPr>
      <w:t xml:space="preserve">	</w:t>
    </w:r>
    <w:r>
      <w:rPr>
        <w:color w:val="5A66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B489" w:sz="6" w:space="6"/>
      </w:pBdr>
      <w:spacing w:after="140" w:before="300"/>
      <w:outlineLvl w:val="0"/>
    </w:pPr>
    <w:rPr>
      <w:rFonts w:ascii="Arial" w:cs="Arial" w:eastAsia="Arial" w:hAnsi="Arial"/>
      <w:b/>
      <w:bCs/>
      <w:color w:val="0A0F1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7e0d81acbe41240c8213a20d3064a57a3321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Quantra AI — Path to First Paying Pilot</dc:title>
  <dc:creator>Quantra AI</dc:creator>
  <cp:lastModifiedBy>Un-named</cp:lastModifiedBy>
  <cp:revision>1</cp:revision>
  <dcterms:created xsi:type="dcterms:W3CDTF">2026-06-17T10:27:31.220Z</dcterms:created>
  <dcterms:modified xsi:type="dcterms:W3CDTF">2026-06-17T10:27:31.223Z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