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476250" cy="476250"/>
            <wp:effectExtent t="0" r="0" b="0" l="0"/>
            <wp:docPr id="1" name="logo" descr="logo" title="Quan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inline>
        </w:drawing>
      </w:r>
      <w:r>
        <w:rPr>
          <w:rFonts w:ascii="Georgia" w:cs="Georgia" w:eastAsia="Georgia" w:hAnsi="Georgia"/>
          <w:b/>
          <w:bCs/>
          <w:color w:val="0A0F1C"/>
          <w:sz w:val="34"/>
          <w:szCs w:val="34"/>
        </w:rPr>
        <w:t xml:space="preserve">   Quantra AI</w:t>
      </w:r>
    </w:p>
    <w:p>
      <w:pPr>
        <w:pBdr>
          <w:bottom w:val="single" w:color="1FB489" w:sz="6" w:space="4"/>
        </w:pBdr>
        <w:spacing w:after="30"/>
      </w:pPr>
      <w:r>
        <w:rPr>
          <w:rFonts w:ascii="Georgia" w:cs="Georgia" w:eastAsia="Georgia" w:hAnsi="Georgia"/>
          <w:color w:val="0B7A5E"/>
          <w:sz w:val="24"/>
          <w:szCs w:val="24"/>
        </w:rPr>
        <w:t xml:space="preserve">Pilot Proposal</w:t>
      </w:r>
    </w:p>
    <w:p>
      <w:pPr>
        <w:tabs>
          <w:tab w:val="right" w:pos="9360"/>
        </w:tabs>
        <w:spacing w:after="30" w:before="120"/>
      </w:pPr>
      <w:r>
        <w:rPr>
          <w:b/>
          <w:bCs/>
        </w:rPr>
        <w:t xml:space="preserve">Prepared for: </w:t>
      </w:r>
      <w:r>
        <w:t xml:space="preserve">[Client name]</w:t>
      </w:r>
      <w:r>
        <w:t xml:space="preserve">	Date: June 2026</w:t>
      </w:r>
    </w:p>
    <w:p>
      <w:pPr>
        <w:spacing w:after="80" w:line="256"/>
      </w:pPr>
      <w:r>
        <w:rPr>
          <w:b/>
          <w:bCs/>
        </w:rPr>
        <w:t xml:space="preserve">Prepared by: </w:t>
      </w:r>
      <w:r>
        <w:t xml:space="preserve">Quantra AI  ·  hello@quantra.ai</w:t>
      </w:r>
    </w:p>
    <w:p>
      <w:pPr>
        <w:spacing w:after="80" w:line="256"/>
      </w:pPr>
      <w:r>
        <w:t xml:space="preserve">Quantra AI is a probabilistic market-intelligence engine. It turns price, fundamental and news data into a clear, plain-language verdict for any crypto or stock — with an explicit probability of gain, a percentile range, and a single Quantra Score (1–99) that ranks the market. We propose a focused, paid pilot to embed Quantra into [Client]’s product and measure its impact on engagement.</w:t>
      </w:r>
    </w:p>
    <w:p>
      <w:pPr>
        <w:spacing w:after="60" w:before="160"/>
      </w:pPr>
      <w:r>
        <w:rPr>
          <w:b/>
          <w:bCs/>
          <w:color w:val="0B7A5E"/>
          <w:sz w:val="23"/>
          <w:szCs w:val="23"/>
        </w:rPr>
        <w:t xml:space="preserve">What we will deliver</w:t>
      </w:r>
    </w:p>
    <w:p>
      <w:pPr>
        <w:pStyle w:val="ListParagraph"/>
        <w:numPr>
          <w:ilvl w:val="0"/>
          <w:numId w:val="2"/>
        </w:numPr>
        <w:spacing w:after="40" w:line="252"/>
      </w:pPr>
      <w:r>
        <w:t xml:space="preserve">A white-labelled Quantra analysis surface (microsite or embedded widget) for [Client]’s users.</w:t>
      </w:r>
    </w:p>
    <w:p>
      <w:pPr>
        <w:pStyle w:val="ListParagraph"/>
        <w:numPr>
          <w:ilvl w:val="0"/>
          <w:numId w:val="2"/>
        </w:numPr>
        <w:spacing w:after="40" w:line="252"/>
      </w:pPr>
      <w:r>
        <w:t xml:space="preserve">AI verdicts, Quantra Score and a top-picks screener across [Client]’s chosen universe.</w:t>
      </w:r>
    </w:p>
    <w:p>
      <w:pPr>
        <w:pStyle w:val="ListParagraph"/>
        <w:numPr>
          <w:ilvl w:val="0"/>
          <w:numId w:val="2"/>
        </w:numPr>
        <w:spacing w:after="40" w:line="252"/>
      </w:pPr>
      <w:r>
        <w:t xml:space="preserve">Probabilistic forecasts (Monte-Carlo probability, range and multi-horizon outlook) and news-sentiment context.</w:t>
      </w:r>
    </w:p>
    <w:p>
      <w:pPr>
        <w:pStyle w:val="ListParagraph"/>
        <w:numPr>
          <w:ilvl w:val="0"/>
          <w:numId w:val="2"/>
        </w:numPr>
        <w:spacing w:after="40" w:line="252"/>
      </w:pPr>
      <w:r>
        <w:t xml:space="preserve">Multi-currency display and one-click Excel / PDF reports.</w:t>
      </w:r>
    </w:p>
    <w:p>
      <w:pPr>
        <w:spacing w:after="60" w:before="160"/>
      </w:pPr>
      <w:r>
        <w:rPr>
          <w:b/>
          <w:bCs/>
          <w:color w:val="0B7A5E"/>
          <w:sz w:val="23"/>
          <w:szCs w:val="23"/>
        </w:rPr>
        <w:t xml:space="preserve">Scope, timeline &amp; commercials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E3" w:sz="1"/>
              <w:left w:val="single" w:color="CFD8E3" w:sz="1"/>
              <w:bottom w:val="single" w:color="CFD8E3" w:sz="1"/>
              <w:right w:val="single" w:color="CFD8E3" w:sz="1"/>
            </w:tcBorders>
            <w:shd w:fill="0E2A24" w:val="clear"/>
            <w:tcMar>
              <w:top w:type="dxa" w:w="60"/>
              <w:left w:type="dxa" w:w="110"/>
              <w:bottom w:type="dxa" w:w="60"/>
              <w:right w:type="dxa" w:w="110"/>
            </w:tcMar>
          </w:tcPr>
          <w:p>
            <w:r>
              <w:rPr>
                <w:b/>
                <w:bCs/>
                <w:color w:val="FFFFFF"/>
                <w:sz w:val="19"/>
                <w:szCs w:val="19"/>
              </w:rPr>
              <w:t xml:space="preserve">Item</w:t>
            </w:r>
          </w:p>
        </w:tc>
        <w:tc>
          <w:tcPr>
            <w:tcW w:type="dxa" w:w="6960"/>
            <w:tcBorders>
              <w:top w:val="single" w:color="CFD8E3" w:sz="1"/>
              <w:left w:val="single" w:color="CFD8E3" w:sz="1"/>
              <w:bottom w:val="single" w:color="CFD8E3" w:sz="1"/>
              <w:right w:val="single" w:color="CFD8E3" w:sz="1"/>
            </w:tcBorders>
            <w:shd w:fill="0E2A24" w:val="clear"/>
            <w:tcMar>
              <w:top w:type="dxa" w:w="60"/>
              <w:left w:type="dxa" w:w="110"/>
              <w:bottom w:type="dxa" w:w="60"/>
              <w:right w:type="dxa" w:w="110"/>
            </w:tcMar>
          </w:tcPr>
          <w:p>
            <w:r>
              <w:rPr>
                <w:b/>
                <w:bCs/>
                <w:color w:val="FFFFFF"/>
                <w:sz w:val="19"/>
                <w:szCs w:val="19"/>
              </w:rPr>
              <w:t xml:space="preserve">Detail</w:t>
            </w:r>
          </w:p>
        </w:tc>
      </w:tr>
      <w:tr>
        <w:tc>
          <w:tcPr>
            <w:tcW w:type="dxa" w:w="2400"/>
            <w:tcBorders>
              <w:top w:val="single" w:color="CFD8E3" w:sz="1"/>
              <w:left w:val="single" w:color="CFD8E3" w:sz="1"/>
              <w:bottom w:val="single" w:color="CFD8E3" w:sz="1"/>
              <w:right w:val="single" w:color="CFD8E3" w:sz="1"/>
            </w:tcBorders>
            <w:tcMar>
              <w:top w:type="dxa" w:w="60"/>
              <w:left w:type="dxa" w:w="110"/>
              <w:bottom w:type="dxa" w:w="60"/>
              <w:right w:type="dxa" w:w="110"/>
            </w:tcMar>
          </w:tcPr>
          <w:p>
            <w:r>
              <w:rPr>
                <w:b w:val="false"/>
                <w:bCs w:val="false"/>
                <w:color w:val="1A2230"/>
                <w:sz w:val="19"/>
                <w:szCs w:val="19"/>
              </w:rPr>
              <w:t xml:space="preserve">Term</w:t>
            </w:r>
          </w:p>
        </w:tc>
        <w:tc>
          <w:tcPr>
            <w:tcW w:type="dxa" w:w="6960"/>
            <w:tcBorders>
              <w:top w:val="single" w:color="CFD8E3" w:sz="1"/>
              <w:left w:val="single" w:color="CFD8E3" w:sz="1"/>
              <w:bottom w:val="single" w:color="CFD8E3" w:sz="1"/>
              <w:right w:val="single" w:color="CFD8E3" w:sz="1"/>
            </w:tcBorders>
            <w:tcMar>
              <w:top w:type="dxa" w:w="60"/>
              <w:left w:type="dxa" w:w="110"/>
              <w:bottom w:type="dxa" w:w="60"/>
              <w:right w:type="dxa" w:w="110"/>
            </w:tcMar>
          </w:tcPr>
          <w:p>
            <w:r>
              <w:rPr>
                <w:b w:val="false"/>
                <w:bCs w:val="false"/>
                <w:color w:val="1A2230"/>
                <w:sz w:val="19"/>
                <w:szCs w:val="19"/>
              </w:rPr>
              <w:t xml:space="preserve">60–90 day pilot</w:t>
            </w:r>
          </w:p>
        </w:tc>
      </w:tr>
      <w:tr>
        <w:tc>
          <w:tcPr>
            <w:tcW w:type="dxa" w:w="2400"/>
            <w:tcBorders>
              <w:top w:val="single" w:color="CFD8E3" w:sz="1"/>
              <w:left w:val="single" w:color="CFD8E3" w:sz="1"/>
              <w:bottom w:val="single" w:color="CFD8E3" w:sz="1"/>
              <w:right w:val="single" w:color="CFD8E3" w:sz="1"/>
            </w:tcBorders>
            <w:shd w:fill="F3F7F5" w:val="clear"/>
            <w:tcMar>
              <w:top w:type="dxa" w:w="60"/>
              <w:left w:type="dxa" w:w="110"/>
              <w:bottom w:type="dxa" w:w="60"/>
              <w:right w:type="dxa" w:w="110"/>
            </w:tcMar>
          </w:tcPr>
          <w:p>
            <w:r>
              <w:rPr>
                <w:b w:val="false"/>
                <w:bCs w:val="false"/>
                <w:color w:val="1A2230"/>
                <w:sz w:val="19"/>
                <w:szCs w:val="19"/>
              </w:rPr>
              <w:t xml:space="preserve">Integration</w:t>
            </w:r>
          </w:p>
        </w:tc>
        <w:tc>
          <w:tcPr>
            <w:tcW w:type="dxa" w:w="6960"/>
            <w:tcBorders>
              <w:top w:val="single" w:color="CFD8E3" w:sz="1"/>
              <w:left w:val="single" w:color="CFD8E3" w:sz="1"/>
              <w:bottom w:val="single" w:color="CFD8E3" w:sz="1"/>
              <w:right w:val="single" w:color="CFD8E3" w:sz="1"/>
            </w:tcBorders>
            <w:shd w:fill="F3F7F5" w:val="clear"/>
            <w:tcMar>
              <w:top w:type="dxa" w:w="60"/>
              <w:left w:type="dxa" w:w="110"/>
              <w:bottom w:type="dxa" w:w="60"/>
              <w:right w:type="dxa" w:w="110"/>
            </w:tcMar>
          </w:tcPr>
          <w:p>
            <w:r>
              <w:rPr>
                <w:b w:val="false"/>
                <w:bCs w:val="false"/>
                <w:color w:val="1A2230"/>
                <w:sz w:val="19"/>
                <w:szCs w:val="19"/>
              </w:rPr>
              <w:t xml:space="preserve">White-label microsite or embedded widget; [Client] or Quantra data feed</w:t>
            </w:r>
          </w:p>
        </w:tc>
      </w:tr>
      <w:tr>
        <w:tc>
          <w:tcPr>
            <w:tcW w:type="dxa" w:w="2400"/>
            <w:tcBorders>
              <w:top w:val="single" w:color="CFD8E3" w:sz="1"/>
              <w:left w:val="single" w:color="CFD8E3" w:sz="1"/>
              <w:bottom w:val="single" w:color="CFD8E3" w:sz="1"/>
              <w:right w:val="single" w:color="CFD8E3" w:sz="1"/>
            </w:tcBorders>
            <w:tcMar>
              <w:top w:type="dxa" w:w="60"/>
              <w:left w:type="dxa" w:w="110"/>
              <w:bottom w:type="dxa" w:w="60"/>
              <w:right w:type="dxa" w:w="110"/>
            </w:tcMar>
          </w:tcPr>
          <w:p>
            <w:r>
              <w:rPr>
                <w:b w:val="false"/>
                <w:bCs w:val="false"/>
                <w:color w:val="1A2230"/>
                <w:sz w:val="19"/>
                <w:szCs w:val="19"/>
              </w:rPr>
              <w:t xml:space="preserve">Pilot fee</w:t>
            </w:r>
          </w:p>
        </w:tc>
        <w:tc>
          <w:tcPr>
            <w:tcW w:type="dxa" w:w="6960"/>
            <w:tcBorders>
              <w:top w:val="single" w:color="CFD8E3" w:sz="1"/>
              <w:left w:val="single" w:color="CFD8E3" w:sz="1"/>
              <w:bottom w:val="single" w:color="CFD8E3" w:sz="1"/>
              <w:right w:val="single" w:color="CFD8E3" w:sz="1"/>
            </w:tcBorders>
            <w:tcMar>
              <w:top w:type="dxa" w:w="60"/>
              <w:left w:type="dxa" w:w="110"/>
              <w:bottom w:type="dxa" w:w="60"/>
              <w:right w:type="dxa" w:w="110"/>
            </w:tcMar>
          </w:tcPr>
          <w:p>
            <w:r>
              <w:rPr>
                <w:b w:val="false"/>
                <w:bCs w:val="false"/>
                <w:color w:val="1A2230"/>
                <w:sz w:val="19"/>
                <w:szCs w:val="19"/>
              </w:rPr>
              <w:t xml:space="preserve">$[ — ] (flat, for the pilot term)</w:t>
            </w:r>
          </w:p>
        </w:tc>
      </w:tr>
      <w:tr>
        <w:tc>
          <w:tcPr>
            <w:tcW w:type="dxa" w:w="2400"/>
            <w:tcBorders>
              <w:top w:val="single" w:color="CFD8E3" w:sz="1"/>
              <w:left w:val="single" w:color="CFD8E3" w:sz="1"/>
              <w:bottom w:val="single" w:color="CFD8E3" w:sz="1"/>
              <w:right w:val="single" w:color="CFD8E3" w:sz="1"/>
            </w:tcBorders>
            <w:shd w:fill="F3F7F5" w:val="clear"/>
            <w:tcMar>
              <w:top w:type="dxa" w:w="60"/>
              <w:left w:type="dxa" w:w="110"/>
              <w:bottom w:type="dxa" w:w="60"/>
              <w:right w:type="dxa" w:w="110"/>
            </w:tcMar>
          </w:tcPr>
          <w:p>
            <w:r>
              <w:rPr>
                <w:b w:val="false"/>
                <w:bCs w:val="false"/>
                <w:color w:val="1A2230"/>
                <w:sz w:val="19"/>
                <w:szCs w:val="19"/>
              </w:rPr>
              <w:t xml:space="preserve">Payment</w:t>
            </w:r>
          </w:p>
        </w:tc>
        <w:tc>
          <w:tcPr>
            <w:tcW w:type="dxa" w:w="6960"/>
            <w:tcBorders>
              <w:top w:val="single" w:color="CFD8E3" w:sz="1"/>
              <w:left w:val="single" w:color="CFD8E3" w:sz="1"/>
              <w:bottom w:val="single" w:color="CFD8E3" w:sz="1"/>
              <w:right w:val="single" w:color="CFD8E3" w:sz="1"/>
            </w:tcBorders>
            <w:shd w:fill="F3F7F5" w:val="clear"/>
            <w:tcMar>
              <w:top w:type="dxa" w:w="60"/>
              <w:left w:type="dxa" w:w="110"/>
              <w:bottom w:type="dxa" w:w="60"/>
              <w:right w:type="dxa" w:w="110"/>
            </w:tcMar>
          </w:tcPr>
          <w:p>
            <w:r>
              <w:rPr>
                <w:b w:val="false"/>
                <w:bCs w:val="false"/>
                <w:color w:val="1A2230"/>
                <w:sz w:val="19"/>
                <w:szCs w:val="19"/>
              </w:rPr>
              <w:t xml:space="preserve">50% on start, 50% on completion (invoice)</w:t>
            </w:r>
          </w:p>
        </w:tc>
      </w:tr>
      <w:tr>
        <w:tc>
          <w:tcPr>
            <w:tcW w:type="dxa" w:w="2400"/>
            <w:tcBorders>
              <w:top w:val="single" w:color="CFD8E3" w:sz="1"/>
              <w:left w:val="single" w:color="CFD8E3" w:sz="1"/>
              <w:bottom w:val="single" w:color="CFD8E3" w:sz="1"/>
              <w:right w:val="single" w:color="CFD8E3" w:sz="1"/>
            </w:tcBorders>
            <w:tcMar>
              <w:top w:type="dxa" w:w="60"/>
              <w:left w:type="dxa" w:w="110"/>
              <w:bottom w:type="dxa" w:w="60"/>
              <w:right w:type="dxa" w:w="110"/>
            </w:tcMar>
          </w:tcPr>
          <w:p>
            <w:r>
              <w:rPr>
                <w:b w:val="false"/>
                <w:bCs w:val="false"/>
                <w:color w:val="1A2230"/>
                <w:sz w:val="19"/>
                <w:szCs w:val="19"/>
              </w:rPr>
              <w:t xml:space="preserve">Support</w:t>
            </w:r>
          </w:p>
        </w:tc>
        <w:tc>
          <w:tcPr>
            <w:tcW w:type="dxa" w:w="6960"/>
            <w:tcBorders>
              <w:top w:val="single" w:color="CFD8E3" w:sz="1"/>
              <w:left w:val="single" w:color="CFD8E3" w:sz="1"/>
              <w:bottom w:val="single" w:color="CFD8E3" w:sz="1"/>
              <w:right w:val="single" w:color="CFD8E3" w:sz="1"/>
            </w:tcBorders>
            <w:tcMar>
              <w:top w:type="dxa" w:w="60"/>
              <w:left w:type="dxa" w:w="110"/>
              <w:bottom w:type="dxa" w:w="60"/>
              <w:right w:type="dxa" w:w="110"/>
            </w:tcMar>
          </w:tcPr>
          <w:p>
            <w:r>
              <w:rPr>
                <w:b w:val="false"/>
                <w:bCs w:val="false"/>
                <w:color w:val="1A2230"/>
                <w:sz w:val="19"/>
                <w:szCs w:val="19"/>
              </w:rPr>
              <w:t xml:space="preserve">Named contact; response within 1 business day; ~99% uptime target</w:t>
            </w:r>
          </w:p>
        </w:tc>
      </w:tr>
    </w:tbl>
    <w:p>
      <w:pPr>
        <w:spacing w:after="60" w:before="160"/>
      </w:pPr>
      <w:r>
        <w:rPr>
          <w:b/>
          <w:bCs/>
          <w:color w:val="0B7A5E"/>
          <w:sz w:val="23"/>
          <w:szCs w:val="23"/>
        </w:rPr>
        <w:t xml:space="preserve">Success metrics (agreed up front)</w:t>
      </w:r>
    </w:p>
    <w:p>
      <w:pPr>
        <w:pStyle w:val="ListParagraph"/>
        <w:numPr>
          <w:ilvl w:val="0"/>
          <w:numId w:val="2"/>
        </w:numPr>
        <w:spacing w:after="40" w:line="252"/>
      </w:pPr>
      <w:r>
        <w:t xml:space="preserve">Uplift in user engagement / session depth on the analysis surface.</w:t>
      </w:r>
    </w:p>
    <w:p>
      <w:pPr>
        <w:pStyle w:val="ListParagraph"/>
        <w:numPr>
          <w:ilvl w:val="0"/>
          <w:numId w:val="2"/>
        </w:numPr>
        <w:spacing w:after="40" w:line="252"/>
      </w:pPr>
      <w:r>
        <w:t xml:space="preserve">User satisfaction with the verdicts and score (survey or qualitative).</w:t>
      </w:r>
    </w:p>
    <w:p>
      <w:pPr>
        <w:pStyle w:val="ListParagraph"/>
        <w:numPr>
          <w:ilvl w:val="0"/>
          <w:numId w:val="2"/>
        </w:numPr>
        <w:spacing w:after="40" w:line="252"/>
      </w:pPr>
      <w:r>
        <w:t xml:space="preserve">A clear go / no-go to convert into an annual licence at pilot end.</w:t>
      </w:r>
    </w:p>
    <w:p>
      <w:pPr>
        <w:spacing w:after="60" w:before="160"/>
      </w:pPr>
      <w:r>
        <w:rPr>
          <w:b/>
          <w:bCs/>
          <w:color w:val="0B7A5E"/>
          <w:sz w:val="23"/>
          <w:szCs w:val="23"/>
        </w:rPr>
        <w:t xml:space="preserve">Not included</w:t>
      </w:r>
    </w:p>
    <w:p>
      <w:pPr>
        <w:spacing w:after="80" w:line="256"/>
      </w:pPr>
      <w:r>
        <w:rPr>
          <w:color w:val="5A6680"/>
          <w:sz w:val="19"/>
          <w:szCs w:val="19"/>
        </w:rPr>
        <w:t xml:space="preserve">Quantra is an educational analysis tool. It does not provide investment advice, trading signals or automatic orders, makes no guarantee of returns or prediction accuracy, and provides no regulatory cover for [Client]. Market data is subject to the relevant provider’s terms.</w:t>
      </w:r>
    </w:p>
    <w:p>
      <w:pPr>
        <w:tabs>
          <w:tab w:val="left" w:pos="5200"/>
        </w:tabs>
        <w:spacing w:after="0" w:before="220"/>
      </w:pPr>
      <w:r>
        <w:rPr>
          <w:color w:val="5A6680"/>
        </w:rPr>
        <w:t xml:space="preserve">______________________________</w:t>
      </w:r>
      <w:r>
        <w:t xml:space="preserve">	</w:t>
      </w:r>
      <w:r>
        <w:rPr>
          <w:color w:val="5A6680"/>
        </w:rPr>
        <w:t xml:space="preserve">______________________________</w:t>
      </w:r>
    </w:p>
    <w:p>
      <w:pPr>
        <w:tabs>
          <w:tab w:val="left" w:pos="5200"/>
        </w:tabs>
      </w:pPr>
      <w:r>
        <w:rPr>
          <w:color w:val="1A2230"/>
          <w:sz w:val="19"/>
          <w:szCs w:val="19"/>
        </w:rPr>
        <w:t xml:space="preserve">For [Client name]</w:t>
      </w:r>
      <w:r>
        <w:t xml:space="preserve">	</w:t>
      </w:r>
      <w:r>
        <w:rPr>
          <w:color w:val="1A2230"/>
          <w:sz w:val="19"/>
          <w:szCs w:val="19"/>
        </w:rPr>
        <w:t xml:space="preserve">For Quantra AI</w:t>
      </w:r>
    </w:p>
    <w:p>
      <w:pPr>
        <w:tabs>
          <w:tab w:val="left" w:pos="5200"/>
        </w:tabs>
      </w:pPr>
      <w:r>
        <w:rPr>
          <w:color w:val="5A6680"/>
          <w:sz w:val="17"/>
          <w:szCs w:val="17"/>
        </w:rPr>
        <w:t xml:space="preserve">Name / title / date</w:t>
      </w:r>
      <w:r>
        <w:t xml:space="preserve">	</w:t>
      </w:r>
      <w:r>
        <w:rPr>
          <w:color w:val="5A6680"/>
          <w:sz w:val="17"/>
          <w:szCs w:val="17"/>
        </w:rPr>
        <w:t xml:space="preserve">Name / title / date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B489" w:sz="6" w:space="6"/>
      </w:pBdr>
      <w:spacing w:after="140" w:before="300"/>
      <w:outlineLvl w:val="0"/>
    </w:pPr>
    <w:rPr>
      <w:rFonts w:ascii="Arial" w:cs="Arial" w:eastAsia="Arial" w:hAnsi="Arial"/>
      <w:b/>
      <w:bCs/>
      <w:color w:val="0A0F1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7e0d81acbe41240c8213a20d3064a57a33216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Quantra AI — Pilot Proposal</dc:title>
  <dc:creator>Quantra AI</dc:creator>
  <cp:lastModifiedBy>Un-named</cp:lastModifiedBy>
  <cp:revision>1</cp:revision>
  <dcterms:created xsi:type="dcterms:W3CDTF">2026-06-17T10:27:31.268Z</dcterms:created>
  <dcterms:modified xsi:type="dcterms:W3CDTF">2026-06-17T10:27:31.268Z</dcterms:modified>
</cp:coreProperties>
</file>

<file path=docProps/custom.xml><?xml version="1.0" encoding="utf-8"?>
<Properties xmlns="http://schemas.openxmlformats.org/officeDocument/2006/custom-properties" xmlns:vt="http://schemas.openxmlformats.org/officeDocument/2006/docPropsVTypes"/>
</file>