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ACD3" w14:textId="77777777" w:rsidR="00AB03D1" w:rsidRDefault="00AB03D1"/>
    <w:p w14:paraId="46A30C3E" w14:textId="77777777" w:rsidR="00AB03D1" w:rsidRDefault="00AB03D1"/>
    <w:p w14:paraId="78198E72" w14:textId="77777777" w:rsidR="00AB03D1" w:rsidRDefault="00000000">
      <w:pPr>
        <w:jc w:val="center"/>
      </w:pPr>
      <w:r>
        <w:rPr>
          <w:noProof/>
        </w:rPr>
        <w:drawing>
          <wp:inline distT="0" distB="0" distL="0" distR="0" wp14:anchorId="664E98A5" wp14:editId="7042D90A">
            <wp:extent cx="914400" cy="914400"/>
            <wp:effectExtent l="0" t="0" r="0" b="0"/>
            <wp:docPr id="1" name="logo" descr="Quantra AI logo" title="Quantra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A926" w14:textId="77777777" w:rsidR="00AB03D1" w:rsidRDefault="00AB03D1"/>
    <w:p w14:paraId="07B7C27E" w14:textId="77777777" w:rsidR="00AB03D1" w:rsidRDefault="00000000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0A0F1C"/>
          <w:sz w:val="60"/>
          <w:szCs w:val="60"/>
        </w:rPr>
        <w:t>Quantra AI</w:t>
      </w:r>
    </w:p>
    <w:p w14:paraId="2FAD0B48" w14:textId="77777777" w:rsidR="00AB03D1" w:rsidRDefault="00000000">
      <w:pPr>
        <w:spacing w:after="40"/>
        <w:jc w:val="center"/>
      </w:pPr>
      <w:r>
        <w:rPr>
          <w:rFonts w:ascii="Georgia" w:eastAsia="Georgia" w:hAnsi="Georgia" w:cs="Georgia"/>
          <w:color w:val="0B7A5E"/>
          <w:sz w:val="30"/>
          <w:szCs w:val="30"/>
        </w:rPr>
        <w:t>Probabilistic Market Intelligence</w:t>
      </w:r>
    </w:p>
    <w:p w14:paraId="1C9682C7" w14:textId="77777777" w:rsidR="00AB03D1" w:rsidRDefault="00000000">
      <w:pPr>
        <w:spacing w:after="200"/>
        <w:jc w:val="center"/>
      </w:pPr>
      <w:r>
        <w:rPr>
          <w:i/>
          <w:iCs/>
          <w:color w:val="5A6680"/>
          <w:sz w:val="22"/>
          <w:szCs w:val="22"/>
        </w:rPr>
        <w:t>A technical, fundamental and news-aware analysis &amp; forecasting engine for crypto and equities</w:t>
      </w:r>
    </w:p>
    <w:p w14:paraId="5523D9EB" w14:textId="77777777" w:rsidR="00AB03D1" w:rsidRDefault="00AB03D1"/>
    <w:p w14:paraId="5B6BED1A" w14:textId="77777777" w:rsidR="00AB03D1" w:rsidRDefault="00AB03D1"/>
    <w:p w14:paraId="5673EB64" w14:textId="77777777" w:rsidR="00AB03D1" w:rsidRDefault="00AB03D1"/>
    <w:p w14:paraId="381A3937" w14:textId="77777777" w:rsidR="00AB03D1" w:rsidRDefault="00AB03D1"/>
    <w:p w14:paraId="6111BD4F" w14:textId="77777777" w:rsidR="00AB03D1" w:rsidRDefault="00AB03D1"/>
    <w:p w14:paraId="009860BC" w14:textId="77777777" w:rsidR="00AB03D1" w:rsidRDefault="00AB03D1"/>
    <w:p w14:paraId="70C3C863" w14:textId="77777777" w:rsidR="00AB03D1" w:rsidRDefault="00000000">
      <w:pPr>
        <w:jc w:val="center"/>
      </w:pPr>
      <w:r>
        <w:rPr>
          <w:b/>
          <w:bCs/>
          <w:color w:val="0A0F1C"/>
          <w:spacing w:val="60"/>
          <w:sz w:val="26"/>
          <w:szCs w:val="26"/>
        </w:rPr>
        <w:t>WHITE PAPER</w:t>
      </w:r>
    </w:p>
    <w:p w14:paraId="21EB71BB" w14:textId="77777777" w:rsidR="00AB03D1" w:rsidRDefault="00000000">
      <w:pPr>
        <w:spacing w:after="30"/>
        <w:jc w:val="center"/>
      </w:pPr>
      <w:r>
        <w:rPr>
          <w:color w:val="5A6680"/>
          <w:sz w:val="20"/>
          <w:szCs w:val="20"/>
        </w:rPr>
        <w:t xml:space="preserve">Version </w:t>
      </w:r>
      <w:proofErr w:type="gramStart"/>
      <w:r>
        <w:rPr>
          <w:color w:val="5A6680"/>
          <w:sz w:val="20"/>
          <w:szCs w:val="20"/>
        </w:rPr>
        <w:t>1.0  ·</w:t>
      </w:r>
      <w:proofErr w:type="gramEnd"/>
      <w:r>
        <w:rPr>
          <w:color w:val="5A6680"/>
          <w:sz w:val="20"/>
          <w:szCs w:val="20"/>
        </w:rPr>
        <w:t xml:space="preserve">  June 2026</w:t>
      </w:r>
    </w:p>
    <w:p w14:paraId="6076EA60" w14:textId="77777777" w:rsidR="00AB03D1" w:rsidRDefault="00000000">
      <w:pPr>
        <w:jc w:val="center"/>
      </w:pPr>
      <w:r>
        <w:rPr>
          <w:i/>
          <w:iCs/>
          <w:color w:val="5A6680"/>
          <w:sz w:val="18"/>
          <w:szCs w:val="18"/>
        </w:rPr>
        <w:t>Confidential — for evaluation purposes</w:t>
      </w:r>
    </w:p>
    <w:p w14:paraId="4D0A3DBD" w14:textId="77777777" w:rsidR="00AB03D1" w:rsidRDefault="00000000">
      <w:r>
        <w:br w:type="page"/>
      </w:r>
    </w:p>
    <w:p w14:paraId="1CEF65D6" w14:textId="77777777" w:rsidR="00AB03D1" w:rsidRDefault="00000000">
      <w:pPr>
        <w:spacing w:after="120"/>
      </w:pPr>
      <w:r>
        <w:rPr>
          <w:b/>
          <w:bCs/>
          <w:color w:val="0A0F1C"/>
          <w:sz w:val="28"/>
          <w:szCs w:val="28"/>
        </w:rPr>
        <w:lastRenderedPageBreak/>
        <w:t>Contents</w:t>
      </w:r>
    </w:p>
    <w:sdt>
      <w:sdtPr>
        <w:alias w:val="Table of Contents"/>
        <w:id w:val="1836184457"/>
      </w:sdtPr>
      <w:sdtContent>
        <w:p w14:paraId="272284FB" w14:textId="77777777" w:rsidR="00BC622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86937" w:history="1">
            <w:r w:rsidR="00BC6225" w:rsidRPr="00E00275">
              <w:rPr>
                <w:rStyle w:val="Hyperlink"/>
                <w:noProof/>
              </w:rPr>
              <w:t>1. Abstract</w:t>
            </w:r>
            <w:r w:rsidR="00BC6225">
              <w:rPr>
                <w:noProof/>
              </w:rPr>
              <w:tab/>
            </w:r>
            <w:r w:rsidR="00BC6225">
              <w:rPr>
                <w:noProof/>
              </w:rPr>
              <w:fldChar w:fldCharType="begin"/>
            </w:r>
            <w:r w:rsidR="00BC6225">
              <w:rPr>
                <w:noProof/>
              </w:rPr>
              <w:instrText xml:space="preserve"> PAGEREF _Toc232586937 \h </w:instrText>
            </w:r>
            <w:r w:rsidR="00BC6225">
              <w:rPr>
                <w:noProof/>
              </w:rPr>
            </w:r>
            <w:r w:rsidR="00BC6225">
              <w:rPr>
                <w:noProof/>
              </w:rPr>
              <w:fldChar w:fldCharType="separate"/>
            </w:r>
            <w:r w:rsidR="00BC6225">
              <w:rPr>
                <w:noProof/>
              </w:rPr>
              <w:t>3</w:t>
            </w:r>
            <w:r w:rsidR="00BC6225">
              <w:rPr>
                <w:noProof/>
              </w:rPr>
              <w:fldChar w:fldCharType="end"/>
            </w:r>
          </w:hyperlink>
        </w:p>
        <w:p w14:paraId="72545A89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38" w:history="1">
            <w:r w:rsidRPr="00E00275">
              <w:rPr>
                <w:rStyle w:val="Hyperlink"/>
                <w:noProof/>
              </w:rPr>
              <w:t>2.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22334E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39" w:history="1">
            <w:r w:rsidRPr="00E00275">
              <w:rPr>
                <w:rStyle w:val="Hyperlink"/>
                <w:noProof/>
              </w:rPr>
              <w:t>3.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1702CA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40" w:history="1">
            <w:r w:rsidRPr="00E00275">
              <w:rPr>
                <w:rStyle w:val="Hyperlink"/>
                <w:noProof/>
              </w:rPr>
              <w:t>4. Analytical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D2D5DA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1" w:history="1">
            <w:r w:rsidRPr="00E00275">
              <w:rPr>
                <w:rStyle w:val="Hyperlink"/>
                <w:noProof/>
              </w:rPr>
              <w:t>4.1 Technical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62D734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2" w:history="1">
            <w:r w:rsidRPr="00E00275">
              <w:rPr>
                <w:rStyle w:val="Hyperlink"/>
                <w:noProof/>
              </w:rPr>
              <w:t>4.2 Fundamental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E6928C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3" w:history="1">
            <w:r w:rsidRPr="00E00275">
              <w:rPr>
                <w:rStyle w:val="Hyperlink"/>
                <w:noProof/>
              </w:rPr>
              <w:t>4.3 News Sentiment and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90E897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4" w:history="1">
            <w:r w:rsidRPr="00E00275">
              <w:rPr>
                <w:rStyle w:val="Hyperlink"/>
                <w:noProof/>
              </w:rPr>
              <w:t>4.4 Walk-Forward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37B9A1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5" w:history="1">
            <w:r w:rsidRPr="00E00275">
              <w:rPr>
                <w:rStyle w:val="Hyperlink"/>
                <w:noProof/>
              </w:rPr>
              <w:t>4.5 Probabilistic Forecasting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D927FD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6" w:history="1">
            <w:r w:rsidRPr="00E00275">
              <w:rPr>
                <w:rStyle w:val="Hyperlink"/>
                <w:noProof/>
              </w:rPr>
              <w:t>4.6 The Quantra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DFC7DD" w14:textId="77777777" w:rsidR="00BC6225" w:rsidRDefault="00BC62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6947" w:history="1">
            <w:r w:rsidRPr="00E00275">
              <w:rPr>
                <w:rStyle w:val="Hyperlink"/>
                <w:noProof/>
              </w:rPr>
              <w:t>4.7 Market Regime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03308B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48" w:history="1">
            <w:r w:rsidRPr="00E00275">
              <w:rPr>
                <w:rStyle w:val="Hyperlink"/>
                <w:noProof/>
              </w:rPr>
              <w:t>5. Multi-Currency and Data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6A145F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49" w:history="1">
            <w:r w:rsidRPr="00E00275">
              <w:rPr>
                <w:rStyle w:val="Hyperlink"/>
                <w:noProof/>
              </w:rPr>
              <w:t>6. Product Surfaces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9C4C1D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50" w:history="1">
            <w:r w:rsidRPr="00E00275">
              <w:rPr>
                <w:rStyle w:val="Hyperlink"/>
                <w:noProof/>
              </w:rPr>
              <w:t>7. Data Sources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20D8F1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51" w:history="1">
            <w:r w:rsidRPr="00E00275">
              <w:rPr>
                <w:rStyle w:val="Hyperlink"/>
                <w:noProof/>
              </w:rPr>
              <w:t>8. Responsible Use and Disclaimer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2F5851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52" w:history="1">
            <w:r w:rsidRPr="00E00275">
              <w:rPr>
                <w:rStyle w:val="Hyperlink"/>
                <w:noProof/>
              </w:rPr>
              <w:t>9. Market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5BC8D6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53" w:history="1">
            <w:r w:rsidRPr="00E00275">
              <w:rPr>
                <w:rStyle w:val="Hyperlink"/>
                <w:noProof/>
              </w:rPr>
              <w:t>10. Business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347012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54" w:history="1">
            <w:r w:rsidRPr="00E00275">
              <w:rPr>
                <w:rStyle w:val="Hyperlink"/>
                <w:noProof/>
              </w:rPr>
              <w:t>11.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BC0A1B" w14:textId="77777777" w:rsidR="00BC6225" w:rsidRDefault="00BC62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6955" w:history="1">
            <w:r w:rsidRPr="00E00275">
              <w:rPr>
                <w:rStyle w:val="Hyperlink"/>
                <w:noProof/>
              </w:rPr>
              <w:t>12.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DC5DB1" w14:textId="77777777" w:rsidR="00AB03D1" w:rsidRDefault="00000000">
          <w:r>
            <w:fldChar w:fldCharType="end"/>
          </w:r>
        </w:p>
      </w:sdtContent>
    </w:sdt>
    <w:p w14:paraId="12030568" w14:textId="77777777" w:rsidR="00AB03D1" w:rsidRDefault="00000000">
      <w:r>
        <w:br w:type="page"/>
      </w:r>
    </w:p>
    <w:p w14:paraId="18F31072" w14:textId="77777777" w:rsidR="00AB03D1" w:rsidRDefault="00000000">
      <w:pPr>
        <w:pStyle w:val="Heading1"/>
      </w:pPr>
      <w:bookmarkStart w:id="0" w:name="_Toc232586937"/>
      <w:r>
        <w:lastRenderedPageBreak/>
        <w:t>1. Abstract</w:t>
      </w:r>
      <w:bookmarkEnd w:id="0"/>
    </w:p>
    <w:p w14:paraId="3FCA9897" w14:textId="77777777" w:rsidR="00AB03D1" w:rsidRDefault="00000000">
      <w:pPr>
        <w:spacing w:after="120" w:line="276" w:lineRule="auto"/>
      </w:pPr>
      <w:r>
        <w:t>Quantra AI is a market-intelligence engine that converts raw price, fundamental and news data into a single, plain-language verdict — accompanied by an explicit, probabilistic forecast. Where most retail tools surface indicators or opinionated "signals", Quantra quantifies the odds: it states a probability of gain, a percentile range of outcomes, and an out-of-sample accuracy figure for its own logic on each asset.</w:t>
      </w:r>
    </w:p>
    <w:p w14:paraId="5A4CB504" w14:textId="77777777" w:rsidR="00AB03D1" w:rsidRDefault="00000000">
      <w:pPr>
        <w:spacing w:after="120" w:line="276" w:lineRule="auto"/>
      </w:pPr>
      <w:r>
        <w:t>The system blends three classes of evidence — a multi-indicator technical suite, screener-style fundamentals, and a finance-tuned news-sentiment model — and validates its weighting on each instrument’s own history before issuing a read. Forecasts are generated with a Monte-Carlo simulation rather than a single deterministic line, and an optional large-language-model layer turns the computed evidence into a richer narrative and a comprehension-based news-impact score. This paper describes the methodology, architecture, product surfaces, data pipeline, honest limitations, market opportunity and business model.</w:t>
      </w:r>
    </w:p>
    <w:p w14:paraId="4BC94454" w14:textId="77777777" w:rsidR="00AB03D1" w:rsidRDefault="00000000">
      <w:pPr>
        <w:pStyle w:val="Heading1"/>
      </w:pPr>
      <w:bookmarkStart w:id="1" w:name="_Toc232586938"/>
      <w:r>
        <w:t>2. The Problem</w:t>
      </w:r>
      <w:bookmarkEnd w:id="1"/>
    </w:p>
    <w:p w14:paraId="034F173F" w14:textId="77777777" w:rsidR="00AB03D1" w:rsidRDefault="00000000">
      <w:pPr>
        <w:spacing w:after="120" w:line="276" w:lineRule="auto"/>
      </w:pPr>
      <w:r>
        <w:t>Retail and semi-professional investors face an abundance of data and a scarcity of clarity. Three gaps recur across the tooling landscape:</w:t>
      </w:r>
    </w:p>
    <w:p w14:paraId="0C3B7F5E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Data overload. </w:t>
      </w:r>
      <w:r>
        <w:t>Charts, ratios and headlines are everywhere, but almost no tool fuses them into one coherent answer to the only question that matters: what does this mean, and how confident should I be?</w:t>
      </w:r>
    </w:p>
    <w:p w14:paraId="6191E475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Opinions, not probabilities. </w:t>
      </w:r>
      <w:r>
        <w:t xml:space="preserve">Most products emit indicators or vague buy/sell labels. Very few quantify the distribution of outcomes or report how often their own method has </w:t>
      </w:r>
      <w:proofErr w:type="gramStart"/>
      <w:r>
        <w:t>actually been</w:t>
      </w:r>
      <w:proofErr w:type="gramEnd"/>
      <w:r>
        <w:t xml:space="preserve"> right.</w:t>
      </w:r>
    </w:p>
    <w:p w14:paraId="34F64CE3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Fragmentation and locality. </w:t>
      </w:r>
      <w:r>
        <w:t>Technicals, fundamentals, crypto and news live in separate apps, and prices are typically locked to a single currency — a poor fit for the cross-border, multi-asset investor.</w:t>
      </w:r>
    </w:p>
    <w:p w14:paraId="67F07CB3" w14:textId="77777777" w:rsidR="00AB03D1" w:rsidRDefault="00000000">
      <w:pPr>
        <w:spacing w:after="120" w:line="276" w:lineRule="auto"/>
      </w:pPr>
      <w:r>
        <w:t>Quantra is designed around closing these gaps: one terminal, every major market, and a verdict that carries its own odds.</w:t>
      </w:r>
    </w:p>
    <w:p w14:paraId="0FECCFDF" w14:textId="77777777" w:rsidR="00AB03D1" w:rsidRDefault="00000000">
      <w:pPr>
        <w:pStyle w:val="Heading1"/>
      </w:pPr>
      <w:bookmarkStart w:id="2" w:name="_Toc232586939"/>
      <w:r>
        <w:t>3. System Overview</w:t>
      </w:r>
      <w:bookmarkEnd w:id="2"/>
    </w:p>
    <w:p w14:paraId="0AEF669F" w14:textId="77777777" w:rsidR="00AB03D1" w:rsidRDefault="00000000">
      <w:pPr>
        <w:spacing w:after="120" w:line="276" w:lineRule="auto"/>
      </w:pPr>
      <w:r>
        <w:t>Quantra is a browser-delivered terminal backed by a lightweight, dependency-free server that acts as a data proxy and an optional reasoning gateway. The architecture has four layers:</w:t>
      </w:r>
    </w:p>
    <w:p w14:paraId="1D40959D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Data layer. </w:t>
      </w:r>
      <w:r>
        <w:t>Live market data (prices, OHLC, fundamentals, news, FX) is fetched from public providers and normalised server-side, with short-lived caching to respect rate limits.</w:t>
      </w:r>
    </w:p>
    <w:p w14:paraId="51B8762F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Analytics engine. </w:t>
      </w:r>
      <w:r>
        <w:t>A pure-function library computes the full indicator suite, fundamental scoring, sentiment, walk-forward validation, the Monte-Carlo forecast, market regime and the composite Quantra Score — entirely deterministically from the supplied data.</w:t>
      </w:r>
    </w:p>
    <w:p w14:paraId="2C9AD439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Reasoning layer (optional). </w:t>
      </w:r>
      <w:r>
        <w:t>When an API key is configured, a large-language model receives the computed evidence and returns a structured object: a narrative read, a stance, and a numeric news-impact score that is fed back into the forecast.</w:t>
      </w:r>
    </w:p>
    <w:p w14:paraId="4ACC5ECE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Presentation layer. </w:t>
      </w:r>
      <w:r>
        <w:t>The terminal, screener, news and reporting surfaces render the results, with live currency conversion and one-click Excel/PDF export.</w:t>
      </w:r>
    </w:p>
    <w:p w14:paraId="1D5DE559" w14:textId="77777777" w:rsidR="00AB03D1" w:rsidRDefault="00000000">
      <w:pPr>
        <w:spacing w:after="120" w:line="276" w:lineRule="auto"/>
      </w:pPr>
      <w:r>
        <w:t>Crucially, the analytics engine is fully functional without the reasoning layer; the language model enriches the output, it does not gate it.</w:t>
      </w:r>
    </w:p>
    <w:p w14:paraId="36343903" w14:textId="77777777" w:rsidR="00AB03D1" w:rsidRDefault="00000000">
      <w:pPr>
        <w:pStyle w:val="Heading1"/>
      </w:pPr>
      <w:bookmarkStart w:id="3" w:name="_Toc232586940"/>
      <w:r>
        <w:t>4. Analytical Methodology</w:t>
      </w:r>
      <w:bookmarkEnd w:id="3"/>
    </w:p>
    <w:p w14:paraId="0C7BEBFA" w14:textId="77777777" w:rsidR="00AB03D1" w:rsidRDefault="00000000">
      <w:pPr>
        <w:spacing w:after="120" w:line="276" w:lineRule="auto"/>
      </w:pPr>
      <w:r>
        <w:t>Every verdict is assembled from independent lines of evidence, each scored separately and then combined. This section summarises each component.</w:t>
      </w:r>
    </w:p>
    <w:p w14:paraId="09189F07" w14:textId="77777777" w:rsidR="00AB03D1" w:rsidRDefault="00000000">
      <w:pPr>
        <w:pStyle w:val="Heading2"/>
      </w:pPr>
      <w:bookmarkStart w:id="4" w:name="_Toc232586941"/>
      <w:r>
        <w:t>4.1 Technical Suite</w:t>
      </w:r>
      <w:bookmarkEnd w:id="4"/>
    </w:p>
    <w:p w14:paraId="109994C8" w14:textId="77777777" w:rsidR="00AB03D1" w:rsidRDefault="00000000">
      <w:pPr>
        <w:spacing w:after="120" w:line="276" w:lineRule="auto"/>
      </w:pPr>
      <w:r>
        <w:t>Quantra computes a broad indicator set per asset: simple and exponential moving averages (20/50/200), RSI, MACD with cross detection, Bollinger Bands, Average True Range, Stochastic oscillator, ADX (trend strength) and an OBV-style volume read. Each indicator casts a weighted bull, bear or neutral vote, and the votes are surfaced transparently as a signal breakdown so the user can see why the verdict is what it is.</w:t>
      </w:r>
    </w:p>
    <w:p w14:paraId="6EED69D6" w14:textId="77777777" w:rsidR="00AB03D1" w:rsidRDefault="00000000">
      <w:pPr>
        <w:pStyle w:val="Heading2"/>
      </w:pPr>
      <w:bookmarkStart w:id="5" w:name="_Toc232586942"/>
      <w:r>
        <w:t>4.2 Fundamental Analysis</w:t>
      </w:r>
      <w:bookmarkEnd w:id="5"/>
    </w:p>
    <w:p w14:paraId="250224E4" w14:textId="77777777" w:rsidR="00AB03D1" w:rsidRDefault="00000000">
      <w:pPr>
        <w:spacing w:after="120" w:line="276" w:lineRule="auto"/>
      </w:pPr>
      <w:r>
        <w:t>For equities, Quantra ingests screener-style ratios — valuation (P/E, forward P/E, price-to-book), profitability (ROE, ROA, margins), leverage (debt-to-equity), growth (revenue and earnings) and income (dividend yield) — together with analyst estimates, price targets, the recommendation breakdown and the next earnings date. These map to a fundamental grade that feeds the combined verdict and the Quantra Score.</w:t>
      </w:r>
    </w:p>
    <w:p w14:paraId="5E4DF2E7" w14:textId="77777777" w:rsidR="00AB03D1" w:rsidRDefault="00000000">
      <w:pPr>
        <w:pStyle w:val="Heading2"/>
      </w:pPr>
      <w:bookmarkStart w:id="6" w:name="_Toc232586943"/>
      <w:r>
        <w:t>4.3 News Sentiment and Impact</w:t>
      </w:r>
      <w:bookmarkEnd w:id="6"/>
    </w:p>
    <w:p w14:paraId="6F6C6AF8" w14:textId="77777777" w:rsidR="00AB03D1" w:rsidRDefault="00000000">
      <w:pPr>
        <w:spacing w:after="120" w:line="276" w:lineRule="auto"/>
      </w:pPr>
      <w:r>
        <w:t>Live headlines are retrieved per asset and scored by a finance-tuned lexicon into a sentiment value between −1 and +1, with a positive/negative/neutral breakdown. The sentiment nudges the verdict and tilts the forecast drift by a small, capped amount; when it conflicts with the technical picture, confidence is trimmed rather than amplified. When the reasoning layer is active, it additionally returns a comprehension-based news-impact score that supersedes the lexicon estimate, sharpening the forecast.</w:t>
      </w:r>
    </w:p>
    <w:p w14:paraId="2D50B13E" w14:textId="77777777" w:rsidR="00AB03D1" w:rsidRDefault="00000000">
      <w:pPr>
        <w:pStyle w:val="Heading2"/>
      </w:pPr>
      <w:bookmarkStart w:id="7" w:name="_Toc232586944"/>
      <w:r>
        <w:t>4.4 Walk-Forward Validation</w:t>
      </w:r>
      <w:bookmarkEnd w:id="7"/>
    </w:p>
    <w:p w14:paraId="0BAC68D3" w14:textId="77777777" w:rsidR="00AB03D1" w:rsidRDefault="00000000">
      <w:pPr>
        <w:spacing w:after="120" w:line="276" w:lineRule="auto"/>
      </w:pPr>
      <w:r>
        <w:t>Rather than trusting fixed weights, Quantra learns per-asset signal weights on the first 70% of an instrument’s history and measures their accuracy on the held-out 30%. The resulting out-of-sample hit-rate is reported directly to the user. This is a deliberate honesty mechanism: the confidence figure is grounded in measured performance on unseen bars, not asserted.</w:t>
      </w:r>
    </w:p>
    <w:p w14:paraId="703E1D33" w14:textId="77777777" w:rsidR="00AB03D1" w:rsidRDefault="00000000">
      <w:pPr>
        <w:pStyle w:val="Heading2"/>
      </w:pPr>
      <w:bookmarkStart w:id="8" w:name="_Toc232586945"/>
      <w:r>
        <w:t>4.5 Probabilistic Forecasting</w:t>
      </w:r>
      <w:bookmarkEnd w:id="8"/>
    </w:p>
    <w:p w14:paraId="19F3105C" w14:textId="77777777" w:rsidR="00AB03D1" w:rsidRDefault="00000000">
      <w:pPr>
        <w:spacing w:after="120" w:line="276" w:lineRule="auto"/>
      </w:pPr>
      <w:r>
        <w:t>Quantra projects forward with a Monte-Carlo simulation. Five hundred geometric-Brownian-motion paths are generated from the estimated drift (optionally tilted by news impact) and volatility. From the resulting distribution the engine derives a probability of finishing higher, a P10–P90 percentile cone, and an expected move at multiple horizons. A central ensemble path — blending drift with a linear-regression trend — provides the headline projection. The output is a range with odds, not a single number presented as certainty.</w:t>
      </w:r>
    </w:p>
    <w:p w14:paraId="1CC76361" w14:textId="77777777" w:rsidR="00AB03D1" w:rsidRDefault="00000000">
      <w:pPr>
        <w:pStyle w:val="Heading2"/>
      </w:pPr>
      <w:bookmarkStart w:id="9" w:name="_Toc232586946"/>
      <w:r>
        <w:lastRenderedPageBreak/>
        <w:t>4.6 The Quantra Score</w:t>
      </w:r>
      <w:bookmarkEnd w:id="9"/>
    </w:p>
    <w:p w14:paraId="283C3E6E" w14:textId="77777777" w:rsidR="00AB03D1" w:rsidRDefault="00000000">
      <w:pPr>
        <w:spacing w:after="120" w:line="276" w:lineRule="auto"/>
      </w:pPr>
      <w:proofErr w:type="gramStart"/>
      <w:r>
        <w:t>All of</w:t>
      </w:r>
      <w:proofErr w:type="gramEnd"/>
      <w:r>
        <w:t xml:space="preserve"> the above is distilled into a single composite Quantra Score from 1 to 99, combining technical bias, the Monte-Carlo probability of gain, the out-of-sample accuracy, the fundamental grade and news sentiment. The score powers the Screener and Top-Picks surface, where the available universe is ranked so users can find the strongest setups </w:t>
      </w:r>
      <w:proofErr w:type="gramStart"/>
      <w:r>
        <w:t>at a glance</w:t>
      </w:r>
      <w:proofErr w:type="gramEnd"/>
      <w:r>
        <w:t>. A fast "lite" variant, derived from a 7-day price trajectory, allows the entire universe to be scored without per-asset deep computation.</w:t>
      </w:r>
    </w:p>
    <w:p w14:paraId="2A33D2A9" w14:textId="77777777" w:rsidR="00AB03D1" w:rsidRDefault="00000000">
      <w:pPr>
        <w:pStyle w:val="Heading2"/>
      </w:pPr>
      <w:bookmarkStart w:id="10" w:name="_Toc232586947"/>
      <w:r>
        <w:t>4.7 Market Regime Detection</w:t>
      </w:r>
      <w:bookmarkEnd w:id="10"/>
    </w:p>
    <w:p w14:paraId="212568ED" w14:textId="77777777" w:rsidR="00AB03D1" w:rsidRDefault="00000000">
      <w:pPr>
        <w:spacing w:after="120" w:line="276" w:lineRule="auto"/>
      </w:pPr>
      <w:r>
        <w:t>The engine classifies the prevailing regime — trending up, trending down, ranging or volatile range — from trend strength (ADX), slope and annualised volatility, and frames the verdict accordingly. Regime context prevents trend-following logic from over-firing in choppy markets.</w:t>
      </w:r>
    </w:p>
    <w:p w14:paraId="3337032C" w14:textId="77777777" w:rsidR="00AB03D1" w:rsidRDefault="00000000">
      <w:pPr>
        <w:pStyle w:val="Heading1"/>
      </w:pPr>
      <w:bookmarkStart w:id="11" w:name="_Toc232586948"/>
      <w:r>
        <w:t>5. Multi-Currency and Data Pipeline</w:t>
      </w:r>
      <w:bookmarkEnd w:id="11"/>
    </w:p>
    <w:p w14:paraId="608175DD" w14:textId="77777777" w:rsidR="00AB03D1" w:rsidRDefault="00000000">
      <w:pPr>
        <w:spacing w:after="120" w:line="276" w:lineRule="auto"/>
      </w:pPr>
      <w:r>
        <w:t>Prices and monetary figures can be displayed in any of eleven currencies (USD, INR, AED, EUR, GBP, JPY, CNY, CAD, AUD, SGD, CHF) using live foreign-exchange rates. Conversion is base-aware: it converts from each asset’s native listing currency, so a stock already quoted in its local currency is never double-converted. The user’s currency choice persists across sessions, and exported reports carry the chosen currency with the conversion noted.</w:t>
      </w:r>
    </w:p>
    <w:p w14:paraId="6193990B" w14:textId="77777777" w:rsidR="00AB03D1" w:rsidRDefault="00000000">
      <w:pPr>
        <w:spacing w:after="120" w:line="276" w:lineRule="auto"/>
      </w:pPr>
      <w:r>
        <w:t>Timeframes span minute, hour, day and week intervals, with the valid lookback range constrained automatically per interval so that intraday and long-horizon requests both return clean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2560"/>
      </w:tblGrid>
      <w:tr w:rsidR="00AB03D1" w14:paraId="5B1F5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0E2A2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31B33" w14:textId="77777777" w:rsidR="00AB03D1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0E2A2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77C6C" w14:textId="77777777" w:rsidR="00AB03D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5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0E2A2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D0FAE" w14:textId="77777777" w:rsidR="00AB03D1" w:rsidRDefault="00000000">
            <w:r>
              <w:rPr>
                <w:b/>
                <w:bCs/>
                <w:color w:val="FFFFFF"/>
                <w:sz w:val="19"/>
                <w:szCs w:val="19"/>
              </w:rPr>
              <w:t>Refresh</w:t>
            </w:r>
          </w:p>
        </w:tc>
      </w:tr>
      <w:tr w:rsidR="00AB03D1" w14:paraId="09199A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857AA" w14:textId="77777777" w:rsidR="00AB03D1" w:rsidRDefault="00000000">
            <w:r>
              <w:rPr>
                <w:sz w:val="19"/>
                <w:szCs w:val="19"/>
              </w:rPr>
              <w:t>Crypto markets, OHLC, search</w:t>
            </w:r>
          </w:p>
        </w:tc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7EE5F" w14:textId="77777777" w:rsidR="00AB03D1" w:rsidRDefault="00000000">
            <w:r>
              <w:rPr>
                <w:sz w:val="19"/>
                <w:szCs w:val="19"/>
              </w:rPr>
              <w:t>Public crypto data API</w:t>
            </w:r>
          </w:p>
        </w:tc>
        <w:tc>
          <w:tcPr>
            <w:tcW w:w="25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95A3" w14:textId="77777777" w:rsidR="00AB03D1" w:rsidRDefault="00000000">
            <w:r>
              <w:rPr>
                <w:sz w:val="19"/>
                <w:szCs w:val="19"/>
              </w:rPr>
              <w:t>45–60 s cache</w:t>
            </w:r>
          </w:p>
        </w:tc>
      </w:tr>
      <w:tr w:rsidR="00AB03D1" w14:paraId="05DD05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27C22" w14:textId="77777777" w:rsidR="00AB03D1" w:rsidRDefault="00000000">
            <w:r>
              <w:rPr>
                <w:sz w:val="19"/>
                <w:szCs w:val="19"/>
              </w:rPr>
              <w:t>Equity OHLC, fundamentals, news</w:t>
            </w:r>
          </w:p>
        </w:tc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0E23E" w14:textId="77777777" w:rsidR="00AB03D1" w:rsidRDefault="00000000">
            <w:r>
              <w:rPr>
                <w:sz w:val="19"/>
                <w:szCs w:val="19"/>
              </w:rPr>
              <w:t>Public equity data API</w:t>
            </w:r>
          </w:p>
        </w:tc>
        <w:tc>
          <w:tcPr>
            <w:tcW w:w="25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43FB6" w14:textId="77777777" w:rsidR="00AB03D1" w:rsidRDefault="00000000">
            <w:r>
              <w:rPr>
                <w:sz w:val="19"/>
                <w:szCs w:val="19"/>
              </w:rPr>
              <w:t>60 s – 10 min cache</w:t>
            </w:r>
          </w:p>
        </w:tc>
      </w:tr>
      <w:tr w:rsidR="00AB03D1" w14:paraId="674CB1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A9EEE" w14:textId="77777777" w:rsidR="00AB03D1" w:rsidRDefault="00000000">
            <w:r>
              <w:rPr>
                <w:sz w:val="19"/>
                <w:szCs w:val="19"/>
              </w:rPr>
              <w:t>Foreign-exchange rates</w:t>
            </w:r>
          </w:p>
        </w:tc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BF12" w14:textId="77777777" w:rsidR="00AB03D1" w:rsidRDefault="00000000">
            <w:r>
              <w:rPr>
                <w:sz w:val="19"/>
                <w:szCs w:val="19"/>
              </w:rPr>
              <w:t>Public FX API</w:t>
            </w:r>
          </w:p>
        </w:tc>
        <w:tc>
          <w:tcPr>
            <w:tcW w:w="25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1C843" w14:textId="77777777" w:rsidR="00AB03D1" w:rsidRDefault="00000000">
            <w:r>
              <w:rPr>
                <w:sz w:val="19"/>
                <w:szCs w:val="19"/>
              </w:rPr>
              <w:t>1 hour cache</w:t>
            </w:r>
          </w:p>
        </w:tc>
      </w:tr>
      <w:tr w:rsidR="00AB03D1" w14:paraId="0D3B60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F321D" w14:textId="77777777" w:rsidR="00AB03D1" w:rsidRDefault="00000000">
            <w:r>
              <w:rPr>
                <w:sz w:val="19"/>
                <w:szCs w:val="19"/>
              </w:rPr>
              <w:t>Narrative reasoning (optional)</w:t>
            </w:r>
          </w:p>
        </w:tc>
        <w:tc>
          <w:tcPr>
            <w:tcW w:w="34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226A8" w14:textId="77777777" w:rsidR="00AB03D1" w:rsidRDefault="00000000">
            <w:r>
              <w:rPr>
                <w:sz w:val="19"/>
                <w:szCs w:val="19"/>
              </w:rPr>
              <w:t>LLM provider (key-gated)</w:t>
            </w:r>
          </w:p>
        </w:tc>
        <w:tc>
          <w:tcPr>
            <w:tcW w:w="25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19D46" w14:textId="77777777" w:rsidR="00AB03D1" w:rsidRDefault="00000000">
            <w:r>
              <w:rPr>
                <w:sz w:val="19"/>
                <w:szCs w:val="19"/>
              </w:rPr>
              <w:t>Per request</w:t>
            </w:r>
          </w:p>
        </w:tc>
      </w:tr>
    </w:tbl>
    <w:p w14:paraId="39F76818" w14:textId="77777777" w:rsidR="00AB03D1" w:rsidRDefault="00000000">
      <w:pPr>
        <w:pStyle w:val="Heading1"/>
      </w:pPr>
      <w:bookmarkStart w:id="12" w:name="_Toc232586949"/>
      <w:r>
        <w:t>6. Product Surfaces</w:t>
      </w:r>
      <w:bookmarkEnd w:id="12"/>
    </w:p>
    <w:p w14:paraId="63612580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Terminal. </w:t>
      </w:r>
      <w:r>
        <w:t>The core analysis view: live chart with hover crosshair (date and price), the full indicator suite, fundamentals, peers, news sentiment, the verdict with its Quantra Score, and the probabilistic forecast.</w:t>
      </w:r>
    </w:p>
    <w:p w14:paraId="20E895F7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Screener and Top Picks. </w:t>
      </w:r>
      <w:r>
        <w:t>The market universe ranked by Quantra Score, filterable by asset class and minimum score, with a personal watchlist surfaced on top.</w:t>
      </w:r>
    </w:p>
    <w:p w14:paraId="15CDDEE1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News. </w:t>
      </w:r>
      <w:r>
        <w:t>Latest headlines per ticker with sentiment context, deep-linked from the terminal.</w:t>
      </w:r>
    </w:p>
    <w:p w14:paraId="15EC0F6B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Reports. </w:t>
      </w:r>
      <w:r>
        <w:t>One-click Excel workbooks (history, indicators, forecast) and PDF analysis reports, both in the chosen currency.</w:t>
      </w:r>
    </w:p>
    <w:p w14:paraId="1C183FC2" w14:textId="77777777" w:rsidR="00AB03D1" w:rsidRDefault="00000000">
      <w:pPr>
        <w:pStyle w:val="Heading1"/>
      </w:pPr>
      <w:bookmarkStart w:id="13" w:name="_Toc232586950"/>
      <w:r>
        <w:t>7. Data Sources and Limitations</w:t>
      </w:r>
      <w:bookmarkEnd w:id="13"/>
    </w:p>
    <w:p w14:paraId="6952BEAE" w14:textId="77777777" w:rsidR="00AB03D1" w:rsidRDefault="00000000">
      <w:pPr>
        <w:spacing w:after="120" w:line="276" w:lineRule="auto"/>
      </w:pPr>
      <w:r>
        <w:t>Quantra is built for transparency about what it can and cannot do. We state the limitations plainly:</w:t>
      </w:r>
    </w:p>
    <w:p w14:paraId="266A04CF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No tool can deliver guaranteed or "precise" price predictions. Markets are irreducibly uncertain; the value of a probabilistic engine is honesty about the odds, not false certainty.</w:t>
      </w:r>
    </w:p>
    <w:p w14:paraId="4C474CBE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Reported accuracy is modest by design — typically only moderately better than chance for technical signals. This is realistic, and any product implying near-certain direction should be treated with suspicion.</w:t>
      </w:r>
    </w:p>
    <w:p w14:paraId="6658032A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free public data endpoints are rate-limited; the screener therefore ranks an available universe rather than every listed security. Scaling to a full universe requires a commercial bulk-data provider.</w:t>
      </w:r>
    </w:p>
    <w:p w14:paraId="597E62E9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lexicon sentiment model reads headline tone, not deep meaning; the optional reasoning layer adds genuine comprehension when enabled.</w:t>
      </w:r>
    </w:p>
    <w:p w14:paraId="60A559C3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forecast is a transparent statistical model (drift, volatility, Monte-Carlo), not a trained machine-learning predictor — a planned future enhancement.</w:t>
      </w:r>
    </w:p>
    <w:p w14:paraId="427174DE" w14:textId="77777777" w:rsidR="00AB03D1" w:rsidRDefault="00000000">
      <w:pPr>
        <w:pStyle w:val="Heading1"/>
      </w:pPr>
      <w:bookmarkStart w:id="14" w:name="_Toc232586951"/>
      <w:r>
        <w:t>8. Responsible Use and Disclaimer</w:t>
      </w:r>
      <w:bookmarkEnd w:id="14"/>
    </w:p>
    <w:p w14:paraId="159D3920" w14:textId="77777777" w:rsidR="00AB03D1" w:rsidRDefault="00000000">
      <w:pPr>
        <w:spacing w:after="120" w:line="276" w:lineRule="auto"/>
      </w:pPr>
      <w:r>
        <w:t>Quantra AI is an educational analysis tool. It does not provide investment advice, trading signals or automatic orders, and it never executes trades. All outputs — including the Quantra Score and the forecast cone — are illustrative aids for learning and research. Users are responsible for their own decisions and should consult a licensed professional where appropriate. Connections are protected in transit, and the optional reasoning key is read from local configuration and never exposed to the browser.</w:t>
      </w:r>
    </w:p>
    <w:p w14:paraId="4BA5373F" w14:textId="77777777" w:rsidR="00AB03D1" w:rsidRDefault="00000000">
      <w:pPr>
        <w:pStyle w:val="Heading1"/>
      </w:pPr>
      <w:bookmarkStart w:id="15" w:name="_Toc232586952"/>
      <w:r>
        <w:t>9. Market Opportunity</w:t>
      </w:r>
      <w:bookmarkEnd w:id="15"/>
    </w:p>
    <w:p w14:paraId="1C4555B0" w14:textId="77777777" w:rsidR="00AB03D1" w:rsidRDefault="00000000">
      <w:pPr>
        <w:spacing w:after="120" w:line="276" w:lineRule="auto"/>
      </w:pPr>
      <w:r>
        <w:t>Hundreds of millions of retail investors worldwide are under-served by tooling that is either too shallow (single-signal apps) or too expensive and complex (professional terminals). The AI-research category — single-score stock pickers, screeners and analysis assistants — has demonstrated willingness to pay, with established products priced from roughly USD 25 to USD 250 per month. Quantra’s differentiation is breadth in one place: AI verdict, probabilistic forecast, technical and fundamental and news analysis, multi-currency, and out-of-sample validation — combined in a single terminal with a free entry tier.</w:t>
      </w:r>
    </w:p>
    <w:p w14:paraId="2AF506B3" w14:textId="77777777" w:rsidR="00AB03D1" w:rsidRDefault="00000000">
      <w:pPr>
        <w:pStyle w:val="Heading1"/>
      </w:pPr>
      <w:bookmarkStart w:id="16" w:name="_Toc232586953"/>
      <w:r>
        <w:t>10. Business Model</w:t>
      </w:r>
      <w:bookmarkEnd w:id="16"/>
    </w:p>
    <w:p w14:paraId="150EB8A1" w14:textId="77777777" w:rsidR="00AB03D1" w:rsidRDefault="00000000">
      <w:pPr>
        <w:spacing w:after="120" w:line="276" w:lineRule="auto"/>
      </w:pPr>
      <w:r>
        <w:t>Quantra monetises along two complementary lines: direct consumer subscriptions and business-to-business licensing of the engine.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5460"/>
      </w:tblGrid>
      <w:tr w:rsidR="00AB03D1" w14:paraId="1123D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0E2A2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A36B" w14:textId="77777777" w:rsidR="00AB03D1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1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0E2A2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34326" w14:textId="77777777" w:rsidR="00AB03D1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54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0E2A2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3C546" w14:textId="77777777" w:rsidR="00AB03D1" w:rsidRDefault="00000000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</w:tr>
      <w:tr w:rsidR="00AB03D1" w14:paraId="30658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E2C49" w14:textId="77777777" w:rsidR="00AB03D1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5C157" w14:textId="77777777" w:rsidR="00AB03D1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54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6F1C3" w14:textId="77777777" w:rsidR="00AB03D1" w:rsidRDefault="00000000">
            <w:r>
              <w:rPr>
                <w:sz w:val="19"/>
                <w:szCs w:val="19"/>
              </w:rPr>
              <w:t>Crypto, core indicators, limited daily reads</w:t>
            </w:r>
          </w:p>
        </w:tc>
      </w:tr>
      <w:tr w:rsidR="00AB03D1" w14:paraId="574BD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CFDD0" w14:textId="77777777" w:rsidR="00AB03D1" w:rsidRDefault="00000000">
            <w:r>
              <w:rPr>
                <w:sz w:val="19"/>
                <w:szCs w:val="19"/>
              </w:rPr>
              <w:t>Pro</w:t>
            </w:r>
          </w:p>
        </w:tc>
        <w:tc>
          <w:tcPr>
            <w:tcW w:w="21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1E616" w14:textId="77777777" w:rsidR="00AB03D1" w:rsidRDefault="00000000">
            <w:r>
              <w:rPr>
                <w:sz w:val="19"/>
                <w:szCs w:val="19"/>
              </w:rPr>
              <w:t xml:space="preserve">$19.99 / 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</w:p>
        </w:tc>
        <w:tc>
          <w:tcPr>
            <w:tcW w:w="54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A573" w14:textId="77777777" w:rsidR="00AB03D1" w:rsidRDefault="00000000">
            <w:r>
              <w:rPr>
                <w:sz w:val="19"/>
                <w:szCs w:val="19"/>
              </w:rPr>
              <w:t>All markets, full suite, screener, exports</w:t>
            </w:r>
          </w:p>
        </w:tc>
      </w:tr>
      <w:tr w:rsidR="00AB03D1" w14:paraId="02DAAF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5951C" w14:textId="77777777" w:rsidR="00AB03D1" w:rsidRDefault="00000000">
            <w:r>
              <w:rPr>
                <w:sz w:val="19"/>
                <w:szCs w:val="19"/>
              </w:rPr>
              <w:t>Ultimate</w:t>
            </w:r>
          </w:p>
        </w:tc>
        <w:tc>
          <w:tcPr>
            <w:tcW w:w="21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5FFD5" w14:textId="77777777" w:rsidR="00AB03D1" w:rsidRDefault="00000000">
            <w:r>
              <w:rPr>
                <w:sz w:val="19"/>
                <w:szCs w:val="19"/>
              </w:rPr>
              <w:t xml:space="preserve">$49.99 / 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</w:p>
        </w:tc>
        <w:tc>
          <w:tcPr>
            <w:tcW w:w="54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44BBF" w14:textId="77777777" w:rsidR="00AB03D1" w:rsidRDefault="00000000">
            <w:r>
              <w:rPr>
                <w:sz w:val="19"/>
                <w:szCs w:val="19"/>
              </w:rPr>
              <w:t>Intraday, AI verdicts, unlimited, alerts</w:t>
            </w:r>
          </w:p>
        </w:tc>
      </w:tr>
      <w:tr w:rsidR="00AB03D1" w14:paraId="6AB0B8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E8A65" w14:textId="77777777" w:rsidR="00AB03D1" w:rsidRDefault="00000000"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210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FF7A6" w14:textId="77777777" w:rsidR="00AB03D1" w:rsidRDefault="00000000">
            <w:r>
              <w:rPr>
                <w:sz w:val="19"/>
                <w:szCs w:val="19"/>
              </w:rPr>
              <w:t>Custom</w:t>
            </w:r>
          </w:p>
        </w:tc>
        <w:tc>
          <w:tcPr>
            <w:tcW w:w="5460" w:type="dxa"/>
            <w:tcBorders>
              <w:top w:val="single" w:sz="1" w:space="0" w:color="CFD8E3"/>
              <w:left w:val="single" w:sz="1" w:space="0" w:color="CFD8E3"/>
              <w:bottom w:val="single" w:sz="1" w:space="0" w:color="CFD8E3"/>
              <w:right w:val="single" w:sz="1" w:space="0" w:color="CFD8E3"/>
            </w:tcBorders>
            <w:shd w:val="clear" w:color="auto" w:fill="F3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C5334" w14:textId="77777777" w:rsidR="00AB03D1" w:rsidRDefault="00000000">
            <w:r>
              <w:rPr>
                <w:sz w:val="19"/>
                <w:szCs w:val="19"/>
              </w:rPr>
              <w:t>API / embed, white-label, support SLA</w:t>
            </w:r>
          </w:p>
        </w:tc>
      </w:tr>
    </w:tbl>
    <w:p w14:paraId="18AA7775" w14:textId="77777777" w:rsidR="00AB03D1" w:rsidRDefault="00000000">
      <w:pPr>
        <w:spacing w:after="120" w:line="276" w:lineRule="auto"/>
      </w:pPr>
      <w:r>
        <w:t xml:space="preserve">On the B2B side, brokers, fintech apps and crypto exchanges can embed the scoring and verdict engine via API to enrich their own products — a high-margin, recurring revenue line that leverages </w:t>
      </w:r>
      <w:r>
        <w:lastRenderedPageBreak/>
        <w:t>the same core technology. Revenue-driving consumer features — the AI Score and Screener, the watchlist, and planned price/score alerts and portfolio tracking — map directly to the paid tiers.</w:t>
      </w:r>
    </w:p>
    <w:p w14:paraId="5EB58178" w14:textId="77777777" w:rsidR="00AB03D1" w:rsidRDefault="00000000">
      <w:pPr>
        <w:pStyle w:val="Heading1"/>
      </w:pPr>
      <w:bookmarkStart w:id="17" w:name="_Toc232586954"/>
      <w:r>
        <w:t>11. Roadmap</w:t>
      </w:r>
      <w:bookmarkEnd w:id="17"/>
    </w:p>
    <w:p w14:paraId="7434BABF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Near term: mobile applications, watchlists with price and score alerts, and saved screens.</w:t>
      </w:r>
    </w:p>
    <w:p w14:paraId="25ED2FA5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Mid term</w:t>
      </w:r>
      <w:proofErr w:type="spellEnd"/>
      <w:r>
        <w:t>: a public API and the first B2B embedded deployments.</w:t>
      </w:r>
    </w:p>
    <w:p w14:paraId="174982F8" w14:textId="77777777" w:rsidR="00AB03D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Longer term: a trained machine-learning forecaster, options and futures coverage, portfolio analytics, and a localised (including Arabic) interface for priority markets such as the UAE.</w:t>
      </w:r>
    </w:p>
    <w:p w14:paraId="7A321625" w14:textId="77777777" w:rsidR="00AB03D1" w:rsidRDefault="00000000">
      <w:pPr>
        <w:pStyle w:val="Heading1"/>
      </w:pPr>
      <w:bookmarkStart w:id="18" w:name="_Toc232586955"/>
      <w:r>
        <w:t>12. Conclusion</w:t>
      </w:r>
      <w:bookmarkEnd w:id="18"/>
    </w:p>
    <w:p w14:paraId="6E88702A" w14:textId="77777777" w:rsidR="00AB03D1" w:rsidRDefault="00000000">
      <w:pPr>
        <w:spacing w:after="120" w:line="276" w:lineRule="auto"/>
      </w:pPr>
      <w:r>
        <w:t>Quantra AI reframes retail market analysis around probability and honesty: a single, explainable verdict per asset, a forecast expressed as a range with odds, and an accuracy figure proven on unseen data. By fusing technical, fundamental and news evidence — and validating its own logic before speaking — Quantra aims to be the clearest, most trustworthy analysis layer for the modern multi-asset, multi-currency investor, while never overstating what any model can know about the future.</w:t>
      </w:r>
    </w:p>
    <w:p w14:paraId="0343FCAA" w14:textId="77777777" w:rsidR="00AB03D1" w:rsidRDefault="00AB03D1"/>
    <w:p w14:paraId="6240AD8B" w14:textId="385EEA2A" w:rsidR="00AB03D1" w:rsidRDefault="00000000">
      <w:pPr>
        <w:pBdr>
          <w:top w:val="single" w:sz="4" w:space="8" w:color="CFD8E3"/>
        </w:pBdr>
        <w:spacing w:before="200"/>
      </w:pPr>
      <w:r>
        <w:rPr>
          <w:i/>
          <w:iCs/>
          <w:color w:val="5A6680"/>
          <w:sz w:val="16"/>
          <w:szCs w:val="16"/>
        </w:rPr>
        <w:t>Quantra AI · White Paper v1.0.</w:t>
      </w:r>
      <w:r w:rsidR="00BC6225">
        <w:rPr>
          <w:i/>
          <w:iCs/>
          <w:color w:val="5A6680"/>
          <w:sz w:val="16"/>
          <w:szCs w:val="16"/>
        </w:rPr>
        <w:t xml:space="preserve"> </w:t>
      </w:r>
      <w:proofErr w:type="gramStart"/>
      <w:r>
        <w:rPr>
          <w:i/>
          <w:iCs/>
          <w:color w:val="5A6680"/>
          <w:sz w:val="16"/>
          <w:szCs w:val="16"/>
        </w:rPr>
        <w:t>©</w:t>
      </w:r>
      <w:proofErr w:type="gramEnd"/>
      <w:r>
        <w:rPr>
          <w:i/>
          <w:iCs/>
          <w:color w:val="5A6680"/>
          <w:sz w:val="16"/>
          <w:szCs w:val="16"/>
        </w:rPr>
        <w:t xml:space="preserve"> 2026.</w:t>
      </w:r>
    </w:p>
    <w:sectPr w:rsidR="00AB03D1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157B8" w14:textId="77777777" w:rsidR="006D21D9" w:rsidRDefault="006D21D9">
      <w:r>
        <w:separator/>
      </w:r>
    </w:p>
  </w:endnote>
  <w:endnote w:type="continuationSeparator" w:id="0">
    <w:p w14:paraId="60B1B88E" w14:textId="77777777" w:rsidR="006D21D9" w:rsidRDefault="006D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A80F" w14:textId="77777777" w:rsidR="00AB03D1" w:rsidRDefault="00000000">
    <w:pPr>
      <w:tabs>
        <w:tab w:val="right" w:pos="9360"/>
      </w:tabs>
    </w:pPr>
    <w:r>
      <w:rPr>
        <w:color w:val="5A6680"/>
        <w:sz w:val="16"/>
        <w:szCs w:val="16"/>
      </w:rPr>
      <w:t>Quantra AI — Confidential</w:t>
    </w:r>
    <w:r>
      <w:rPr>
        <w:sz w:val="16"/>
        <w:szCs w:val="16"/>
      </w:rPr>
      <w:tab/>
    </w:r>
    <w:r>
      <w:rPr>
        <w:color w:val="5A6680"/>
        <w:sz w:val="16"/>
        <w:szCs w:val="16"/>
      </w:rPr>
      <w:t xml:space="preserve">Page </w:t>
    </w:r>
    <w:r>
      <w:rPr>
        <w:color w:val="5A6680"/>
        <w:sz w:val="16"/>
        <w:szCs w:val="16"/>
      </w:rPr>
      <w:fldChar w:fldCharType="begin"/>
    </w:r>
    <w:r>
      <w:rPr>
        <w:color w:val="5A6680"/>
        <w:sz w:val="16"/>
        <w:szCs w:val="16"/>
      </w:rPr>
      <w:instrText>PAGE</w:instrText>
    </w:r>
    <w:r>
      <w:rPr>
        <w:color w:val="5A6680"/>
        <w:sz w:val="16"/>
        <w:szCs w:val="16"/>
      </w:rPr>
      <w:fldChar w:fldCharType="separate"/>
    </w:r>
    <w:r w:rsidR="00BC6225">
      <w:rPr>
        <w:noProof/>
        <w:color w:val="5A6680"/>
        <w:sz w:val="16"/>
        <w:szCs w:val="16"/>
      </w:rPr>
      <w:t>1</w:t>
    </w:r>
    <w:r>
      <w:rPr>
        <w:color w:val="5A6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98EF" w14:textId="77777777" w:rsidR="006D21D9" w:rsidRDefault="006D21D9">
      <w:r>
        <w:separator/>
      </w:r>
    </w:p>
  </w:footnote>
  <w:footnote w:type="continuationSeparator" w:id="0">
    <w:p w14:paraId="36103BFD" w14:textId="77777777" w:rsidR="006D21D9" w:rsidRDefault="006D21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6B37"/>
    <w:multiLevelType w:val="hybridMultilevel"/>
    <w:tmpl w:val="5D52726C"/>
    <w:lvl w:ilvl="0" w:tplc="3C620970">
      <w:start w:val="1"/>
      <w:numFmt w:val="bullet"/>
      <w:lvlText w:val="●"/>
      <w:lvlJc w:val="left"/>
      <w:pPr>
        <w:ind w:left="720" w:hanging="360"/>
      </w:pPr>
    </w:lvl>
    <w:lvl w:ilvl="1" w:tplc="793A0AD6">
      <w:start w:val="1"/>
      <w:numFmt w:val="bullet"/>
      <w:lvlText w:val="○"/>
      <w:lvlJc w:val="left"/>
      <w:pPr>
        <w:ind w:left="1440" w:hanging="360"/>
      </w:pPr>
    </w:lvl>
    <w:lvl w:ilvl="2" w:tplc="36F48222">
      <w:start w:val="1"/>
      <w:numFmt w:val="bullet"/>
      <w:lvlText w:val="■"/>
      <w:lvlJc w:val="left"/>
      <w:pPr>
        <w:ind w:left="2160" w:hanging="360"/>
      </w:pPr>
    </w:lvl>
    <w:lvl w:ilvl="3" w:tplc="F22651B2">
      <w:start w:val="1"/>
      <w:numFmt w:val="bullet"/>
      <w:lvlText w:val="●"/>
      <w:lvlJc w:val="left"/>
      <w:pPr>
        <w:ind w:left="2880" w:hanging="360"/>
      </w:pPr>
    </w:lvl>
    <w:lvl w:ilvl="4" w:tplc="75EEB01C">
      <w:start w:val="1"/>
      <w:numFmt w:val="bullet"/>
      <w:lvlText w:val="○"/>
      <w:lvlJc w:val="left"/>
      <w:pPr>
        <w:ind w:left="3600" w:hanging="360"/>
      </w:pPr>
    </w:lvl>
    <w:lvl w:ilvl="5" w:tplc="9A262E38">
      <w:start w:val="1"/>
      <w:numFmt w:val="bullet"/>
      <w:lvlText w:val="■"/>
      <w:lvlJc w:val="left"/>
      <w:pPr>
        <w:ind w:left="4320" w:hanging="360"/>
      </w:pPr>
    </w:lvl>
    <w:lvl w:ilvl="6" w:tplc="6D1C4670">
      <w:start w:val="1"/>
      <w:numFmt w:val="bullet"/>
      <w:lvlText w:val="●"/>
      <w:lvlJc w:val="left"/>
      <w:pPr>
        <w:ind w:left="5040" w:hanging="360"/>
      </w:pPr>
    </w:lvl>
    <w:lvl w:ilvl="7" w:tplc="89F2A638">
      <w:start w:val="1"/>
      <w:numFmt w:val="bullet"/>
      <w:lvlText w:val="●"/>
      <w:lvlJc w:val="left"/>
      <w:pPr>
        <w:ind w:left="5760" w:hanging="360"/>
      </w:pPr>
    </w:lvl>
    <w:lvl w:ilvl="8" w:tplc="653C20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21F0F"/>
    <w:multiLevelType w:val="hybridMultilevel"/>
    <w:tmpl w:val="602E2BFA"/>
    <w:lvl w:ilvl="0" w:tplc="9842B844">
      <w:start w:val="1"/>
      <w:numFmt w:val="bullet"/>
      <w:lvlText w:val="•"/>
      <w:lvlJc w:val="left"/>
      <w:pPr>
        <w:ind w:left="460" w:hanging="260"/>
      </w:pPr>
    </w:lvl>
    <w:lvl w:ilvl="1" w:tplc="811210B2">
      <w:numFmt w:val="decimal"/>
      <w:lvlText w:val=""/>
      <w:lvlJc w:val="left"/>
    </w:lvl>
    <w:lvl w:ilvl="2" w:tplc="01F215E4">
      <w:numFmt w:val="decimal"/>
      <w:lvlText w:val=""/>
      <w:lvlJc w:val="left"/>
    </w:lvl>
    <w:lvl w:ilvl="3" w:tplc="4D90E7F0">
      <w:numFmt w:val="decimal"/>
      <w:lvlText w:val=""/>
      <w:lvlJc w:val="left"/>
    </w:lvl>
    <w:lvl w:ilvl="4" w:tplc="631E12B6">
      <w:numFmt w:val="decimal"/>
      <w:lvlText w:val=""/>
      <w:lvlJc w:val="left"/>
    </w:lvl>
    <w:lvl w:ilvl="5" w:tplc="55646D4A">
      <w:numFmt w:val="decimal"/>
      <w:lvlText w:val=""/>
      <w:lvlJc w:val="left"/>
    </w:lvl>
    <w:lvl w:ilvl="6" w:tplc="312816A0">
      <w:numFmt w:val="decimal"/>
      <w:lvlText w:val=""/>
      <w:lvlJc w:val="left"/>
    </w:lvl>
    <w:lvl w:ilvl="7" w:tplc="7A126D10">
      <w:numFmt w:val="decimal"/>
      <w:lvlText w:val=""/>
      <w:lvlJc w:val="left"/>
    </w:lvl>
    <w:lvl w:ilvl="8" w:tplc="6616EAD6">
      <w:numFmt w:val="decimal"/>
      <w:lvlText w:val=""/>
      <w:lvlJc w:val="left"/>
    </w:lvl>
  </w:abstractNum>
  <w:num w:numId="1" w16cid:durableId="210924431">
    <w:abstractNumId w:val="0"/>
    <w:lvlOverride w:ilvl="0">
      <w:startOverride w:val="1"/>
    </w:lvlOverride>
  </w:num>
  <w:num w:numId="2" w16cid:durableId="19212839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3D1"/>
    <w:rsid w:val="006D21D9"/>
    <w:rsid w:val="00AB03D1"/>
    <w:rsid w:val="00BC6225"/>
    <w:rsid w:val="00C5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8BD5"/>
  <w15:docId w15:val="{F9C34754-2225-4B5A-A3E3-43073264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230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FB489"/>
      </w:pBdr>
      <w:spacing w:before="320" w:after="160"/>
      <w:outlineLvl w:val="0"/>
    </w:pPr>
    <w:rPr>
      <w:b/>
      <w:bCs/>
      <w:color w:val="0A0F1C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B7A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6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622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2071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Quantra AI White Paper</dc:title>
  <dc:creator>Quantra AI</dc:creator>
  <cp:lastModifiedBy>Eshan Thanvi</cp:lastModifiedBy>
  <cp:revision>2</cp:revision>
  <dcterms:created xsi:type="dcterms:W3CDTF">2026-06-17T07:04:00Z</dcterms:created>
  <dcterms:modified xsi:type="dcterms:W3CDTF">2026-06-17T07:09:00Z</dcterms:modified>
</cp:coreProperties>
</file>