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Segoe UI" w:hAnsi="Segoe UI"/>
          <w:b/>
          <w:color w:val="181D26"/>
          <w:sz w:val="44"/>
        </w:rPr>
        <w:t>Quantra</w:t>
      </w:r>
      <w:r>
        <w:rPr>
          <w:rFonts w:ascii="Segoe UI" w:hAnsi="Segoe UI"/>
          <w:b/>
          <w:color w:val="1B9E6B"/>
          <w:sz w:val="44"/>
        </w:rPr>
        <w:t>AI</w:t>
      </w:r>
    </w:p>
    <w:p>
      <w:pPr>
        <w:spacing w:after="20" w:before="0" w:line="300" w:lineRule="auto"/>
      </w:pPr>
      <w:r>
        <w:rPr>
          <w:rFonts w:ascii="Segoe UI" w:hAnsi="Segoe UI"/>
          <w:b/>
          <w:i w:val="0"/>
          <w:color w:val="1B9E6B"/>
          <w:sz w:val="23"/>
        </w:rPr>
        <w:t>Cover Letter</w:t>
      </w:r>
    </w:p>
    <w:p>
      <w:pPr>
        <w:spacing w:after="80" w:before="0" w:line="300" w:lineRule="auto"/>
      </w:pPr>
      <w:r>
        <w:rPr>
          <w:rFonts w:ascii="Segoe UI" w:hAnsi="Segoe UI"/>
          <w:b w:val="0"/>
          <w:i w:val="0"/>
          <w:color w:val="555F6B"/>
          <w:sz w:val="18"/>
        </w:rPr>
        <w:t xml:space="preserve">Eshan Thanvi  ·  </w:t>
      </w:r>
      <w:r>
        <w:rPr>
          <w:rFonts w:ascii="Segoe UI" w:hAnsi="Segoe UI"/>
          <w:b w:val="0"/>
          <w:i w:val="0"/>
          <w:color w:val="555F6B"/>
          <w:sz w:val="18"/>
        </w:rPr>
        <w:t>eshanthanvi@gmail.com</w:t>
      </w:r>
      <w:r>
        <w:rPr>
          <w:rFonts w:ascii="Segoe UI" w:hAnsi="Segoe UI"/>
          <w:b w:val="0"/>
          <w:i w:val="0"/>
          <w:color w:val="555F6B"/>
          <w:sz w:val="18"/>
        </w:rPr>
        <w:t xml:space="preserve">  ·  </w:t>
      </w:r>
      <w:r>
        <w:rPr>
          <w:rFonts w:ascii="Segoe UI" w:hAnsi="Segoe UI"/>
          <w:b w:val="0"/>
          <w:i w:val="0"/>
          <w:color w:val="555F6B"/>
          <w:sz w:val="18"/>
        </w:rPr>
        <w:t>quantra-ai.onrender.com</w:t>
      </w:r>
    </w:p>
    <w:p>
      <w:pPr>
        <w:spacing w:after="120"/>
        <w:pBdr>
          <w:bottom w:val="single" w:sz="8" w:color="1B9E6B" w:space="1"/>
        </w:pBdr>
      </w:pPr>
    </w:p>
    <w:p>
      <w:pPr>
        <w:spacing w:after="200" w:before="0" w:line="300" w:lineRule="auto"/>
      </w:pPr>
      <w:r>
        <w:rPr>
          <w:rFonts w:ascii="Segoe UI" w:hAnsi="Segoe UI"/>
          <w:b w:val="0"/>
          <w:i w:val="0"/>
          <w:color w:val="555F6B"/>
          <w:sz w:val="21"/>
        </w:rPr>
        <w:t>22 June 2026</w:t>
      </w:r>
    </w:p>
    <w:p>
      <w:pPr>
        <w:spacing w:after="160" w:before="0" w:line="300" w:lineRule="auto"/>
      </w:pPr>
      <w:r>
        <w:rPr>
          <w:rFonts w:ascii="Segoe UI" w:hAnsi="Segoe UI"/>
          <w:b w:val="0"/>
          <w:i w:val="0"/>
          <w:color w:val="181D26"/>
          <w:sz w:val="21"/>
        </w:rPr>
        <w:t>Dear Review Committee,</w:t>
      </w:r>
    </w:p>
    <w:p>
      <w:pPr>
        <w:spacing w:after="160" w:before="0" w:line="300" w:lineRule="auto"/>
      </w:pPr>
      <w:r>
        <w:rPr>
          <w:rFonts w:ascii="Segoe UI" w:hAnsi="Segoe UI"/>
          <w:b w:val="0"/>
          <w:i w:val="0"/>
          <w:color w:val="181D26"/>
          <w:sz w:val="21"/>
        </w:rPr>
        <w:t xml:space="preserve">I am pleased to present </w:t>
      </w:r>
      <w:r>
        <w:rPr>
          <w:rFonts w:ascii="Segoe UI" w:hAnsi="Segoe UI"/>
          <w:b/>
          <w:i w:val="0"/>
          <w:color w:val="181D26"/>
          <w:sz w:val="21"/>
        </w:rPr>
        <w:t>Quantra AI</w:t>
      </w:r>
      <w:r>
        <w:rPr>
          <w:rFonts w:ascii="Segoe UI" w:hAnsi="Segoe UI"/>
          <w:b w:val="0"/>
          <w:i w:val="0"/>
          <w:color w:val="181D26"/>
          <w:sz w:val="21"/>
        </w:rPr>
        <w:t>, a professional-grade, multi-tenant market-analysis platform I designed and built end to end. Quantra brings the kind of capability normally locked behind $20,000-a-year terminals — real-time data, advanced charting, calibrated forecasting and an AI analyst — into a single, accessible web application that anyone can use from a browser or phone.</w:t>
      </w:r>
    </w:p>
    <w:p>
      <w:pPr>
        <w:spacing w:after="160" w:before="0" w:line="300" w:lineRule="auto"/>
      </w:pPr>
      <w:r>
        <w:rPr>
          <w:rFonts w:ascii="Segoe UI" w:hAnsi="Segoe UI"/>
          <w:b w:val="0"/>
          <w:i w:val="0"/>
          <w:color w:val="181D26"/>
          <w:sz w:val="21"/>
        </w:rPr>
        <w:t xml:space="preserve">The platform is </w:t>
      </w:r>
      <w:r>
        <w:rPr>
          <w:rFonts w:ascii="Segoe UI" w:hAnsi="Segoe UI"/>
          <w:b/>
          <w:i w:val="0"/>
          <w:color w:val="181D26"/>
          <w:sz w:val="21"/>
        </w:rPr>
        <w:t>live in production</w:t>
      </w:r>
      <w:r>
        <w:rPr>
          <w:rFonts w:ascii="Segoe UI" w:hAnsi="Segoe UI"/>
          <w:b w:val="0"/>
          <w:i w:val="0"/>
          <w:color w:val="181D26"/>
          <w:sz w:val="21"/>
        </w:rPr>
        <w:t xml:space="preserve"> at quantra-ai.onrender.com, deployed with continuous delivery. It already spans 25 world stock exchanges, 32 global indices, ETFs, crypto, FX and commodities; a 16-study technical suite; an AI verdict engine; and a probabilistic forecast model independently calibrated to ~80% band coverage on live data — a level of statistical honesty rarely offered to retail users.</w:t>
      </w:r>
    </w:p>
    <w:p>
      <w:pPr>
        <w:spacing w:after="160" w:before="0" w:line="300" w:lineRule="auto"/>
      </w:pPr>
      <w:r>
        <w:rPr>
          <w:rFonts w:ascii="Segoe UI" w:hAnsi="Segoe UI"/>
          <w:b w:val="0"/>
          <w:i w:val="0"/>
          <w:color w:val="181D26"/>
          <w:sz w:val="21"/>
        </w:rPr>
        <w:t xml:space="preserve">Beyond analytics, Quantra now includes portfolio tracking, paper trading, a community layer, and a compliant </w:t>
      </w:r>
      <w:r>
        <w:rPr>
          <w:rFonts w:ascii="Segoe UI" w:hAnsi="Segoe UI"/>
          <w:b/>
          <w:i w:val="0"/>
          <w:color w:val="181D26"/>
          <w:sz w:val="21"/>
        </w:rPr>
        <w:t>bring-your-own-broker</w:t>
      </w:r>
      <w:r>
        <w:rPr>
          <w:rFonts w:ascii="Segoe UI" w:hAnsi="Segoe UI"/>
          <w:b w:val="0"/>
          <w:i w:val="0"/>
          <w:color w:val="181D26"/>
          <w:sz w:val="21"/>
        </w:rPr>
        <w:t xml:space="preserve"> trading module in which users link their own regulated brokerage — Quantra routes orders but never custodies funds. Every design decision balances capability with safety, transparency and regulatory awareness.</w:t>
      </w:r>
    </w:p>
    <w:p>
      <w:pPr>
        <w:spacing w:after="240" w:before="0" w:line="300" w:lineRule="auto"/>
      </w:pPr>
      <w:r>
        <w:rPr>
          <w:rFonts w:ascii="Segoe UI" w:hAnsi="Segoe UI"/>
          <w:b w:val="0"/>
          <w:i w:val="0"/>
          <w:color w:val="181D26"/>
          <w:sz w:val="21"/>
        </w:rPr>
        <w:t>The attached proposal details the problem, product, technology, market and roadmap. I would welcome the opportunity to discuss how Quantra AI can be taken to its next stage of growth.</w:t>
      </w:r>
    </w:p>
    <w:p>
      <w:pPr>
        <w:spacing w:after="40" w:before="0" w:line="300" w:lineRule="auto"/>
      </w:pPr>
      <w:r>
        <w:rPr>
          <w:rFonts w:ascii="Segoe UI" w:hAnsi="Segoe UI"/>
          <w:b w:val="0"/>
          <w:i w:val="0"/>
          <w:color w:val="181D26"/>
          <w:sz w:val="21"/>
        </w:rPr>
        <w:t>Sincerely,</w:t>
      </w:r>
    </w:p>
    <w:p>
      <w:pPr>
        <w:spacing w:after="0" w:before="0" w:line="300" w:lineRule="auto"/>
      </w:pPr>
      <w:r>
        <w:rPr>
          <w:rFonts w:ascii="Segoe UI" w:hAnsi="Segoe UI"/>
          <w:b/>
          <w:i w:val="0"/>
          <w:color w:val="181D26"/>
          <w:sz w:val="23"/>
        </w:rPr>
        <w:t>Eshan Thanvi</w:t>
      </w:r>
    </w:p>
    <w:p>
      <w:pPr>
        <w:spacing w:after="0" w:before="0" w:line="300" w:lineRule="auto"/>
      </w:pPr>
      <w:r>
        <w:rPr>
          <w:rFonts w:ascii="Segoe UI" w:hAnsi="Segoe UI"/>
          <w:b w:val="0"/>
          <w:i w:val="0"/>
          <w:color w:val="555F6B"/>
          <w:sz w:val="19"/>
        </w:rPr>
        <w:t>Founder &amp; Builder, Quantra AI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81D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