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Segoe UI" w:hAnsi="Segoe UI"/>
          <w:b/>
          <w:color w:val="181D26"/>
          <w:sz w:val="44"/>
        </w:rPr>
        <w:t>Quantra</w:t>
      </w:r>
      <w:r>
        <w:rPr>
          <w:rFonts w:ascii="Segoe UI" w:hAnsi="Segoe UI"/>
          <w:b/>
          <w:color w:val="1B9E6B"/>
          <w:sz w:val="44"/>
        </w:rPr>
        <w:t>AI</w:t>
      </w:r>
    </w:p>
    <w:p>
      <w:pPr>
        <w:spacing w:after="20" w:before="0" w:line="300" w:lineRule="auto"/>
      </w:pPr>
      <w:r>
        <w:rPr>
          <w:rFonts w:ascii="Segoe UI" w:hAnsi="Segoe UI"/>
          <w:b/>
          <w:i w:val="0"/>
          <w:color w:val="1B9E6B"/>
          <w:sz w:val="23"/>
        </w:rPr>
        <w:t>Business Proposal</w:t>
      </w:r>
    </w:p>
    <w:p>
      <w:pPr>
        <w:spacing w:after="80" w:before="0" w:line="300" w:lineRule="auto"/>
      </w:pPr>
      <w:r>
        <w:rPr>
          <w:rFonts w:ascii="Segoe UI" w:hAnsi="Segoe UI"/>
          <w:b w:val="0"/>
          <w:i w:val="0"/>
          <w:color w:val="555F6B"/>
          <w:sz w:val="18"/>
        </w:rPr>
        <w:t xml:space="preserve">Eshan Thanvi  ·  </w:t>
      </w:r>
      <w:r>
        <w:rPr>
          <w:rFonts w:ascii="Segoe UI" w:hAnsi="Segoe UI"/>
          <w:b w:val="0"/>
          <w:i w:val="0"/>
          <w:color w:val="555F6B"/>
          <w:sz w:val="18"/>
        </w:rPr>
        <w:t>eshanthanvi@gmail.com</w:t>
      </w:r>
      <w:r>
        <w:rPr>
          <w:rFonts w:ascii="Segoe UI" w:hAnsi="Segoe UI"/>
          <w:b w:val="0"/>
          <w:i w:val="0"/>
          <w:color w:val="555F6B"/>
          <w:sz w:val="18"/>
        </w:rPr>
        <w:t xml:space="preserve">  ·  </w:t>
      </w:r>
      <w:r>
        <w:rPr>
          <w:rFonts w:ascii="Segoe UI" w:hAnsi="Segoe UI"/>
          <w:b w:val="0"/>
          <w:i w:val="0"/>
          <w:color w:val="555F6B"/>
          <w:sz w:val="18"/>
        </w:rPr>
        <w:t>quantra-ai.onrender.com</w:t>
      </w:r>
    </w:p>
    <w:p>
      <w:pPr>
        <w:spacing w:after="120"/>
        <w:pBdr>
          <w:bottom w:val="single" w:sz="8" w:color="1B9E6B" w:space="1"/>
        </w:pBdr>
      </w:pPr>
    </w:p>
    <w:p>
      <w:pPr>
        <w:spacing w:after="160" w:before="0" w:line="300" w:lineRule="auto"/>
      </w:pPr>
      <w:r>
        <w:rPr>
          <w:rFonts w:ascii="Segoe UI" w:hAnsi="Segoe UI"/>
          <w:b w:val="0"/>
          <w:i w:val="0"/>
          <w:color w:val="555F6B"/>
          <w:sz w:val="19"/>
        </w:rPr>
        <w:t xml:space="preserve">Prepared by </w:t>
      </w:r>
      <w:r>
        <w:rPr>
          <w:rFonts w:ascii="Segoe UI" w:hAnsi="Segoe UI"/>
          <w:b/>
          <w:i w:val="0"/>
          <w:color w:val="555F6B"/>
          <w:sz w:val="19"/>
        </w:rPr>
        <w:t>Eshan Thanvi</w:t>
      </w:r>
      <w:r>
        <w:rPr>
          <w:rFonts w:ascii="Segoe UI" w:hAnsi="Segoe UI"/>
          <w:b w:val="0"/>
          <w:i w:val="0"/>
          <w:color w:val="555F6B"/>
          <w:sz w:val="19"/>
        </w:rPr>
        <w:t xml:space="preserve">  ·  22 June 2026</w:t>
      </w:r>
    </w:p>
    <w:p>
      <w:pPr>
        <w:spacing w:before="240" w:after="80"/>
      </w:pPr>
      <w:r>
        <w:rPr>
          <w:rFonts w:ascii="Segoe UI" w:hAnsi="Segoe UI"/>
          <w:b/>
          <w:color w:val="1B9E6B"/>
          <w:sz w:val="26"/>
        </w:rPr>
        <w:t>1 · Executive summary</w:t>
      </w:r>
    </w:p>
    <w:p>
      <w:pPr>
        <w:spacing w:after="120" w:before="0" w:line="300" w:lineRule="auto"/>
      </w:pPr>
      <w:r>
        <w:rPr>
          <w:rFonts w:ascii="Segoe UI" w:hAnsi="Segoe UI"/>
          <w:b/>
          <w:i w:val="0"/>
          <w:color w:val="181D26"/>
          <w:sz w:val="21"/>
        </w:rPr>
        <w:t>Quantra AI</w:t>
      </w:r>
      <w:r>
        <w:rPr>
          <w:rFonts w:ascii="Segoe UI" w:hAnsi="Segoe UI"/>
          <w:b w:val="0"/>
          <w:i w:val="0"/>
          <w:color w:val="181D26"/>
          <w:sz w:val="21"/>
        </w:rPr>
        <w:t xml:space="preserve"> is a live, multi-tenant SaaS platform that democratizes professional market analysis. It delivers real-time and global market data, an advanced charting and indicator suite, an AI analyst, and probabilistic forecasts calibrated to ~80% accuracy — accessible from any browser or phone, with no expensive terminal required.</w:t>
      </w:r>
    </w:p>
    <w:p>
      <w:pPr>
        <w:spacing w:before="240" w:after="80"/>
      </w:pPr>
      <w:r>
        <w:rPr>
          <w:rFonts w:ascii="Segoe UI" w:hAnsi="Segoe UI"/>
          <w:b/>
          <w:color w:val="1B9E6B"/>
          <w:sz w:val="26"/>
        </w:rPr>
        <w:t>2 · The problem</w:t>
      </w:r>
    </w:p>
    <w:p>
      <w:pPr>
        <w:pStyle w:val="ListBullet"/>
        <w:spacing w:after="60"/>
      </w:pPr>
      <w:r>
        <w:rPr>
          <w:b/>
          <w:color w:val="181D26"/>
          <w:sz w:val="21"/>
        </w:rPr>
        <w:t>Cost</w:t>
      </w:r>
      <w:r>
        <w:rPr>
          <w:color w:val="555F6B"/>
          <w:sz w:val="21"/>
        </w:rPr>
        <w:t xml:space="preserve"> — professional tools (Bloomberg, Refinitiv) cost $20k+/year and are out of reach for retail users, students and small funds.</w:t>
      </w:r>
    </w:p>
    <w:p>
      <w:pPr>
        <w:pStyle w:val="ListBullet"/>
        <w:spacing w:after="60"/>
      </w:pPr>
      <w:r>
        <w:rPr>
          <w:b/>
          <w:color w:val="181D26"/>
          <w:sz w:val="21"/>
        </w:rPr>
        <w:t>Fragmentation</w:t>
      </w:r>
      <w:r>
        <w:rPr>
          <w:color w:val="555F6B"/>
          <w:sz w:val="21"/>
        </w:rPr>
        <w:t xml:space="preserve"> — charts, news, portfolio and forecasts live in separate, disconnected tools.</w:t>
      </w:r>
    </w:p>
    <w:p>
      <w:pPr>
        <w:pStyle w:val="ListBullet"/>
        <w:spacing w:after="60"/>
      </w:pPr>
      <w:r>
        <w:rPr>
          <w:b/>
          <w:color w:val="181D26"/>
          <w:sz w:val="21"/>
        </w:rPr>
        <w:t>Trust</w:t>
      </w:r>
      <w:r>
        <w:rPr>
          <w:color w:val="555F6B"/>
          <w:sz w:val="21"/>
        </w:rPr>
        <w:t xml:space="preserve"> — retail 'projections' are typically decorative and uncalibrated; data quality is opaque.</w:t>
      </w:r>
    </w:p>
    <w:p>
      <w:pPr>
        <w:spacing w:before="240" w:after="80"/>
      </w:pPr>
      <w:r>
        <w:rPr>
          <w:rFonts w:ascii="Segoe UI" w:hAnsi="Segoe UI"/>
          <w:b/>
          <w:color w:val="1B9E6B"/>
          <w:sz w:val="26"/>
        </w:rPr>
        <w:t>3 · The solution</w:t>
      </w:r>
    </w:p>
    <w:p>
      <w:pPr>
        <w:spacing w:after="120" w:before="0" w:line="300" w:lineRule="auto"/>
      </w:pPr>
      <w:r>
        <w:rPr>
          <w:rFonts w:ascii="Segoe UI" w:hAnsi="Segoe UI"/>
          <w:b w:val="0"/>
          <w:i w:val="0"/>
          <w:color w:val="181D26"/>
          <w:sz w:val="21"/>
        </w:rPr>
        <w:t>One terminal that unifies global coverage, real-time data, professional charting, calibrated forecasting and an AI analyst — with honesty and transparency built in.</w:t>
      </w:r>
    </w:p>
    <w:p>
      <w:pPr>
        <w:pStyle w:val="ListBullet"/>
        <w:spacing w:after="60"/>
      </w:pPr>
      <w:r>
        <w:rPr>
          <w:b/>
          <w:color w:val="181D26"/>
          <w:sz w:val="21"/>
        </w:rPr>
        <w:t>Global coverage</w:t>
      </w:r>
      <w:r>
        <w:rPr>
          <w:color w:val="555F6B"/>
          <w:sz w:val="21"/>
        </w:rPr>
        <w:t xml:space="preserve"> — 25 exchanges, 32 indices, ETFs, crypto, FX and commodities, in native currency.</w:t>
      </w:r>
    </w:p>
    <w:p>
      <w:pPr>
        <w:pStyle w:val="ListBullet"/>
        <w:spacing w:after="60"/>
      </w:pPr>
      <w:r>
        <w:rPr>
          <w:b/>
          <w:color w:val="181D26"/>
          <w:sz w:val="21"/>
        </w:rPr>
        <w:t>Pro charting</w:t>
      </w:r>
      <w:r>
        <w:rPr>
          <w:color w:val="555F6B"/>
          <w:sz w:val="21"/>
        </w:rPr>
        <w:t xml:space="preserve"> — 16 studies (Ichimoku, Supertrend, VWAP, Bollinger, ADX and more) on line &amp; candlestick charts.</w:t>
      </w:r>
    </w:p>
    <w:p>
      <w:pPr>
        <w:pStyle w:val="ListBullet"/>
        <w:spacing w:after="60"/>
      </w:pPr>
      <w:r>
        <w:rPr>
          <w:b/>
          <w:color w:val="181D26"/>
          <w:sz w:val="21"/>
        </w:rPr>
        <w:t>Calibrated forecasts</w:t>
      </w:r>
      <w:r>
        <w:rPr>
          <w:color w:val="555F6B"/>
          <w:sz w:val="21"/>
        </w:rPr>
        <w:t xml:space="preserve"> — Monte-Carlo bands proven to ~80% coverage, shown live on a public Track Record page.</w:t>
      </w:r>
    </w:p>
    <w:p>
      <w:pPr>
        <w:pStyle w:val="ListBullet"/>
        <w:spacing w:after="60"/>
      </w:pPr>
      <w:r>
        <w:rPr>
          <w:b/>
          <w:color w:val="181D26"/>
          <w:sz w:val="21"/>
        </w:rPr>
        <w:t>AI analyst &amp; brief</w:t>
      </w:r>
      <w:r>
        <w:rPr>
          <w:color w:val="555F6B"/>
          <w:sz w:val="21"/>
        </w:rPr>
        <w:t xml:space="preserve"> — grounded per-asset analysis and a personalized daily digest.</w:t>
      </w:r>
    </w:p>
    <w:p>
      <w:pPr>
        <w:pStyle w:val="ListBullet"/>
        <w:spacing w:after="60"/>
      </w:pPr>
      <w:r>
        <w:rPr>
          <w:b/>
          <w:color w:val="181D26"/>
          <w:sz w:val="21"/>
        </w:rPr>
        <w:t>Full workflow</w:t>
      </w:r>
      <w:r>
        <w:rPr>
          <w:color w:val="555F6B"/>
          <w:sz w:val="21"/>
        </w:rPr>
        <w:t xml:space="preserve"> — portfolio, paper trading, alerts, calendar and community — plus broker-linked trading.</w:t>
      </w:r>
    </w:p>
    <w:p>
      <w:pPr>
        <w:spacing w:before="240" w:after="80"/>
      </w:pPr>
      <w:r>
        <w:rPr>
          <w:rFonts w:ascii="Segoe UI" w:hAnsi="Segoe UI"/>
          <w:b/>
          <w:color w:val="1B9E6B"/>
          <w:sz w:val="26"/>
        </w:rPr>
        <w:t>4 · Technology</w:t>
      </w:r>
    </w:p>
    <w:p>
      <w:pPr>
        <w:spacing w:after="120" w:before="0" w:line="300" w:lineRule="auto"/>
      </w:pPr>
      <w:r>
        <w:rPr>
          <w:rFonts w:ascii="Segoe UI" w:hAnsi="Segoe UI"/>
          <w:b w:val="0"/>
          <w:i w:val="0"/>
          <w:color w:val="181D26"/>
          <w:sz w:val="21"/>
        </w:rPr>
        <w:t>A lean, resilient Node.js platform acting as market-data proxy and application server, with optional integrations that activate only when configured. Multi-tenant accounts, super-admin oversight, a PWA with push notifications, and continuous deployment. Paid data sources are key-gated with graceful fallback, so the product degrades gracefully rather than breaking.</w:t>
      </w:r>
    </w:p>
    <w:p>
      <w:pPr>
        <w:spacing w:before="240" w:after="80"/>
      </w:pPr>
      <w:r>
        <w:rPr>
          <w:rFonts w:ascii="Segoe UI" w:hAnsi="Segoe UI"/>
          <w:b/>
          <w:color w:val="1B9E6B"/>
          <w:sz w:val="26"/>
        </w:rPr>
        <w:t>5 · Market &amp; differentiation</w:t>
      </w:r>
    </w:p>
    <w:p>
      <w:pPr>
        <w:spacing w:after="120" w:before="0" w:line="300" w:lineRule="auto"/>
      </w:pPr>
      <w:r>
        <w:rPr>
          <w:rFonts w:ascii="Segoe UI" w:hAnsi="Segoe UI"/>
          <w:b w:val="0"/>
          <w:i w:val="0"/>
          <w:color w:val="181D26"/>
          <w:sz w:val="21"/>
        </w:rPr>
        <w:t>Quantra targets retail investors, students, analysts and small funds priced out of incumbent terminals. Its differentiators are calibrated (provable) forecasts, radical data transparency, breadth of global coverage, and an AI analyst — delivered at a fraction of incumbent cost.</w:t>
      </w:r>
    </w:p>
    <w:p>
      <w:pPr>
        <w:spacing w:before="240" w:after="80"/>
      </w:pPr>
      <w:r>
        <w:rPr>
          <w:rFonts w:ascii="Segoe UI" w:hAnsi="Segoe UI"/>
          <w:b/>
          <w:color w:val="1B9E6B"/>
          <w:sz w:val="26"/>
        </w:rPr>
        <w:t>6 · Business model</w:t>
      </w:r>
    </w:p>
    <w:p>
      <w:pPr>
        <w:pStyle w:val="ListBullet"/>
        <w:spacing w:after="60"/>
      </w:pPr>
      <w:r>
        <w:rPr>
          <w:b/>
          <w:color w:val="181D26"/>
          <w:sz w:val="21"/>
        </w:rPr>
        <w:t>Subscription tiers</w:t>
      </w:r>
      <w:r>
        <w:rPr>
          <w:color w:val="555F6B"/>
          <w:sz w:val="21"/>
        </w:rPr>
        <w:t xml:space="preserve"> — Free, Pro and Ultimate, billed via Stripe (integrated).</w:t>
      </w:r>
    </w:p>
    <w:p>
      <w:pPr>
        <w:pStyle w:val="ListBullet"/>
        <w:spacing w:after="60"/>
      </w:pPr>
      <w:r>
        <w:rPr>
          <w:b/>
          <w:color w:val="181D26"/>
          <w:sz w:val="21"/>
        </w:rPr>
        <w:t>Compliant trading</w:t>
      </w:r>
      <w:r>
        <w:rPr>
          <w:color w:val="555F6B"/>
          <w:sz w:val="21"/>
        </w:rPr>
        <w:t xml:space="preserve"> — bring-your-own-broker module; users custody funds at their own regulated broker.</w:t>
      </w:r>
    </w:p>
    <w:p>
      <w:pPr>
        <w:pStyle w:val="ListBullet"/>
        <w:spacing w:after="60"/>
      </w:pPr>
      <w:r>
        <w:rPr>
          <w:b/>
          <w:color w:val="181D26"/>
          <w:sz w:val="21"/>
        </w:rPr>
        <w:t>Data partners</w:t>
      </w:r>
      <w:r>
        <w:rPr>
          <w:color w:val="555F6B"/>
          <w:sz w:val="21"/>
        </w:rPr>
        <w:t xml:space="preserve"> — aggregator feeds (Twelve Data, Finnhub, Polygon) scale coverage without custodial risk.</w:t>
      </w:r>
    </w:p>
    <w:p>
      <w:pPr>
        <w:spacing w:before="240" w:after="80"/>
      </w:pPr>
      <w:r>
        <w:rPr>
          <w:rFonts w:ascii="Segoe UI" w:hAnsi="Segoe UI"/>
          <w:b/>
          <w:color w:val="1B9E6B"/>
          <w:sz w:val="26"/>
        </w:rPr>
        <w:t>7 · Traction &amp; status</w:t>
      </w:r>
    </w:p>
    <w:p>
      <w:pPr>
        <w:pStyle w:val="ListBullet"/>
        <w:spacing w:after="60"/>
      </w:pPr>
      <w:r>
        <w:rPr>
          <w:b/>
          <w:color w:val="181D26"/>
          <w:sz w:val="21"/>
        </w:rPr>
        <w:t>Live in production</w:t>
      </w:r>
      <w:r>
        <w:rPr>
          <w:color w:val="555F6B"/>
          <w:sz w:val="21"/>
        </w:rPr>
        <w:t xml:space="preserve"> — deployed with GitHub continuous delivery; current build v46.</w:t>
      </w:r>
    </w:p>
    <w:p>
      <w:pPr>
        <w:pStyle w:val="ListBullet"/>
        <w:spacing w:after="60"/>
      </w:pPr>
      <w:r>
        <w:rPr>
          <w:b/>
          <w:color w:val="181D26"/>
          <w:sz w:val="21"/>
        </w:rPr>
        <w:t>Feature-complete core</w:t>
      </w:r>
      <w:r>
        <w:rPr>
          <w:color w:val="555F6B"/>
          <w:sz w:val="21"/>
        </w:rPr>
        <w:t xml:space="preserve"> — the full 10-feature roadmap plus global markets, indicators and broker trading shipped.</w:t>
      </w:r>
    </w:p>
    <w:p>
      <w:pPr>
        <w:pStyle w:val="ListBullet"/>
        <w:spacing w:after="60"/>
      </w:pPr>
      <w:r>
        <w:rPr>
          <w:b/>
          <w:color w:val="181D26"/>
          <w:sz w:val="21"/>
        </w:rPr>
        <w:t>Proven calibration</w:t>
      </w:r>
      <w:r>
        <w:rPr>
          <w:color w:val="555F6B"/>
          <w:sz w:val="21"/>
        </w:rPr>
        <w:t xml:space="preserve"> — ~80% realised band coverage measured on live forward outcomes.</w:t>
      </w:r>
    </w:p>
    <w:p>
      <w:pPr>
        <w:spacing w:before="240" w:after="80"/>
      </w:pPr>
      <w:r>
        <w:rPr>
          <w:rFonts w:ascii="Segoe UI" w:hAnsi="Segoe UI"/>
          <w:b/>
          <w:color w:val="1B9E6B"/>
          <w:sz w:val="26"/>
        </w:rPr>
        <w:t>8 · Roadmap</w:t>
      </w:r>
    </w:p>
    <w:p>
      <w:pPr>
        <w:pStyle w:val="ListBullet"/>
        <w:spacing w:after="60"/>
      </w:pPr>
      <w:r>
        <w:rPr>
          <w:b/>
          <w:color w:val="181D26"/>
          <w:sz w:val="21"/>
        </w:rPr>
        <w:t>Data</w:t>
      </w:r>
      <w:r>
        <w:rPr>
          <w:color w:val="555F6B"/>
          <w:sz w:val="21"/>
        </w:rPr>
        <w:t xml:space="preserve"> — real-time global feeds via aggregator keys (Twelve Data / Polygon).</w:t>
      </w:r>
    </w:p>
    <w:p>
      <w:pPr>
        <w:pStyle w:val="ListBullet"/>
        <w:spacing w:after="60"/>
      </w:pPr>
      <w:r>
        <w:rPr>
          <w:b/>
          <w:color w:val="181D26"/>
          <w:sz w:val="21"/>
        </w:rPr>
        <w:t>Brokers</w:t>
      </w:r>
      <w:r>
        <w:rPr>
          <w:color w:val="555F6B"/>
          <w:sz w:val="21"/>
        </w:rPr>
        <w:t xml:space="preserve"> — additional broker adapters (e.g. Zerodha/Upstox for India) under compliance review.</w:t>
      </w:r>
    </w:p>
    <w:p>
      <w:pPr>
        <w:pStyle w:val="ListBullet"/>
        <w:spacing w:after="60"/>
      </w:pPr>
      <w:r>
        <w:rPr>
          <w:b/>
          <w:color w:val="181D26"/>
          <w:sz w:val="21"/>
        </w:rPr>
        <w:t>Mobile &amp; growth</w:t>
      </w:r>
      <w:r>
        <w:rPr>
          <w:color w:val="555F6B"/>
          <w:sz w:val="21"/>
        </w:rPr>
        <w:t xml:space="preserve"> — native app packaging, onboarding and conversion optimisation.</w:t>
      </w:r>
    </w:p>
    <w:p>
      <w:pPr>
        <w:spacing w:before="240" w:after="80"/>
      </w:pPr>
      <w:r>
        <w:rPr>
          <w:rFonts w:ascii="Segoe UI" w:hAnsi="Segoe UI"/>
          <w:b/>
          <w:color w:val="1B9E6B"/>
          <w:sz w:val="26"/>
        </w:rPr>
        <w:t>9 · The ask</w:t>
      </w:r>
    </w:p>
    <w:p>
      <w:pPr>
        <w:spacing w:after="160" w:before="0" w:line="300" w:lineRule="auto"/>
      </w:pPr>
      <w:r>
        <w:rPr>
          <w:rFonts w:ascii="Segoe UI" w:hAnsi="Segoe UI"/>
          <w:b w:val="0"/>
          <w:i w:val="0"/>
          <w:color w:val="181D26"/>
          <w:sz w:val="21"/>
        </w:rPr>
        <w:t>I am seeking partnership, mentorship or investment to scale Quantra AI — funding real-time data licensing, broker integrations and growth. I welcome the opportunity to present a live demonstration.</w:t>
      </w:r>
    </w:p>
    <w:p>
      <w:pPr>
        <w:spacing w:after="0" w:before="0" w:line="300" w:lineRule="auto"/>
      </w:pPr>
      <w:r>
        <w:rPr>
          <w:rFonts w:ascii="Segoe UI" w:hAnsi="Segoe UI"/>
          <w:b/>
          <w:i w:val="0"/>
          <w:color w:val="555F6B"/>
          <w:sz w:val="20"/>
        </w:rPr>
        <w:t xml:space="preserve">Contact:  </w:t>
      </w:r>
      <w:r>
        <w:rPr>
          <w:rFonts w:ascii="Segoe UI" w:hAnsi="Segoe UI"/>
          <w:b w:val="0"/>
          <w:i w:val="0"/>
          <w:color w:val="555F6B"/>
          <w:sz w:val="20"/>
        </w:rPr>
        <w:t>Eshan Thanvi  ·  eshanthanvi@gmail.com  ·  quantra-ai.onrender.com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81D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