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</w:pPr>
      <w:r>
        <w:rPr>
          <w:rFonts w:ascii="Segoe UI" w:hAnsi="Segoe UI"/>
          <w:b/>
          <w:i w:val="0"/>
          <w:color w:val="1A1F28"/>
          <w:sz w:val="44"/>
        </w:rPr>
        <w:t>Quantra AI</w:t>
      </w:r>
    </w:p>
    <w:p>
      <w:pPr>
        <w:spacing w:after="80" w:before="0"/>
      </w:pPr>
      <w:r>
        <w:rPr>
          <w:rFonts w:ascii="Segoe UI" w:hAnsi="Segoe UI"/>
          <w:b/>
          <w:i w:val="0"/>
          <w:color w:val="1B9E6B"/>
          <w:sz w:val="24"/>
        </w:rPr>
        <w:t>Version Summary — what each phase added</w:t>
      </w:r>
    </w:p>
    <w:p>
      <w:pPr>
        <w:spacing w:after="40" w:before="0"/>
      </w:pPr>
      <w:r>
        <w:rPr>
          <w:rFonts w:ascii="Segoe UI" w:hAnsi="Segoe UI"/>
          <w:b w:val="0"/>
          <w:i w:val="0"/>
          <w:color w:val="5C6672"/>
          <w:sz w:val="18"/>
        </w:rPr>
        <w:t>Live: quantra-ai.onrender.com   ·   Current build: assets v46 · service worker quantra-v28 · 2026</w:t>
      </w:r>
    </w:p>
    <w:p>
      <w:pPr>
        <w:spacing w:after="40"/>
        <w:pBdr>
          <w:bottom w:val="single" w:sz="8" w:color="1B9E6B" w:space="1"/>
        </w:pBdr>
      </w:pPr>
    </w:p>
    <w:p>
      <w:pPr>
        <w:spacing w:before="180" w:after="60"/>
      </w:pPr>
      <w:r>
        <w:rPr>
          <w:rFonts w:ascii="Segoe UI" w:hAnsi="Segoe UI"/>
          <w:b/>
          <w:color w:val="1B9E6B"/>
          <w:sz w:val="23"/>
        </w:rPr>
        <w:t>Phase 1 · Foundation (v1.x)</w:t>
      </w:r>
    </w:p>
    <w:p>
      <w:pPr>
        <w:spacing w:after="40" w:before="0"/>
      </w:pPr>
      <w:r>
        <w:rPr>
          <w:rFonts w:ascii="Segoe UI" w:hAnsi="Segoe UI"/>
          <w:b w:val="0"/>
          <w:i w:val="0"/>
          <w:color w:val="5C6672"/>
          <w:sz w:val="19"/>
        </w:rPr>
        <w:t>First deploy → responsive mobile → live data (crypto WebSocket + Finnhub) → candlesticks + dated Monte-Carlo projections → tick-by-tick seconds chart → RSI/MACD/Volume panes + Heikin Ashi → price alerts + drawing tools (trendline/level/Fibonacci) → super-admin oversight, audit log &amp; footfall analytics.</w:t>
      </w:r>
    </w:p>
    <w:p>
      <w:pPr>
        <w:spacing w:before="180" w:after="60"/>
      </w:pPr>
      <w:r>
        <w:rPr>
          <w:rFonts w:ascii="Segoe UI" w:hAnsi="Segoe UI"/>
          <w:b/>
          <w:color w:val="1B9E6B"/>
          <w:sz w:val="23"/>
        </w:rPr>
        <w:t>Phase 2 · The 10-feature SaaS roadmap (v2.x)</w:t>
      </w:r>
    </w:p>
    <w:p>
      <w:pPr>
        <w:spacing w:after="40" w:before="0"/>
      </w:pPr>
      <w:r>
        <w:rPr>
          <w:rFonts w:ascii="Segoe UI" w:hAnsi="Segoe UI"/>
          <w:b w:val="0"/>
          <w:i w:val="0"/>
          <w:color w:val="5C6672"/>
          <w:sz w:val="19"/>
        </w:rPr>
        <w:t>Portfolio tracker · Ask-Quantra AI analyst · server-side alerts + email · market discovery (heatmap/movers/breadth) · earnings/IPO/economic calendar · PWA + push · AI daily brief · Bollinger + bar replay + saved layouts · paper trading · community ideas + leaderboard.</w:t>
      </w:r>
    </w:p>
    <w:p>
      <w:pPr>
        <w:spacing w:before="180" w:after="60"/>
      </w:pPr>
      <w:r>
        <w:rPr>
          <w:rFonts w:ascii="Segoe UI" w:hAnsi="Segoe UI"/>
          <w:b/>
          <w:color w:val="1B9E6B"/>
          <w:sz w:val="23"/>
        </w:rPr>
        <w:t>Phase 3 · Data &amp; forecast accuracy (v3.x)</w:t>
      </w:r>
    </w:p>
    <w:p>
      <w:pPr>
        <w:spacing w:after="40" w:before="0"/>
      </w:pPr>
      <w:r>
        <w:rPr>
          <w:rFonts w:ascii="Segoe UI" w:hAnsi="Segoe UI"/>
          <w:b w:val="0"/>
          <w:i w:val="0"/>
          <w:color w:val="5C6672"/>
          <w:sz w:val="19"/>
        </w:rPr>
        <w:t>Premium feeds (FMP + marketaux) · forecasts recalibrated to 80% band coverage + live calibration widget · fixed the MSFT wrong-% bug · keep-warm (no cold starts) · 25 world exchanges + 32 indices + regional ETFs (currency follows exchange) · data-freshness line · Twelve Data + absolute up/down amount.</w:t>
      </w:r>
    </w:p>
    <w:p>
      <w:pPr>
        <w:spacing w:before="180" w:after="60"/>
      </w:pPr>
      <w:r>
        <w:rPr>
          <w:rFonts w:ascii="Segoe UI" w:hAnsi="Segoe UI"/>
          <w:b/>
          <w:color w:val="1B9E6B"/>
          <w:sz w:val="23"/>
        </w:rPr>
        <w:t>Phase 4 · Technical indicators (v4.x)</w:t>
      </w:r>
    </w:p>
    <w:p>
      <w:pPr>
        <w:spacing w:after="40" w:before="0"/>
      </w:pPr>
      <w:r>
        <w:rPr>
          <w:rFonts w:ascii="Segoe UI" w:hAnsi="Segoe UI"/>
          <w:b w:val="0"/>
          <w:i w:val="0"/>
          <w:color w:val="5C6672"/>
          <w:sz w:val="19"/>
        </w:rPr>
        <w:t>McGinley / EMA / Parabolic SAR + Stochastic → full suite: Ichimoku, Supertrend, VWAP, Keltner, Donchian, ADX, Williams %R, CCI on both line &amp; candlestick charts → enlarge mode + dynamic legend.</w:t>
      </w:r>
    </w:p>
    <w:p>
      <w:pPr>
        <w:spacing w:before="180" w:after="60"/>
      </w:pPr>
      <w:r>
        <w:rPr>
          <w:rFonts w:ascii="Segoe UI" w:hAnsi="Segoe UI"/>
          <w:b/>
          <w:color w:val="1B9E6B"/>
          <w:sz w:val="23"/>
        </w:rPr>
        <w:t>Phase 5 · Market status (v5.x)</w:t>
      </w:r>
    </w:p>
    <w:p>
      <w:pPr>
        <w:spacing w:after="40" w:before="0"/>
      </w:pPr>
      <w:r>
        <w:rPr>
          <w:rFonts w:ascii="Segoe UI" w:hAnsi="Segoe UI"/>
          <w:b w:val="0"/>
          <w:i w:val="0"/>
          <w:color w:val="5C6672"/>
          <w:sz w:val="19"/>
        </w:rPr>
        <w:t>Open/closed badge → per-row dots → live-flipping status + open/close countdown → real-time US feed → timezone-accurate status → per-exchange holiday calendar → faster + honest freshness labels.</w:t>
      </w:r>
    </w:p>
    <w:p>
      <w:pPr>
        <w:spacing w:before="180" w:after="60"/>
      </w:pPr>
      <w:r>
        <w:rPr>
          <w:rFonts w:ascii="Segoe UI" w:hAnsi="Segoe UI"/>
          <w:b/>
          <w:color w:val="1B9E6B"/>
          <w:sz w:val="23"/>
        </w:rPr>
        <w:t>Latest work — build v40 → v46</w:t>
      </w:r>
    </w:p>
    <w:p>
      <w:pPr>
        <w:pStyle w:val="ListBullet"/>
        <w:spacing w:after="40"/>
      </w:pPr>
      <w:r>
        <w:rPr>
          <w:b/>
          <w:color w:val="1A1F28"/>
          <w:sz w:val="19"/>
        </w:rPr>
        <w:t>v40</w:t>
      </w:r>
      <w:r>
        <w:rPr>
          <w:color w:val="5C6672"/>
          <w:sz w:val="19"/>
        </w:rPr>
        <w:t xml:space="preserve">  Fixed mobile chart scrubbing — date/price tooltip now tracks on touch.</w:t>
      </w:r>
    </w:p>
    <w:p>
      <w:pPr>
        <w:pStyle w:val="ListBullet"/>
        <w:spacing w:after="40"/>
      </w:pPr>
      <w:r>
        <w:rPr>
          <w:b/>
          <w:color w:val="1A1F28"/>
          <w:sz w:val="19"/>
        </w:rPr>
        <w:t>Docs</w:t>
      </w:r>
      <w:r>
        <w:rPr>
          <w:color w:val="5C6672"/>
          <w:sz w:val="19"/>
        </w:rPr>
        <w:t xml:space="preserve">  Pitch deck (.pptx/.pdf) + full changelog (.docx/.pdf) generated.</w:t>
      </w:r>
    </w:p>
    <w:p>
      <w:pPr>
        <w:pStyle w:val="ListBullet"/>
        <w:spacing w:after="40"/>
      </w:pPr>
      <w:r>
        <w:rPr>
          <w:b/>
          <w:color w:val="1A1F28"/>
          <w:sz w:val="19"/>
        </w:rPr>
        <w:t>Accounts</w:t>
      </w:r>
      <w:r>
        <w:rPr>
          <w:color w:val="5C6672"/>
          <w:sz w:val="19"/>
        </w:rPr>
        <w:t xml:space="preserve">  Added then removed the signup approval gate; kept super-admin Delete.</w:t>
      </w:r>
    </w:p>
    <w:p>
      <w:pPr>
        <w:pStyle w:val="ListBullet"/>
        <w:spacing w:after="40"/>
      </w:pPr>
      <w:r>
        <w:rPr>
          <w:b/>
          <w:color w:val="1A1F28"/>
          <w:sz w:val="19"/>
        </w:rPr>
        <w:t>v44</w:t>
      </w:r>
      <w:r>
        <w:rPr>
          <w:color w:val="5C6672"/>
          <w:sz w:val="19"/>
        </w:rPr>
        <w:t xml:space="preserve">  Every signed-in user gets the Ultimate plan (sign-in still required).</w:t>
      </w:r>
    </w:p>
    <w:p>
      <w:pPr>
        <w:pStyle w:val="ListBullet"/>
        <w:spacing w:after="40"/>
      </w:pPr>
      <w:r>
        <w:rPr>
          <w:b/>
          <w:color w:val="1A1F28"/>
          <w:sz w:val="19"/>
        </w:rPr>
        <w:t>Repositioning</w:t>
      </w:r>
      <w:r>
        <w:rPr>
          <w:color w:val="5C6672"/>
          <w:sz w:val="19"/>
        </w:rPr>
        <w:t xml:space="preserve">  Removed all "educational/illustrative" copy; projections shown as 80%-calibrated.</w:t>
      </w:r>
    </w:p>
    <w:p>
      <w:pPr>
        <w:pStyle w:val="ListBullet"/>
        <w:spacing w:after="40"/>
      </w:pPr>
      <w:r>
        <w:rPr>
          <w:b/>
          <w:color w:val="1A1F28"/>
          <w:sz w:val="19"/>
        </w:rPr>
        <w:t>Track record</w:t>
      </w:r>
      <w:r>
        <w:rPr>
          <w:color w:val="5C6672"/>
          <w:sz w:val="19"/>
        </w:rPr>
        <w:t xml:space="preserve">  Short horizons (1/2/3-session) so past projections advance daily instead of stuck at zero.</w:t>
      </w:r>
    </w:p>
    <w:p>
      <w:pPr>
        <w:pStyle w:val="ListBullet"/>
        <w:spacing w:after="40"/>
      </w:pPr>
      <w:r>
        <w:rPr>
          <w:b/>
          <w:color w:val="1A1F28"/>
          <w:sz w:val="19"/>
        </w:rPr>
        <w:t>Email</w:t>
      </w:r>
      <w:r>
        <w:rPr>
          <w:color w:val="5C6672"/>
          <w:sz w:val="19"/>
        </w:rPr>
        <w:t xml:space="preserve">  Diagnostics + "Send test email" button to surface the real Resend delivery error.</w:t>
      </w:r>
    </w:p>
    <w:p>
      <w:pPr>
        <w:pStyle w:val="ListBullet"/>
        <w:spacing w:after="40"/>
      </w:pPr>
      <w:r>
        <w:rPr>
          <w:b/>
          <w:color w:val="1A1F28"/>
          <w:sz w:val="19"/>
        </w:rPr>
        <w:t>v45</w:t>
      </w:r>
      <w:r>
        <w:rPr>
          <w:color w:val="5C6672"/>
          <w:sz w:val="19"/>
        </w:rPr>
        <w:t xml:space="preserve">  Bring-your-own-broker trading (Alpaca) — paper-mode first, every order user-confirmed, funds never held by Quantra.</w:t>
      </w:r>
    </w:p>
    <w:p>
      <w:pPr>
        <w:pStyle w:val="ListBullet"/>
        <w:spacing w:after="40"/>
      </w:pPr>
      <w:r>
        <w:rPr>
          <w:b/>
          <w:color w:val="1A1F28"/>
          <w:sz w:val="19"/>
        </w:rPr>
        <w:t>v46</w:t>
      </w:r>
      <w:r>
        <w:rPr>
          <w:color w:val="5C6672"/>
          <w:sz w:val="19"/>
        </w:rPr>
        <w:t xml:space="preserve">  Fit-to-screen fix — no horizontal overflow on desktop or mobile.</w:t>
      </w:r>
    </w:p>
    <w:p>
      <w:pPr>
        <w:pStyle w:val="ListBullet"/>
        <w:spacing w:after="40"/>
      </w:pPr>
      <w:r>
        <w:rPr>
          <w:b/>
          <w:color w:val="1A1F28"/>
          <w:sz w:val="19"/>
        </w:rPr>
        <w:t>Admin</w:t>
      </w:r>
      <w:r>
        <w:rPr>
          <w:color w:val="5C6672"/>
          <w:sz w:val="19"/>
        </w:rPr>
        <w:t xml:space="preserve">  System-status rows for Twelve Data / FMP / marketaux keys.</w:t>
      </w:r>
    </w:p>
    <w:p>
      <w:pPr>
        <w:spacing w:after="80" w:before="0"/>
      </w:pPr>
      <w:r>
        <w:rPr>
          <w:rFonts w:ascii="Segoe UI" w:hAnsi="Segoe UI"/>
          <w:b w:val="0"/>
          <w:i w:val="0"/>
          <w:color w:val="1A1F28"/>
          <w:sz w:val="12"/>
        </w:rPr>
      </w:r>
    </w:p>
    <w:p>
      <w:pPr>
        <w:spacing w:after="0" w:before="0"/>
      </w:pPr>
      <w:r>
        <w:rPr>
          <w:rFonts w:ascii="Segoe UI" w:hAnsi="Segoe UI"/>
          <w:b w:val="0"/>
          <w:i w:val="0"/>
          <w:color w:val="5C6672"/>
          <w:sz w:val="17"/>
        </w:rPr>
        <w:t>Data sources: CoinGecko/CoinPaprika · Coinbase · Yahoo Finance · Finnhub · Twelve Data · FMP · marketaux · open.er-api — all paid sources key-gated with graceful fallback.</w:t>
      </w:r>
    </w:p>
    <w:sectPr w:rsidR="00FC693F" w:rsidRPr="0006063C" w:rsidSect="00034616">
      <w:pgSz w:w="12240" w:h="15840"/>
      <w:pgMar w:top="864" w:right="1152" w:bottom="864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/>
      <w:color w:val="1A1F28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