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Guardrails Framework for OSINT LLM Deployments</w:t>
      </w:r>
    </w:p>
    <w:p>
      <w:pPr>
        <w:spacing w:before="0" w:after="360"/>
      </w:pPr>
      <w:r>
        <w:rPr>
          <w:i/>
          <w:color w:val="64748B"/>
          <w:sz w:val="24"/>
        </w:rPr>
        <w:t>Architecture, Security Controls, OPSEC, and Verification Standards</w:t>
      </w:r>
    </w:p>
    <w:p>
      <w:pPr>
        <w:spacing w:after="280"/>
        <w:pBdr>
          <w:bottom w:val="single" w:sz="12" w:space="1" w:color="1E3A8A"/>
        </w:pBdr>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1E3A8A"/>
              <w:bottom w:val="none"/>
              <w:right w:val="none"/>
            </w:tcBorders>
          </w:tcPr>
          <w:p>
            <w:pPr>
              <w:spacing w:after="0"/>
            </w:pPr>
            <w:r>
              <w:rPr>
                <w:b/>
                <w:color w:val="1E3A8A"/>
              </w:rPr>
              <w:t xml:space="preserve">Operational Overview: </w:t>
            </w:r>
            <w:r>
              <w:rPr>
                <w:color w:val="1E293B"/>
              </w:rPr>
              <w:t>Deploying Large Language Models (LLMs) for Open-Source Intelligence (OSINT) introduces unique challenges spanning regulatory compliance, operational security (OPSEC), indirect prompt injection vulnerabilities, and evidentiary chain-of-custody. This framework details the core guardrail pillars required for defensive, robust OSINT automation.</w:t>
            </w:r>
          </w:p>
        </w:tc>
      </w:tr>
    </w:tbl>
    <w:p>
      <w:pPr>
        <w:spacing w:after="200"/>
      </w:pPr>
    </w:p>
    <w:p>
      <w:pPr>
        <w:keepNext/>
        <w:spacing w:before="320" w:after="120"/>
      </w:pPr>
      <w:r>
        <w:rPr>
          <w:rFonts w:ascii="Calibri" w:hAnsi="Calibri"/>
          <w:b/>
          <w:color w:val="1E3A8A"/>
          <w:sz w:val="28"/>
        </w:rPr>
        <w:t>1. Scope &amp; Target Policy Guardrails</w:t>
      </w:r>
    </w:p>
    <w:p>
      <w:pPr>
        <w:pStyle w:val="ListBullet"/>
        <w:spacing w:after="80"/>
      </w:pPr>
      <w:r>
        <w:rPr>
          <w:b/>
          <w:color w:val="1E293B"/>
        </w:rPr>
        <w:t xml:space="preserve">Target Authorization Whitelisting: </w:t>
      </w:r>
      <w:r>
        <w:rPr>
          <w:color w:val="1E293B"/>
        </w:rPr>
        <w:t>Enforce strict organizational or investigative boundary checks. Programmatically restrict queries targeting unauthorized private individuals, minors, critical infrastructure personnel, or designated VIPs outside defined legal mandates.</w:t>
      </w:r>
    </w:p>
    <w:p>
      <w:pPr>
        <w:pStyle w:val="ListBullet"/>
        <w:spacing w:after="80"/>
      </w:pPr>
      <w:r>
        <w:rPr>
          <w:b/>
          <w:color w:val="1E293B"/>
        </w:rPr>
        <w:t xml:space="preserve">Prohibition of Autonomous Active Reconnaissance: </w:t>
      </w:r>
      <w:r>
        <w:rPr>
          <w:color w:val="1E293B"/>
        </w:rPr>
        <w:t>Ensure the model cannot initiate active vulnerability scanning, credential validation, port scanning, or exploit payloads under the guise of intelligence collection. The agent must strictly operate in passive indexing and public data correlation modes.</w:t>
      </w:r>
    </w:p>
    <w:p>
      <w:pPr>
        <w:pStyle w:val="ListBullet"/>
        <w:spacing w:after="80"/>
      </w:pPr>
      <w:r>
        <w:rPr>
          <w:b/>
          <w:color w:val="1E293B"/>
        </w:rPr>
        <w:t xml:space="preserve">Compliance &amp; Terms of Service Boundaries: </w:t>
      </w:r>
      <w:r>
        <w:rPr>
          <w:color w:val="1E293B"/>
        </w:rPr>
        <w:t>Block automated workflows from bypassing authentication barriers, circumventing CAPTCHAs, or violating terms of service across public repositories, social platforms, and registries (e.g., Computer Fraud and Abuse Act compliance).</w:t>
      </w:r>
    </w:p>
    <w:p>
      <w:pPr>
        <w:keepNext/>
        <w:spacing w:before="320" w:after="120"/>
      </w:pPr>
      <w:r>
        <w:rPr>
          <w:rFonts w:ascii="Calibri" w:hAnsi="Calibri"/>
          <w:b/>
          <w:color w:val="1E3A8A"/>
          <w:sz w:val="28"/>
        </w:rPr>
        <w:t>2. Data Ingestion &amp; Prompt Injection Defense</w:t>
      </w:r>
    </w:p>
    <w:p>
      <w:pPr>
        <w:pStyle w:val="ListBullet"/>
        <w:spacing w:after="80"/>
      </w:pPr>
      <w:r>
        <w:rPr>
          <w:b/>
          <w:color w:val="1E293B"/>
        </w:rPr>
        <w:t xml:space="preserve">Indirect Prompt Injection Sanitization: </w:t>
      </w:r>
      <w:r>
        <w:rPr>
          <w:color w:val="1E293B"/>
        </w:rPr>
        <w:t>Scraped web pages, forums, and metadata feeds frequently contain adversarial text (e.g., zero-font instructions instructing the model to exfiltrate session data or ignore prior instructions). All retrieved content must pass through secondary safety classifiers and structured string sanitizers prior to LLM reasoning.</w:t>
      </w:r>
    </w:p>
    <w:p>
      <w:pPr>
        <w:pStyle w:val="ListBullet"/>
        <w:spacing w:after="80"/>
      </w:pPr>
      <w:r>
        <w:rPr>
          <w:b/>
          <w:color w:val="1E293B"/>
        </w:rPr>
        <w:t xml:space="preserve">Data Origin &amp; Execution Isolation: </w:t>
      </w:r>
      <w:r>
        <w:rPr>
          <w:color w:val="1E293B"/>
        </w:rPr>
        <w:t>Architect clear separation between retrieval and execution contexts. Scraped text must be treated strictly as passive data inside fenced blocks (e.g., XML/JSON structures), preventing the model from interpreting user-controlled data as system instructions.</w:t>
      </w:r>
    </w:p>
    <w:p>
      <w:pPr>
        <w:pStyle w:val="ListBullet"/>
        <w:spacing w:after="80"/>
      </w:pPr>
      <w:r>
        <w:rPr>
          <w:b/>
          <w:color w:val="1E293B"/>
        </w:rPr>
        <w:t xml:space="preserve">Automated PII Masking: </w:t>
      </w:r>
      <w:r>
        <w:rPr>
          <w:color w:val="1E293B"/>
        </w:rPr>
        <w:t>Implement real-time NER (Named Entity Recognition) scrubbing to redact sensitive, non-target identifiers—such as Social Security numbers, payment details, personal health information, or collateral bystander data—before long-term ingestion.</w:t>
      </w:r>
    </w:p>
    <w:p>
      <w:pPr>
        <w:keepNext/>
        <w:spacing w:before="320" w:after="120"/>
      </w:pPr>
      <w:r>
        <w:rPr>
          <w:rFonts w:ascii="Calibri" w:hAnsi="Calibri"/>
          <w:b/>
          <w:color w:val="1E3A8A"/>
          <w:sz w:val="28"/>
        </w:rPr>
        <w:t>3. Execution &amp; Tool-Use Limits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1E3A8A"/>
            <w:tcMar>
              <w:top w:w="100" w:type="dxa"/>
              <w:bottom w:w="100" w:type="dxa"/>
              <w:left w:w="120" w:type="dxa"/>
              <w:right w:w="120" w:type="dxa"/>
            </w:tcMar>
          </w:tcPr>
          <w:p>
            <w:pPr>
              <w:spacing w:after="0"/>
            </w:pPr>
            <w:r>
              <w:rPr>
                <w:b/>
                <w:color w:val="FFFFFF"/>
                <w:sz w:val="21"/>
              </w:rPr>
              <w:t>Risk Domain</w:t>
            </w:r>
          </w:p>
        </w:tc>
        <w:tc>
          <w:tcPr>
            <w:tcW w:type="dxa" w:w="6192"/>
            <w:shd w:fill="1E3A8A"/>
            <w:tcMar>
              <w:top w:w="100" w:type="dxa"/>
              <w:bottom w:w="100" w:type="dxa"/>
              <w:left w:w="120" w:type="dxa"/>
              <w:right w:w="120" w:type="dxa"/>
            </w:tcMar>
          </w:tcPr>
          <w:p>
            <w:pPr>
              <w:spacing w:after="0"/>
            </w:pPr>
            <w:r>
              <w:rPr>
                <w:b/>
                <w:color w:val="FFFFFF"/>
                <w:sz w:val="21"/>
              </w:rPr>
              <w:t>Control &amp; Guardrail Mechanism</w:t>
            </w:r>
          </w:p>
        </w:tc>
      </w:tr>
      <w:tr>
        <w:tc>
          <w:tcPr>
            <w:tcW w:type="dxa" w:w="3168"/>
            <w:shd w:fill="F1F5F9"/>
            <w:tcMar>
              <w:top w:w="80" w:type="dxa"/>
              <w:bottom w:w="80" w:type="dxa"/>
              <w:left w:w="120" w:type="dxa"/>
              <w:right w:w="120" w:type="dxa"/>
            </w:tcMar>
          </w:tcPr>
          <w:p>
            <w:pPr>
              <w:spacing w:after="0"/>
            </w:pPr>
            <w:r>
              <w:rPr>
                <w:b/>
                <w:color w:val="1E293B"/>
                <w:sz w:val="20"/>
              </w:rPr>
              <w:t>Out-of-Scope Tool Calls</w:t>
            </w:r>
          </w:p>
        </w:tc>
        <w:tc>
          <w:tcPr>
            <w:tcW w:type="dxa" w:w="6192"/>
            <w:shd w:fill="F1F5F9"/>
            <w:tcMar>
              <w:top w:w="80" w:type="dxa"/>
              <w:bottom w:w="80" w:type="dxa"/>
              <w:left w:w="120" w:type="dxa"/>
              <w:right w:w="120" w:type="dxa"/>
            </w:tcMar>
          </w:tcPr>
          <w:p>
            <w:pPr>
              <w:spacing w:after="0"/>
            </w:pPr>
            <w:r>
              <w:rPr>
                <w:color w:val="1E293B"/>
                <w:sz w:val="20"/>
              </w:rPr>
              <w:t>Restrict tool invocations to strictly typed, read-only APIs (e.g., DNS history, WHOIS lookups, public search APIs) with deterministic parameter validation schemas.</w:t>
            </w:r>
          </w:p>
        </w:tc>
      </w:tr>
      <w:tr>
        <w:tc>
          <w:tcPr>
            <w:tcW w:type="dxa" w:w="3168"/>
            <w:shd w:fill="FFFFFF"/>
            <w:tcMar>
              <w:top w:w="80" w:type="dxa"/>
              <w:bottom w:w="80" w:type="dxa"/>
              <w:left w:w="120" w:type="dxa"/>
              <w:right w:w="120" w:type="dxa"/>
            </w:tcMar>
          </w:tcPr>
          <w:p>
            <w:pPr>
              <w:spacing w:after="0"/>
            </w:pPr>
            <w:r>
              <w:rPr>
                <w:b/>
                <w:color w:val="1E293B"/>
                <w:sz w:val="20"/>
              </w:rPr>
              <w:t>Attribution &amp; OPSEC Leakage</w:t>
            </w:r>
          </w:p>
        </w:tc>
        <w:tc>
          <w:tcPr>
            <w:tcW w:type="dxa" w:w="6192"/>
            <w:shd w:fill="FFFFFF"/>
            <w:tcMar>
              <w:top w:w="80" w:type="dxa"/>
              <w:bottom w:w="80" w:type="dxa"/>
              <w:left w:w="120" w:type="dxa"/>
              <w:right w:w="120" w:type="dxa"/>
            </w:tcMar>
          </w:tcPr>
          <w:p>
            <w:pPr>
              <w:spacing w:after="0"/>
            </w:pPr>
            <w:r>
              <w:rPr>
                <w:color w:val="1E293B"/>
                <w:sz w:val="20"/>
              </w:rPr>
              <w:t>Route all automated network egress through configured proxy tiers / rotating egress gateways to prevent target tracking or operational IP disclosure.</w:t>
            </w:r>
          </w:p>
        </w:tc>
      </w:tr>
      <w:tr>
        <w:tc>
          <w:tcPr>
            <w:tcW w:type="dxa" w:w="3168"/>
            <w:shd w:fill="F1F5F9"/>
            <w:tcMar>
              <w:top w:w="80" w:type="dxa"/>
              <w:bottom w:w="80" w:type="dxa"/>
              <w:left w:w="120" w:type="dxa"/>
              <w:right w:w="120" w:type="dxa"/>
            </w:tcMar>
          </w:tcPr>
          <w:p>
            <w:pPr>
              <w:spacing w:after="0"/>
            </w:pPr>
            <w:r>
              <w:rPr>
                <w:b/>
                <w:color w:val="1E293B"/>
                <w:sz w:val="20"/>
              </w:rPr>
              <w:t>API Rate &amp; Recursion Loops</w:t>
            </w:r>
          </w:p>
        </w:tc>
        <w:tc>
          <w:tcPr>
            <w:tcW w:type="dxa" w:w="6192"/>
            <w:shd w:fill="F1F5F9"/>
            <w:tcMar>
              <w:top w:w="80" w:type="dxa"/>
              <w:bottom w:w="80" w:type="dxa"/>
              <w:left w:w="120" w:type="dxa"/>
              <w:right w:w="120" w:type="dxa"/>
            </w:tcMar>
          </w:tcPr>
          <w:p>
            <w:pPr>
              <w:spacing w:after="0"/>
            </w:pPr>
            <w:r>
              <w:rPr>
                <w:color w:val="1E293B"/>
                <w:sz w:val="20"/>
              </w:rPr>
              <w:t>Enforce hard token limits, depth recursion maximums (e.g., capping entity correlation at 3 hops), and per-domain request rate limits to prevent uncontrolled expansion.</w:t>
            </w:r>
          </w:p>
        </w:tc>
      </w:tr>
    </w:tbl>
    <w:p>
      <w:pPr>
        <w:spacing w:after="120"/>
      </w:pPr>
    </w:p>
    <w:p>
      <w:pPr>
        <w:keepNext/>
        <w:spacing w:before="320" w:after="120"/>
      </w:pPr>
      <w:r>
        <w:rPr>
          <w:rFonts w:ascii="Calibri" w:hAnsi="Calibri"/>
          <w:b/>
          <w:color w:val="1E3A8A"/>
          <w:sz w:val="28"/>
        </w:rPr>
        <w:t>4. Verification, Confidence &amp; Chain of Custody</w:t>
      </w:r>
    </w:p>
    <w:p>
      <w:pPr>
        <w:pStyle w:val="ListBullet"/>
        <w:spacing w:after="80"/>
      </w:pPr>
      <w:r>
        <w:rPr>
          <w:b/>
          <w:color w:val="1E293B"/>
        </w:rPr>
        <w:t xml:space="preserve">Mandatory Source Provenance: </w:t>
      </w:r>
      <w:r>
        <w:rPr>
          <w:color w:val="1E293B"/>
        </w:rPr>
        <w:t>Every discovered artifact, Indicator of Compromise (IOC), or entity link must be deterministically linked to an accessible URL, snapshot hash, or primary raw snippet. Unverifiable assertions must be flagged automatically as unverified.</w:t>
      </w:r>
    </w:p>
    <w:p>
      <w:pPr>
        <w:pStyle w:val="ListBullet"/>
        <w:spacing w:after="80"/>
      </w:pPr>
      <w:r>
        <w:rPr>
          <w:b/>
          <w:color w:val="1E293B"/>
        </w:rPr>
        <w:t xml:space="preserve">Standardized Confidence Rating: </w:t>
      </w:r>
      <w:r>
        <w:rPr>
          <w:color w:val="1E293B"/>
        </w:rPr>
        <w:t>Enforce structured confidence schemas (e.g., the Admiralty Code or High/Medium/Low credibility metrics) to qualify analytical assessments rather than stating speculative findings as definitive facts.</w:t>
      </w:r>
    </w:p>
    <w:p>
      <w:pPr>
        <w:pStyle w:val="ListBullet"/>
        <w:spacing w:after="80"/>
      </w:pPr>
      <w:r>
        <w:rPr>
          <w:b/>
          <w:color w:val="1E293B"/>
        </w:rPr>
        <w:t xml:space="preserve">Entity Resolution Hallucination Defense: </w:t>
      </w:r>
      <w:r>
        <w:rPr>
          <w:color w:val="1E293B"/>
        </w:rPr>
        <w:t>Require multi-attribute validation checks before linking distinct digital profiles or personas, mitigating false correlations derived from superficial alias or name similarities.</w:t>
      </w:r>
    </w:p>
    <w:p>
      <w:pPr>
        <w:spacing w:after="20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b/>
                <w:color w:val="0284C7"/>
              </w:rPr>
              <w:t xml:space="preserve">Implementation Checklist: </w:t>
            </w:r>
            <w:r>
              <w:rPr>
                <w:color w:val="64748B"/>
                <w:sz w:val="19"/>
              </w:rPr>
              <w:t>Apply these guardrails sequentially across the input pipeline, agent execution loop, and output generation stages to ensure regulatory defensibility, OPSEC integrity, and high-fidelity intelligence output.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