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Questionnaire</w:t>
      </w:r>
    </w:p>
    <w:p w:rsidR="00000000" w:rsidDel="00000000" w:rsidP="00000000" w:rsidRDefault="00000000" w:rsidRPr="00000000" w14:paraId="00000002">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Company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Founded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Industry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Net Income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9"/>
        <w:gridCol w:w="1500"/>
        <w:gridCol w:w="1500"/>
        <w:gridCol w:w="1500"/>
        <w:tblGridChange w:id="0">
          <w:tblGrid>
            <w:gridCol w:w="4529"/>
            <w:gridCol w:w="1500"/>
            <w:gridCol w:w="1500"/>
            <w:gridCol w:w="150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Financial Ratios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3"/>
              <w:tblW w:w="41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2625"/>
              <w:tblGridChange w:id="0">
                <w:tblGrid>
                  <w:gridCol w:w="1560"/>
                  <w:gridCol w:w="2625"/>
                </w:tblGrid>
              </w:tblGridChange>
            </w:tblGrid>
            <w:tr>
              <w:trPr>
                <w:cantSplit w:val="0"/>
                <w:trHeight w:val="7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Profit Margin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Current Ratio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Debt to Equity Ratio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Future Outlook Summary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 Lifetime Value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logo image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Q. What is WECOMMIT dummy Inc.'s specific target year for achieving carbon neutrality, and what does this goal entail?</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Q. How many women are on the board of directors of WECOMMIT dummy Inc., and what percentage of the board does this represent? Additionally, what is the representation of women in executive leadership positions?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projected growth rate for WECOMMIT dummy Inc.'s cloud services division in the upcoming fiscal year?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 many years has it been since WECOMMIT dummy Inc. was founded from now?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6">
      <w:pPr>
        <w:rPr/>
      </w:pPr>
      <w:r w:rsidDel="00000000" w:rsidR="00000000" w:rsidRPr="00000000">
        <w:rPr>
          <w:rtl w:val="0"/>
        </w:rPr>
        <w:tab/>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SitzpySsmv6A990zZAa9I4yaVA==">CgMxLjA4AHIhMVFPT18tZlB3N0RQZHNoSTJzSWNBdHpaZzFjRDJMUllw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