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pPr>
      <w:r>
        <w:rPr>
          <w:rFonts w:ascii="Calibri" w:hAnsi="Calibri" w:eastAsia="Microsoft YaHei"/>
          <w:b w:val="0"/>
          <w:i w:val="0"/>
          <w:color w:val="203040"/>
          <w:sz w:val="22"/>
        </w:rPr>
      </w:r>
    </w:p>
    <w:p>
      <w:pPr>
        <w:spacing w:before="0" w:after="160" w:line="300" w:lineRule="auto"/>
      </w:pPr>
      <w:r>
        <w:rPr>
          <w:rFonts w:ascii="Calibri" w:hAnsi="Calibri" w:eastAsia="Microsoft YaHei"/>
          <w:b w:val="0"/>
          <w:i w:val="0"/>
          <w:color w:val="203040"/>
          <w:sz w:val="22"/>
        </w:rPr>
      </w:r>
    </w:p>
    <w:p>
      <w:pPr>
        <w:spacing w:before="0" w:after="160" w:line="300" w:lineRule="auto"/>
      </w:pPr>
      <w:r>
        <w:rPr>
          <w:rFonts w:ascii="Calibri" w:hAnsi="Calibri" w:eastAsia="Microsoft YaHei"/>
          <w:b w:val="0"/>
          <w:i w:val="0"/>
          <w:color w:val="203040"/>
          <w:sz w:val="22"/>
        </w:rPr>
      </w:r>
    </w:p>
    <w:p>
      <w:pPr>
        <w:spacing w:before="0" w:after="160" w:line="300" w:lineRule="auto"/>
      </w:pPr>
      <w:r>
        <w:rPr>
          <w:rFonts w:ascii="Calibri" w:hAnsi="Calibri" w:eastAsia="Microsoft YaHei"/>
          <w:b w:val="0"/>
          <w:i w:val="0"/>
          <w:color w:val="203040"/>
          <w:sz w:val="22"/>
        </w:rPr>
      </w:r>
    </w:p>
    <w:p>
      <w:pPr>
        <w:spacing w:before="0" w:after="320" w:line="300" w:lineRule="auto"/>
        <w:jc w:val="center"/>
      </w:pPr>
      <w:r>
        <w:rPr>
          <w:rFonts w:ascii="Calibri" w:hAnsi="Calibri" w:eastAsia="Microsoft YaHei"/>
          <w:b/>
          <w:i w:val="0"/>
          <w:color w:val="2E74B5"/>
          <w:sz w:val="22"/>
        </w:rPr>
        <w:t>研究实验方案</w:t>
      </w:r>
    </w:p>
    <w:p>
      <w:pPr>
        <w:spacing w:before="0" w:after="160" w:line="300" w:lineRule="auto"/>
        <w:jc w:val="center"/>
      </w:pPr>
      <w:r>
        <w:rPr>
          <w:rFonts w:ascii="Calibri" w:hAnsi="Calibri" w:eastAsia="Microsoft YaHei"/>
          <w:b/>
          <w:i w:val="0"/>
          <w:color w:val="203040"/>
          <w:sz w:val="54"/>
        </w:rPr>
        <w:t>EGFR/VEGFR2 双靶点从头分子生成</w:t>
      </w:r>
    </w:p>
    <w:p>
      <w:pPr>
        <w:spacing w:before="0" w:after="440" w:line="300" w:lineRule="auto"/>
        <w:jc w:val="center"/>
      </w:pPr>
      <w:r>
        <w:rPr>
          <w:rFonts w:ascii="Calibri" w:hAnsi="Calibri" w:eastAsia="Microsoft YaHei"/>
          <w:b w:val="0"/>
          <w:i w:val="0"/>
          <w:color w:val="1F4D78"/>
          <w:sz w:val="30"/>
        </w:rPr>
        <w:t>开源基线、方法差异、预期优势与SCI二区实验标准</w:t>
      </w:r>
    </w:p>
    <w:p>
      <w:pPr>
        <w:spacing w:before="0" w:after="1440" w:line="300" w:lineRule="auto"/>
        <w:jc w:val="center"/>
      </w:pPr>
      <w:r>
        <w:rPr>
          <w:rFonts w:ascii="Calibri" w:hAnsi="Calibri" w:eastAsia="Microsoft YaHei"/>
          <w:b w:val="0"/>
          <w:i w:val="0"/>
          <w:color w:val="667085"/>
          <w:sz w:val="22"/>
        </w:rPr>
        <w:t>基于锁定 POLYGON VAE 的多 Critic PPO、三阶段动态奖励权重与自适应多尺度探索</w:t>
      </w:r>
    </w:p>
    <w:p>
      <w:pPr>
        <w:spacing w:before="0" w:after="120" w:line="300" w:lineRule="auto"/>
        <w:jc w:val="center"/>
      </w:pPr>
      <w:r>
        <w:rPr>
          <w:rFonts w:ascii="Calibri" w:hAnsi="Calibri" w:eastAsia="Microsoft YaHei"/>
          <w:b w:val="0"/>
          <w:i w:val="0"/>
          <w:color w:val="667085"/>
          <w:sz w:val="20"/>
        </w:rPr>
        <w:t>版本：V1.0  |  日期：2026-07-13</w:t>
      </w:r>
    </w:p>
    <w:p>
      <w:pPr>
        <w:spacing w:before="0" w:after="120" w:line="300" w:lineRule="auto"/>
        <w:jc w:val="center"/>
      </w:pPr>
      <w:r>
        <w:rPr>
          <w:rFonts w:ascii="Calibri" w:hAnsi="Calibri" w:eastAsia="Microsoft YaHei"/>
          <w:b w:val="0"/>
          <w:i/>
          <w:color w:val="667085"/>
          <w:sz w:val="20"/>
        </w:rPr>
        <w:t>用途：正式基线复现、严格消融、统一评估与论文实验组织</w:t>
      </w:r>
    </w:p>
    <w:p>
      <w:r>
        <w:br w:type="page"/>
      </w:r>
    </w:p>
    <w:p>
      <w:pPr>
        <w:pStyle w:val="Heading1"/>
        <w:keepNext/>
      </w:pPr>
      <w:r>
        <w:rPr>
          <w:rFonts w:ascii="Calibri" w:hAnsi="Calibri" w:eastAsia="Microsoft YaHei"/>
          <w:b/>
          <w:color w:val="2E74B5"/>
          <w:sz w:val="32"/>
        </w:rPr>
        <w:t>执行摘要</w:t>
      </w:r>
    </w:p>
    <w:p>
      <w:pPr>
        <w:spacing w:before="80" w:after="160" w:line="288" w:lineRule="auto"/>
        <w:ind w:left="173" w:right="173"/>
        <w:shd w:fill="EAF4EA"/>
        <w:pBdr>
          <w:left w:val="single" w:sz="18" w:space="8" w:color="1F4D78"/>
        </w:pBdr>
      </w:pPr>
      <w:r>
        <w:rPr>
          <w:rFonts w:ascii="Calibri" w:hAnsi="Calibri" w:eastAsia="Microsoft YaHei"/>
          <w:b/>
          <w:color w:val="1F4D78"/>
          <w:sz w:val="22"/>
        </w:rPr>
        <w:t xml:space="preserve">结论  </w:t>
      </w:r>
      <w:r>
        <w:rPr>
          <w:rFonts w:ascii="Calibri" w:hAnsi="Calibri" w:eastAsia="Microsoft YaHei"/>
          <w:color w:val="203040"/>
          <w:sz w:val="22"/>
        </w:rPr>
        <w:t>五个正式从头生成基线在数量上足以支撑SCI二区投稿，但前提是使用官方代码、统一数据和oracle预算，并通过统计检验、严格消融、质量约束Pareto指标及预测器可靠性验证形成完整证据链。</w:t>
      </w:r>
    </w:p>
    <w:p>
      <w:pPr>
        <w:spacing w:before="0" w:after="120" w:line="300" w:lineRule="auto"/>
      </w:pPr>
      <w:r>
        <w:rPr>
          <w:rFonts w:ascii="Calibri" w:hAnsi="Calibri" w:eastAsia="Microsoft YaHei"/>
          <w:b w:val="0"/>
          <w:i w:val="0"/>
          <w:color w:val="203040"/>
          <w:sz w:val="22"/>
        </w:rPr>
        <w:t>正式主表建议采用 POLYGON-original、REINVENT4 de novo、DrugEx v2、MO-LSO 和 Mothra。HN-GFN作为可选现代补强；MARS与MolecularGraphPareto/NSGA-II保留在补充材料中，因为它们不是严格意义上不依赖母体分子的从头生成器。</w:t>
      </w:r>
    </w:p>
    <w:p>
      <w:pPr>
        <w:pStyle w:val="ListBullet"/>
        <w:spacing w:before="0" w:after="80" w:line="300" w:lineRule="auto"/>
        <w:ind w:left="540" w:hanging="271"/>
      </w:pPr>
      <w:r>
        <w:rPr>
          <w:rFonts w:ascii="Calibri" w:hAnsi="Calibri" w:eastAsia="Microsoft YaHei"/>
          <w:color w:val="203040"/>
          <w:sz w:val="22"/>
        </w:rPr>
        <w:t>核心公平原则：相同训练/参考数据、相同EGFR/VEGFR2预测器、相同10,240次oracle调用预算、相同种子数量与统一后处理。</w:t>
      </w:r>
    </w:p>
    <w:p>
      <w:pPr>
        <w:pStyle w:val="ListBullet"/>
        <w:spacing w:before="0" w:after="80" w:line="300" w:lineRule="auto"/>
        <w:ind w:left="540" w:hanging="271"/>
      </w:pPr>
      <w:r>
        <w:rPr>
          <w:rFonts w:ascii="Calibri" w:hAnsi="Calibri" w:eastAsia="Microsoft YaHei"/>
          <w:color w:val="203040"/>
          <w:sz w:val="22"/>
        </w:rPr>
        <w:t>论文的主要结论不能只建立在原始HV上；需要同时呈现质量约束HV、总质量产率、骨架多样性、预测器适用域和docking结果。</w:t>
      </w:r>
    </w:p>
    <w:p>
      <w:pPr>
        <w:pStyle w:val="ListBullet"/>
        <w:spacing w:before="0" w:after="80" w:line="300" w:lineRule="auto"/>
        <w:ind w:left="540" w:hanging="271"/>
      </w:pPr>
      <w:r>
        <w:rPr>
          <w:rFonts w:ascii="Calibri" w:hAnsi="Calibri" w:eastAsia="Microsoft YaHei"/>
          <w:color w:val="203040"/>
          <w:sz w:val="22"/>
        </w:rPr>
        <w:t>当前项目中的CPRL-style和MO-LSO-style属于受控近似实现，不能替代原论文官方代码复现。</w:t>
      </w:r>
    </w:p>
    <w:p>
      <w:pPr>
        <w:pStyle w:val="ListBullet"/>
        <w:spacing w:before="0" w:after="80" w:line="300" w:lineRule="auto"/>
        <w:ind w:left="540" w:hanging="271"/>
      </w:pPr>
      <w:r>
        <w:rPr>
          <w:rFonts w:ascii="Calibri" w:hAnsi="Calibri" w:eastAsia="Microsoft YaHei"/>
          <w:color w:val="203040"/>
          <w:sz w:val="22"/>
        </w:rPr>
        <w:t>当前奖励塑形V2筛选未通过预设晋级门槛；后续必须先解决一步式潜空间决策与Pareto扩展信号不匹配的问题。</w:t>
      </w:r>
    </w:p>
    <w:p>
      <w:pPr>
        <w:pStyle w:val="Heading1"/>
        <w:keepNext/>
      </w:pPr>
      <w:r>
        <w:rPr>
          <w:rFonts w:ascii="Calibri" w:hAnsi="Calibri" w:eastAsia="Microsoft YaHei"/>
          <w:b/>
          <w:color w:val="2E74B5"/>
          <w:sz w:val="32"/>
        </w:rPr>
        <w:t>1. 研究问题与从头生成定义</w:t>
      </w:r>
    </w:p>
    <w:p>
      <w:pPr>
        <w:spacing w:before="0" w:after="120" w:line="300" w:lineRule="auto"/>
      </w:pPr>
      <w:r>
        <w:rPr>
          <w:rFonts w:ascii="Calibri" w:hAnsi="Calibri" w:eastAsia="Microsoft YaHei"/>
          <w:b w:val="0"/>
          <w:i w:val="0"/>
          <w:color w:val="203040"/>
          <w:sz w:val="22"/>
        </w:rPr>
        <w:t>本项目研究EGFR与VEGFR2双靶点分子的从头生成。这里的“从头生成”是指在推理或优化阶段不要求输入一个待改造的母体分子，而是从SMILES起始符、空分子状态或随机潜变量生成完整新分子。该定义允许模型事先使用分子数据进行监督预训练。</w:t>
      </w:r>
    </w:p>
    <w:p>
      <w:pPr>
        <w:spacing w:before="0" w:after="120" w:line="300" w:lineRule="auto"/>
      </w:pPr>
      <w:r>
        <w:rPr>
          <w:rFonts w:ascii="Calibri" w:hAnsi="Calibri" w:eastAsia="Microsoft YaHei"/>
          <w:b w:val="0"/>
          <w:i w:val="0"/>
          <w:color w:val="203040"/>
          <w:sz w:val="22"/>
        </w:rPr>
        <w:t>因此，REINVENT Mol2Mol、MARS和传统GraphGA虽然可以产生新结构，但其主要搜索过程依赖输入分子或初始分子种群，不进入严格的从头生成主表。它们仍可作为补充搜索基线，用于说明不同搜索范式的性能上界和质量代价。</w:t>
      </w:r>
    </w:p>
    <w:p>
      <w:pPr>
        <w:pStyle w:val="Heading1"/>
        <w:keepNext/>
      </w:pPr>
      <w:r>
        <w:rPr>
          <w:rFonts w:ascii="Calibri" w:hAnsi="Calibri" w:eastAsia="Microsoft YaHei"/>
          <w:b/>
          <w:color w:val="2E74B5"/>
          <w:sz w:val="32"/>
        </w:rPr>
        <w:t>2. 正式从头生成基线总表</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40"/>
        <w:gridCol w:w="3490"/>
        <w:gridCol w:w="1440"/>
        <w:gridCol w:w="990"/>
        <w:gridCol w:w="1900"/>
      </w:tblGrid>
      <w:tr>
        <w:trPr>
          <w:tblHeader w:val="true"/>
        </w:trPr>
        <w:tc>
          <w:tcPr>
            <w:tcW w:type="dxa" w:w="154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方法</w:t>
            </w:r>
          </w:p>
        </w:tc>
        <w:tc>
          <w:tcPr>
            <w:tcW w:type="dxa" w:w="349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方法组合</w:t>
            </w:r>
          </w:p>
        </w:tc>
        <w:tc>
          <w:tcPr>
            <w:tcW w:type="dxa" w:w="144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生成空间</w:t>
            </w:r>
          </w:p>
        </w:tc>
        <w:tc>
          <w:tcPr>
            <w:tcW w:type="dxa" w:w="99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发表</w:t>
            </w:r>
          </w:p>
        </w:tc>
        <w:tc>
          <w:tcPr>
            <w:tcW w:type="dxa" w:w="19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定位</w:t>
            </w:r>
          </w:p>
        </w:tc>
      </w:tr>
      <w:tr>
        <w:tc>
          <w:tcPr>
            <w:tcW w:type="dxa" w:w="154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POLYGON-original</w:t>
            </w:r>
          </w:p>
        </w:tc>
        <w:tc>
          <w:tcPr>
            <w:tcW w:type="dxa" w:w="349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GRU-VAE + 潜空间迭代采样/优化 + 双靶点预测 + QED/SA</w:t>
            </w:r>
          </w:p>
        </w:tc>
        <w:tc>
          <w:tcPr>
            <w:tcW w:type="dxa" w:w="1440"/>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VAE潜空间</w:t>
            </w:r>
          </w:p>
        </w:tc>
        <w:tc>
          <w:tcPr>
            <w:tcW w:type="dxa" w:w="990"/>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2024</w:t>
            </w:r>
          </w:p>
        </w:tc>
        <w:tc>
          <w:tcPr>
            <w:tcW w:type="dxa" w:w="19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必做；同底层模型</w:t>
            </w:r>
          </w:p>
        </w:tc>
      </w:tr>
      <w:tr>
        <w:tc>
          <w:tcPr>
            <w:tcW w:type="dxa" w:w="154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REINVENT4 de novo</w:t>
            </w:r>
          </w:p>
        </w:tc>
        <w:tc>
          <w:tcPr>
            <w:tcW w:type="dxa" w:w="349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预训练SMILES生成器 + Prior/Agent RL + 多组分评分</w:t>
            </w:r>
          </w:p>
        </w:tc>
        <w:tc>
          <w:tcPr>
            <w:tcW w:type="dxa" w:w="1440"/>
            <w:shd w:fill="F8FAFC"/>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SMILES自回归</w:t>
            </w:r>
          </w:p>
        </w:tc>
        <w:tc>
          <w:tcPr>
            <w:tcW w:type="dxa" w:w="990"/>
            <w:shd w:fill="F8FAFC"/>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2024</w:t>
            </w:r>
          </w:p>
        </w:tc>
        <w:tc>
          <w:tcPr>
            <w:tcW w:type="dxa" w:w="19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必做；经典RL</w:t>
            </w:r>
          </w:p>
        </w:tc>
      </w:tr>
      <w:tr>
        <w:tc>
          <w:tcPr>
            <w:tcW w:type="dxa" w:w="154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DrugEx v2</w:t>
            </w:r>
          </w:p>
        </w:tc>
        <w:tc>
          <w:tcPr>
            <w:tcW w:type="dxa" w:w="349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RNN + 探索网络 + Pareto排序 + Tanimoto拥挤度 + 交叉/变异</w:t>
            </w:r>
          </w:p>
        </w:tc>
        <w:tc>
          <w:tcPr>
            <w:tcW w:type="dxa" w:w="1440"/>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SMILES自回归</w:t>
            </w:r>
          </w:p>
        </w:tc>
        <w:tc>
          <w:tcPr>
            <w:tcW w:type="dxa" w:w="990"/>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2021</w:t>
            </w:r>
          </w:p>
        </w:tc>
        <w:tc>
          <w:tcPr>
            <w:tcW w:type="dxa" w:w="19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必做；Pareto-RL</w:t>
            </w:r>
          </w:p>
        </w:tc>
      </w:tr>
      <w:tr>
        <w:tc>
          <w:tcPr>
            <w:tcW w:type="dxa" w:w="154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MO-LSO</w:t>
            </w:r>
          </w:p>
        </w:tc>
        <w:tc>
          <w:tcPr>
            <w:tcW w:type="dxa" w:w="349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JT-VAE + 非支配排序 + Pareto秩加权重训 + 迭代数据增强</w:t>
            </w:r>
          </w:p>
        </w:tc>
        <w:tc>
          <w:tcPr>
            <w:tcW w:type="dxa" w:w="1440"/>
            <w:shd w:fill="F8FAFC"/>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VAE潜空间</w:t>
            </w:r>
          </w:p>
        </w:tc>
        <w:tc>
          <w:tcPr>
            <w:tcW w:type="dxa" w:w="990"/>
            <w:shd w:fill="F8FAFC"/>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2022/2024</w:t>
            </w:r>
          </w:p>
        </w:tc>
        <w:tc>
          <w:tcPr>
            <w:tcW w:type="dxa" w:w="19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必做；潜空间重训</w:t>
            </w:r>
          </w:p>
        </w:tc>
      </w:tr>
      <w:tr>
        <w:tc>
          <w:tcPr>
            <w:tcW w:type="dxa" w:w="154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Mothra</w:t>
            </w:r>
          </w:p>
        </w:tc>
        <w:tc>
          <w:tcPr>
            <w:tcW w:type="dxa" w:w="349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RNN + Pareto多目标MCTS + 节点选择/扩展/模拟</w:t>
            </w:r>
          </w:p>
        </w:tc>
        <w:tc>
          <w:tcPr>
            <w:tcW w:type="dxa" w:w="1440"/>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SMILES生成树</w:t>
            </w:r>
          </w:p>
        </w:tc>
        <w:tc>
          <w:tcPr>
            <w:tcW w:type="dxa" w:w="990"/>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2024</w:t>
            </w:r>
          </w:p>
        </w:tc>
        <w:tc>
          <w:tcPr>
            <w:tcW w:type="dxa" w:w="19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必做；树搜索</w:t>
            </w:r>
          </w:p>
        </w:tc>
      </w:tr>
      <w:tr>
        <w:tc>
          <w:tcPr>
            <w:tcW w:type="dxa" w:w="154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HN-GFN</w:t>
            </w:r>
          </w:p>
        </w:tc>
        <w:tc>
          <w:tcPr>
            <w:tcW w:type="dxa" w:w="349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偏好条件化超网络 + GFlowNet + 多目标BO + 离策略共享</w:t>
            </w:r>
          </w:p>
        </w:tc>
        <w:tc>
          <w:tcPr>
            <w:tcW w:type="dxa" w:w="1440"/>
            <w:shd w:fill="F8FAFC"/>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分子图构建</w:t>
            </w:r>
          </w:p>
        </w:tc>
        <w:tc>
          <w:tcPr>
            <w:tcW w:type="dxa" w:w="990"/>
            <w:shd w:fill="F8FAFC"/>
            <w:tcMar>
              <w:top w:w="80" w:type="dxa"/>
              <w:start w:w="120" w:type="dxa"/>
              <w:bottom w:w="80" w:type="dxa"/>
              <w:end w:w="120" w:type="dxa"/>
            </w:tcMar>
            <w:vAlign w:val="center"/>
          </w:tcPr>
          <w:p>
            <w:pPr>
              <w:spacing w:before="0" w:after="0" w:line="269" w:lineRule="auto"/>
              <w:jc w:val="center"/>
            </w:pPr>
            <w:r>
              <w:rPr>
                <w:rFonts w:ascii="Calibri" w:hAnsi="Calibri" w:eastAsia="Microsoft YaHei"/>
                <w:b w:val="0"/>
                <w:color w:val="203040"/>
                <w:sz w:val="17"/>
              </w:rPr>
              <w:t>2023</w:t>
            </w:r>
          </w:p>
        </w:tc>
        <w:tc>
          <w:tcPr>
            <w:tcW w:type="dxa" w:w="19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可选补强</w:t>
            </w:r>
          </w:p>
        </w:tc>
      </w:tr>
    </w:tbl>
    <w:p>
      <w:pPr>
        <w:spacing w:before="0" w:after="60" w:line="300" w:lineRule="auto"/>
      </w:pPr>
      <w:r>
        <w:rPr>
          <w:rFonts w:ascii="Calibri" w:hAnsi="Calibri" w:eastAsia="Microsoft YaHei"/>
          <w:b w:val="0"/>
          <w:i w:val="0"/>
          <w:color w:val="203040"/>
          <w:sz w:val="2"/>
        </w:rPr>
      </w:r>
    </w:p>
    <w:p>
      <w:pPr>
        <w:spacing w:before="80" w:after="160" w:line="288" w:lineRule="auto"/>
        <w:ind w:left="173" w:right="173"/>
        <w:shd w:fill="FFF6DF"/>
        <w:pBdr>
          <w:left w:val="single" w:sz="18" w:space="8" w:color="1F4D78"/>
        </w:pBdr>
      </w:pPr>
      <w:r>
        <w:rPr>
          <w:rFonts w:ascii="Calibri" w:hAnsi="Calibri" w:eastAsia="Microsoft YaHei"/>
          <w:b/>
          <w:color w:val="1F4D78"/>
          <w:sz w:val="22"/>
        </w:rPr>
        <w:t xml:space="preserve">重要区分  </w:t>
      </w:r>
      <w:r>
        <w:rPr>
          <w:rFonts w:ascii="Calibri" w:hAnsi="Calibri" w:eastAsia="Microsoft YaHei"/>
          <w:color w:val="203040"/>
          <w:sz w:val="22"/>
        </w:rPr>
        <w:t>Polygon-random只是锁定VAE后的随机采样，不代表完整POLYGON优化算法。正式比较应同时包含Polygon-random、POLYGON-original和Ours-full，以隔离“生成器质量”和“优化算法”的贡献。</w:t>
      </w:r>
    </w:p>
    <w:p>
      <w:pPr>
        <w:pStyle w:val="Heading1"/>
        <w:keepNext/>
      </w:pPr>
      <w:r>
        <w:rPr>
          <w:rFonts w:ascii="Calibri" w:hAnsi="Calibri" w:eastAsia="Microsoft YaHei"/>
          <w:b/>
          <w:color w:val="2E74B5"/>
          <w:sz w:val="32"/>
        </w:rPr>
        <w:t>3. 各基线方法介绍</w:t>
      </w:r>
    </w:p>
    <w:p>
      <w:pPr>
        <w:pStyle w:val="Heading2"/>
        <w:keepNext/>
      </w:pPr>
      <w:r>
        <w:rPr>
          <w:rFonts w:ascii="Calibri" w:hAnsi="Calibri" w:eastAsia="Microsoft YaHei"/>
          <w:b/>
          <w:color w:val="2E74B5"/>
          <w:sz w:val="26"/>
        </w:rPr>
        <w:t>3.1 POLYGON-original</w:t>
      </w:r>
    </w:p>
    <w:p>
      <w:pPr>
        <w:spacing w:before="0" w:after="120" w:line="300" w:lineRule="auto"/>
      </w:pPr>
      <w:r>
        <w:rPr>
          <w:rFonts w:ascii="Calibri" w:hAnsi="Calibri" w:eastAsia="Microsoft YaHei"/>
          <w:b w:val="0"/>
          <w:i w:val="0"/>
          <w:color w:val="203040"/>
          <w:sz w:val="22"/>
        </w:rPr>
        <w:t>POLYGON使用GRU编码器和解码器构成VAE，将SMILES映射到连续潜空间，再根据双靶点活性、药物相似性和合成难度对潜空间样本进行迭代优化。它与本项目具有最强的可比性，因为本项目底层VAE正来自POLYGON训练体系。原论文还包含双靶点候选的合成与实验验证，因此是不可缺少的同源基线。</w:t>
      </w:r>
    </w:p>
    <w:p>
      <w:pPr>
        <w:spacing w:before="0" w:after="120" w:line="300" w:lineRule="auto"/>
      </w:pPr>
      <w:r>
        <w:rPr>
          <w:rFonts w:ascii="Calibri" w:hAnsi="Calibri" w:eastAsia="Microsoft YaHei"/>
          <w:b w:val="0"/>
          <w:i w:val="0"/>
          <w:color w:val="1F4D78"/>
          <w:sz w:val="22"/>
        </w:rPr>
        <w:t>优势：与本项目数据表示和生成空间一致；可验证PPO、多Critic与动态权重是否真正优于原生优化器。局限：主要依赖标量化综合奖励，缺少目标独立价值估计和显式前沿反馈。</w:t>
      </w:r>
    </w:p>
    <w:p>
      <w:pPr>
        <w:spacing w:before="0" w:after="80" w:line="276" w:lineRule="auto"/>
      </w:pPr>
      <w:r>
        <w:rPr>
          <w:rFonts w:ascii="Calibri" w:hAnsi="Calibri" w:eastAsia="Microsoft YaHei"/>
          <w:b/>
          <w:color w:val="667085"/>
          <w:sz w:val="19"/>
        </w:rPr>
        <w:t>论文：</w:t>
      </w:r>
      <w:hyperlink r:id="rId11">
        <w:r>
          <w:rPr>
            <w:rFonts w:ascii="Calibri" w:hAnsi="Calibri" w:eastAsia="Microsoft YaHei"/>
            <w:color w:val="2E74B5"/>
            <w:u w:val="single"/>
          </w:rPr>
          <w:t>Nature Communications 2024</w:t>
        </w:r>
      </w:hyperlink>
    </w:p>
    <w:p>
      <w:pPr>
        <w:spacing w:before="0" w:after="80" w:line="276" w:lineRule="auto"/>
      </w:pPr>
      <w:r>
        <w:rPr>
          <w:rFonts w:ascii="Calibri" w:hAnsi="Calibri" w:eastAsia="Microsoft YaHei"/>
          <w:b/>
          <w:color w:val="667085"/>
          <w:sz w:val="19"/>
        </w:rPr>
        <w:t>代码：</w:t>
      </w:r>
      <w:hyperlink r:id="rId12">
        <w:r>
          <w:rPr>
            <w:rFonts w:ascii="Calibri" w:hAnsi="Calibri" w:eastAsia="Microsoft YaHei"/>
            <w:color w:val="2E74B5"/>
            <w:u w:val="single"/>
          </w:rPr>
          <w:t>bpmunson/polygon</w:t>
        </w:r>
      </w:hyperlink>
    </w:p>
    <w:p>
      <w:pPr>
        <w:pStyle w:val="Heading2"/>
        <w:keepNext/>
      </w:pPr>
      <w:r>
        <w:rPr>
          <w:rFonts w:ascii="Calibri" w:hAnsi="Calibri" w:eastAsia="Microsoft YaHei"/>
          <w:b/>
          <w:color w:val="2E74B5"/>
          <w:sz w:val="26"/>
        </w:rPr>
        <w:t>3.2 REINVENT4 de novo</w:t>
      </w:r>
    </w:p>
    <w:p>
      <w:pPr>
        <w:spacing w:before="0" w:after="120" w:line="300" w:lineRule="auto"/>
      </w:pPr>
      <w:r>
        <w:rPr>
          <w:rFonts w:ascii="Calibri" w:hAnsi="Calibri" w:eastAsia="Microsoft YaHei"/>
          <w:b w:val="0"/>
          <w:i w:val="0"/>
          <w:color w:val="203040"/>
          <w:sz w:val="22"/>
        </w:rPr>
        <w:t>REINVENT4由预训练Prior初始化Agent，通过强化学习提高满足多组分评分函数的SMILES生成概率。de novo模式不需要输入母体分子，能够从起始符逐Token生成完整结构，是工业界和分子生成研究中常用的目标导向基线。</w:t>
      </w:r>
    </w:p>
    <w:p>
      <w:pPr>
        <w:spacing w:before="0" w:after="120" w:line="300" w:lineRule="auto"/>
      </w:pPr>
      <w:r>
        <w:rPr>
          <w:rFonts w:ascii="Calibri" w:hAnsi="Calibri" w:eastAsia="Microsoft YaHei"/>
          <w:b w:val="0"/>
          <w:i w:val="0"/>
          <w:color w:val="1F4D78"/>
          <w:sz w:val="22"/>
        </w:rPr>
        <w:t>优势：工程成熟、可扩展评分组件丰富、生成效率高。局限：多目标通常被压缩为单一标量，容易出现奖励投机或向单一区域坍缩；项目已有初步结果显示其新颖性高，但QED和质量通过率偏低。</w:t>
      </w:r>
    </w:p>
    <w:p>
      <w:pPr>
        <w:spacing w:before="0" w:after="80" w:line="276" w:lineRule="auto"/>
      </w:pPr>
      <w:r>
        <w:rPr>
          <w:rFonts w:ascii="Calibri" w:hAnsi="Calibri" w:eastAsia="Microsoft YaHei"/>
          <w:b/>
          <w:color w:val="667085"/>
          <w:sz w:val="19"/>
        </w:rPr>
        <w:t>论文：</w:t>
      </w:r>
      <w:hyperlink r:id="rId13">
        <w:r>
          <w:rPr>
            <w:rFonts w:ascii="Calibri" w:hAnsi="Calibri" w:eastAsia="Microsoft YaHei"/>
            <w:color w:val="2E74B5"/>
            <w:u w:val="single"/>
          </w:rPr>
          <w:t>REINVENT 4, Journal of Cheminformatics 2024</w:t>
        </w:r>
      </w:hyperlink>
    </w:p>
    <w:p>
      <w:pPr>
        <w:spacing w:before="0" w:after="80" w:line="276" w:lineRule="auto"/>
      </w:pPr>
      <w:r>
        <w:rPr>
          <w:rFonts w:ascii="Calibri" w:hAnsi="Calibri" w:eastAsia="Microsoft YaHei"/>
          <w:b/>
          <w:color w:val="667085"/>
          <w:sz w:val="19"/>
        </w:rPr>
        <w:t>代码：</w:t>
      </w:r>
      <w:hyperlink r:id="rId14">
        <w:r>
          <w:rPr>
            <w:rFonts w:ascii="Calibri" w:hAnsi="Calibri" w:eastAsia="Microsoft YaHei"/>
            <w:color w:val="2E74B5"/>
            <w:u w:val="single"/>
          </w:rPr>
          <w:t>MolecularAI/REINVENT4</w:t>
        </w:r>
      </w:hyperlink>
    </w:p>
    <w:p>
      <w:pPr>
        <w:pStyle w:val="Heading2"/>
        <w:keepNext/>
      </w:pPr>
      <w:r>
        <w:rPr>
          <w:rFonts w:ascii="Calibri" w:hAnsi="Calibri" w:eastAsia="Microsoft YaHei"/>
          <w:b/>
          <w:color w:val="2E74B5"/>
          <w:sz w:val="26"/>
        </w:rPr>
        <w:t>3.3 DrugEx v2</w:t>
      </w:r>
    </w:p>
    <w:p>
      <w:pPr>
        <w:spacing w:before="0" w:after="120" w:line="300" w:lineRule="auto"/>
      </w:pPr>
      <w:r>
        <w:rPr>
          <w:rFonts w:ascii="Calibri" w:hAnsi="Calibri" w:eastAsia="Microsoft YaHei"/>
          <w:b w:val="0"/>
          <w:i w:val="0"/>
          <w:color w:val="203040"/>
          <w:sz w:val="22"/>
        </w:rPr>
        <w:t>DrugEx v2将RNN生成器、固定探索网络和强化学习结合，并利用非支配排序、Tanimoto指纹拥挤度以及进化式交叉/变异构造多目标奖励。它是与本项目最接近的官方开源Pareto强化学习基线。</w:t>
      </w:r>
    </w:p>
    <w:p>
      <w:pPr>
        <w:spacing w:before="0" w:after="120" w:line="300" w:lineRule="auto"/>
      </w:pPr>
      <w:r>
        <w:rPr>
          <w:rFonts w:ascii="Calibri" w:hAnsi="Calibri" w:eastAsia="Microsoft YaHei"/>
          <w:b w:val="0"/>
          <w:i w:val="0"/>
          <w:color w:val="1F4D78"/>
          <w:sz w:val="22"/>
        </w:rPr>
        <w:t>优势：奖励直接利用Pareto排名和化学空间拥挤度，兼顾目标平衡与结构多样性。局限：共享策略/价值信号仍可能混合目标贡献；缺少按前沿缺口反馈更新的连续动态偏好机制。</w:t>
      </w:r>
    </w:p>
    <w:p>
      <w:pPr>
        <w:spacing w:before="0" w:after="80" w:line="276" w:lineRule="auto"/>
      </w:pPr>
      <w:r>
        <w:rPr>
          <w:rFonts w:ascii="Calibri" w:hAnsi="Calibri" w:eastAsia="Microsoft YaHei"/>
          <w:b/>
          <w:color w:val="667085"/>
          <w:sz w:val="19"/>
        </w:rPr>
        <w:t>论文：</w:t>
      </w:r>
      <w:hyperlink r:id="rId15">
        <w:r>
          <w:rPr>
            <w:rFonts w:ascii="Calibri" w:hAnsi="Calibri" w:eastAsia="Microsoft YaHei"/>
            <w:color w:val="2E74B5"/>
            <w:u w:val="single"/>
          </w:rPr>
          <w:t>DrugEx v2, Journal of Cheminformatics 2021</w:t>
        </w:r>
      </w:hyperlink>
    </w:p>
    <w:p>
      <w:pPr>
        <w:spacing w:before="0" w:after="80" w:line="276" w:lineRule="auto"/>
      </w:pPr>
      <w:r>
        <w:rPr>
          <w:rFonts w:ascii="Calibri" w:hAnsi="Calibri" w:eastAsia="Microsoft YaHei"/>
          <w:b/>
          <w:color w:val="667085"/>
          <w:sz w:val="19"/>
        </w:rPr>
        <w:t>代码：</w:t>
      </w:r>
      <w:hyperlink r:id="rId16">
        <w:r>
          <w:rPr>
            <w:rFonts w:ascii="Calibri" w:hAnsi="Calibri" w:eastAsia="Microsoft YaHei"/>
            <w:color w:val="2E74B5"/>
            <w:u w:val="single"/>
          </w:rPr>
          <w:t>XuhanLiu/DrugEx</w:t>
        </w:r>
      </w:hyperlink>
    </w:p>
    <w:p>
      <w:pPr>
        <w:pStyle w:val="Heading2"/>
        <w:keepNext/>
      </w:pPr>
      <w:r>
        <w:rPr>
          <w:rFonts w:ascii="Calibri" w:hAnsi="Calibri" w:eastAsia="Microsoft YaHei"/>
          <w:b/>
          <w:color w:val="2E74B5"/>
          <w:sz w:val="26"/>
        </w:rPr>
        <w:t>3.4 MO-LSO</w:t>
      </w:r>
    </w:p>
    <w:p>
      <w:pPr>
        <w:spacing w:before="0" w:after="120" w:line="300" w:lineRule="auto"/>
      </w:pPr>
      <w:r>
        <w:rPr>
          <w:rFonts w:ascii="Calibri" w:hAnsi="Calibri" w:eastAsia="Microsoft YaHei"/>
          <w:b w:val="0"/>
          <w:i w:val="0"/>
          <w:color w:val="203040"/>
          <w:sz w:val="22"/>
        </w:rPr>
        <w:t>MO-LSO根据非支配排序得到Pareto效率排名，再用排名权重重新训练JT-VAE，使生成模型的概率质量逐步向优势区域移动。它避免了固定权重标量化，并通过迭代重训提升多目标采样效率。</w:t>
      </w:r>
    </w:p>
    <w:p>
      <w:pPr>
        <w:spacing w:before="0" w:after="120" w:line="300" w:lineRule="auto"/>
      </w:pPr>
      <w:r>
        <w:rPr>
          <w:rFonts w:ascii="Calibri" w:hAnsi="Calibri" w:eastAsia="Microsoft YaHei"/>
          <w:b w:val="0"/>
          <w:i w:val="0"/>
          <w:color w:val="1F4D78"/>
          <w:sz w:val="22"/>
        </w:rPr>
        <w:t>优势：训练目标与Pareto排序直接对齐，能够从生成分布层面扩大优势区域。局限：每轮需要重训生成器，计算成本高；潜空间可能向少数优势区域收缩，且不便快速切换用户偏好。</w:t>
      </w:r>
    </w:p>
    <w:p>
      <w:pPr>
        <w:spacing w:before="0" w:after="80" w:line="276" w:lineRule="auto"/>
      </w:pPr>
      <w:r>
        <w:rPr>
          <w:rFonts w:ascii="Calibri" w:hAnsi="Calibri" w:eastAsia="Microsoft YaHei"/>
          <w:b/>
          <w:color w:val="667085"/>
          <w:sz w:val="19"/>
        </w:rPr>
        <w:t>论文：</w:t>
      </w:r>
      <w:hyperlink r:id="rId17">
        <w:r>
          <w:rPr>
            <w:rFonts w:ascii="Calibri" w:hAnsi="Calibri" w:eastAsia="Microsoft YaHei"/>
            <w:color w:val="2E74B5"/>
            <w:u w:val="single"/>
          </w:rPr>
          <w:t>MO-LSO, Patterns 2024（预印本2022）</w:t>
        </w:r>
      </w:hyperlink>
    </w:p>
    <w:p>
      <w:pPr>
        <w:spacing w:before="0" w:after="80" w:line="276" w:lineRule="auto"/>
      </w:pPr>
      <w:r>
        <w:rPr>
          <w:rFonts w:ascii="Calibri" w:hAnsi="Calibri" w:eastAsia="Microsoft YaHei"/>
          <w:b/>
          <w:color w:val="667085"/>
          <w:sz w:val="19"/>
        </w:rPr>
        <w:t>代码：</w:t>
      </w:r>
      <w:hyperlink r:id="rId18">
        <w:r>
          <w:rPr>
            <w:rFonts w:ascii="Calibri" w:hAnsi="Calibri" w:eastAsia="Microsoft YaHei"/>
            <w:color w:val="2E74B5"/>
            <w:u w:val="single"/>
          </w:rPr>
          <w:t>nafizabeer/GMD-MO-LSO</w:t>
        </w:r>
      </w:hyperlink>
    </w:p>
    <w:p>
      <w:pPr>
        <w:pStyle w:val="Heading2"/>
        <w:keepNext/>
      </w:pPr>
      <w:r>
        <w:rPr>
          <w:rFonts w:ascii="Calibri" w:hAnsi="Calibri" w:eastAsia="Microsoft YaHei"/>
          <w:b/>
          <w:color w:val="2E74B5"/>
          <w:sz w:val="26"/>
        </w:rPr>
        <w:t>3.5 Mothra</w:t>
      </w:r>
    </w:p>
    <w:p>
      <w:pPr>
        <w:spacing w:before="0" w:after="120" w:line="300" w:lineRule="auto"/>
      </w:pPr>
      <w:r>
        <w:rPr>
          <w:rFonts w:ascii="Calibri" w:hAnsi="Calibri" w:eastAsia="Microsoft YaHei"/>
          <w:b w:val="0"/>
          <w:i w:val="0"/>
          <w:color w:val="203040"/>
          <w:sz w:val="22"/>
        </w:rPr>
        <w:t>Mothra使用RNN提供SMILES生成先验，并在每个生成决策上执行Pareto多目标蒙特卡罗树搜索。树搜索通过选择、扩展、模拟和回传显式探索不同目标权衡方向。其论文任务包含EGFR和VEGFR2相关激酶设置，领域匹配度较高。</w:t>
      </w:r>
    </w:p>
    <w:p>
      <w:pPr>
        <w:spacing w:before="0" w:after="120" w:line="300" w:lineRule="auto"/>
      </w:pPr>
      <w:r>
        <w:rPr>
          <w:rFonts w:ascii="Calibri" w:hAnsi="Calibri" w:eastAsia="Microsoft YaHei"/>
          <w:b w:val="0"/>
          <w:i w:val="0"/>
          <w:color w:val="1F4D78"/>
          <w:sz w:val="22"/>
        </w:rPr>
        <w:t>优势：直接在生成树中维护多目标搜索方向，不依赖简单线性加权。局限：MCTS需要大量节点评价，墙钟时间较长；分支策略和搜索深度敏感，批量GPU并行效率通常低于潜空间策略。</w:t>
      </w:r>
    </w:p>
    <w:p>
      <w:pPr>
        <w:spacing w:before="0" w:after="80" w:line="276" w:lineRule="auto"/>
      </w:pPr>
      <w:r>
        <w:rPr>
          <w:rFonts w:ascii="Calibri" w:hAnsi="Calibri" w:eastAsia="Microsoft YaHei"/>
          <w:b/>
          <w:color w:val="667085"/>
          <w:sz w:val="19"/>
        </w:rPr>
        <w:t>论文：</w:t>
      </w:r>
      <w:hyperlink r:id="rId19">
        <w:r>
          <w:rPr>
            <w:rFonts w:ascii="Calibri" w:hAnsi="Calibri" w:eastAsia="Microsoft YaHei"/>
            <w:color w:val="2E74B5"/>
            <w:u w:val="single"/>
          </w:rPr>
          <w:t>Mothra, JCIM 2024</w:t>
        </w:r>
      </w:hyperlink>
    </w:p>
    <w:p>
      <w:pPr>
        <w:spacing w:before="0" w:after="80" w:line="276" w:lineRule="auto"/>
      </w:pPr>
      <w:r>
        <w:rPr>
          <w:rFonts w:ascii="Calibri" w:hAnsi="Calibri" w:eastAsia="Microsoft YaHei"/>
          <w:b/>
          <w:color w:val="667085"/>
          <w:sz w:val="19"/>
        </w:rPr>
        <w:t>代码：</w:t>
      </w:r>
      <w:hyperlink r:id="rId20">
        <w:r>
          <w:rPr>
            <w:rFonts w:ascii="Calibri" w:hAnsi="Calibri" w:eastAsia="Microsoft YaHei"/>
            <w:color w:val="2E74B5"/>
            <w:u w:val="single"/>
          </w:rPr>
          <w:t>sekijima-lab/Mothra</w:t>
        </w:r>
      </w:hyperlink>
    </w:p>
    <w:p>
      <w:pPr>
        <w:pStyle w:val="Heading2"/>
        <w:keepNext/>
      </w:pPr>
      <w:r>
        <w:rPr>
          <w:rFonts w:ascii="Calibri" w:hAnsi="Calibri" w:eastAsia="Microsoft YaHei"/>
          <w:b/>
          <w:color w:val="2E74B5"/>
          <w:sz w:val="26"/>
        </w:rPr>
        <w:t>3.6 HN-GFN（可选）</w:t>
      </w:r>
    </w:p>
    <w:p>
      <w:pPr>
        <w:spacing w:before="0" w:after="120" w:line="300" w:lineRule="auto"/>
      </w:pPr>
      <w:r>
        <w:rPr>
          <w:rFonts w:ascii="Calibri" w:hAnsi="Calibri" w:eastAsia="Microsoft YaHei"/>
          <w:b w:val="0"/>
          <w:i w:val="0"/>
          <w:color w:val="203040"/>
          <w:sz w:val="22"/>
        </w:rPr>
        <w:t>HN-GFN使用偏好条件化超网络控制GFlowNet，并将其作为多目标贝叶斯优化的采集函数优化器，以较少oracle调用生成分布广泛的Pareto候选。</w:t>
      </w:r>
    </w:p>
    <w:p>
      <w:pPr>
        <w:spacing w:before="0" w:after="120" w:line="300" w:lineRule="auto"/>
      </w:pPr>
      <w:r>
        <w:rPr>
          <w:rFonts w:ascii="Calibri" w:hAnsi="Calibri" w:eastAsia="Microsoft YaHei"/>
          <w:b w:val="0"/>
          <w:i w:val="0"/>
          <w:color w:val="1F4D78"/>
          <w:sz w:val="22"/>
        </w:rPr>
        <w:t>优势：天然强调多模态采样、偏好泛化和样本效率。局限：原生动作空间与当前SMILES/VAE体系差异较大，公平适配成本高；若改动过多，容易变成非原生复现。</w:t>
      </w:r>
    </w:p>
    <w:p>
      <w:pPr>
        <w:spacing w:before="0" w:after="80" w:line="276" w:lineRule="auto"/>
      </w:pPr>
      <w:r>
        <w:rPr>
          <w:rFonts w:ascii="Calibri" w:hAnsi="Calibri" w:eastAsia="Microsoft YaHei"/>
          <w:b/>
          <w:color w:val="667085"/>
          <w:sz w:val="19"/>
        </w:rPr>
        <w:t>论文：</w:t>
      </w:r>
      <w:hyperlink r:id="rId21">
        <w:r>
          <w:rPr>
            <w:rFonts w:ascii="Calibri" w:hAnsi="Calibri" w:eastAsia="Microsoft YaHei"/>
            <w:color w:val="2E74B5"/>
            <w:u w:val="single"/>
          </w:rPr>
          <w:t>HN-GFN, NeurIPS 2023</w:t>
        </w:r>
      </w:hyperlink>
    </w:p>
    <w:p>
      <w:pPr>
        <w:spacing w:before="0" w:after="80" w:line="276" w:lineRule="auto"/>
      </w:pPr>
      <w:r>
        <w:rPr>
          <w:rFonts w:ascii="Calibri" w:hAnsi="Calibri" w:eastAsia="Microsoft YaHei"/>
          <w:b/>
          <w:color w:val="667085"/>
          <w:sz w:val="19"/>
        </w:rPr>
        <w:t>代码：</w:t>
      </w:r>
      <w:hyperlink r:id="rId22">
        <w:r>
          <w:rPr>
            <w:rFonts w:ascii="Calibri" w:hAnsi="Calibri" w:eastAsia="Microsoft YaHei"/>
            <w:color w:val="2E74B5"/>
            <w:u w:val="single"/>
          </w:rPr>
          <w:t>violet-sto/HN-GFN</w:t>
        </w:r>
      </w:hyperlink>
    </w:p>
    <w:p>
      <w:pPr>
        <w:pStyle w:val="Heading1"/>
        <w:keepNext/>
      </w:pPr>
      <w:r>
        <w:rPr>
          <w:rFonts w:ascii="Calibri" w:hAnsi="Calibri" w:eastAsia="Microsoft YaHei"/>
          <w:b/>
          <w:color w:val="2E74B5"/>
          <w:sz w:val="32"/>
        </w:rPr>
        <w:t>4. 本项目方法概述</w:t>
      </w:r>
    </w:p>
    <w:p>
      <w:pPr>
        <w:spacing w:before="0" w:after="120" w:line="300" w:lineRule="auto"/>
      </w:pPr>
      <w:r>
        <w:rPr>
          <w:rFonts w:ascii="Calibri" w:hAnsi="Calibri" w:eastAsia="Microsoft YaHei"/>
          <w:b w:val="0"/>
          <w:i w:val="0"/>
          <w:color w:val="203040"/>
          <w:sz w:val="22"/>
        </w:rPr>
        <w:t>本项目以已锁定的POLYGON VAE作为分子生成底座，在连续潜空间中使用PPO学习扰动策略，同时对EGFR和VEGFR2建立目标独立的critic。奖励函数中的目标权重由Pareto前沿反馈驱动，并采用三阶段调度；探索模块通过多温度、多步长通道覆盖不同尺度的潜空间邻域。</w:t>
      </w:r>
    </w:p>
    <w:p>
      <w:pPr>
        <w:pStyle w:val="ListNumber"/>
        <w:spacing w:before="0" w:after="80" w:line="300" w:lineRule="auto"/>
        <w:ind w:left="540" w:hanging="279"/>
      </w:pPr>
      <w:r>
        <w:rPr>
          <w:rFonts w:ascii="Calibri" w:hAnsi="Calibri" w:eastAsia="Microsoft YaHei"/>
          <w:color w:val="203040"/>
          <w:sz w:val="22"/>
        </w:rPr>
        <w:t>共享高质量生成器：固定使用合法率和新颖性均超过93%的POLYGON VAE检查点，主温度为1.0。</w:t>
      </w:r>
    </w:p>
    <w:p>
      <w:pPr>
        <w:pStyle w:val="ListNumber"/>
        <w:spacing w:before="0" w:after="80" w:line="300" w:lineRule="auto"/>
        <w:ind w:left="540" w:hanging="279"/>
      </w:pPr>
      <w:r>
        <w:rPr>
          <w:rFonts w:ascii="Calibri" w:hAnsi="Calibri" w:eastAsia="Microsoft YaHei"/>
          <w:color w:val="203040"/>
          <w:sz w:val="22"/>
        </w:rPr>
        <w:t>多Critic价值分解：分别估计EGFR与VEGFR2回报，降低目标间价值估计干扰。</w:t>
      </w:r>
    </w:p>
    <w:p>
      <w:pPr>
        <w:pStyle w:val="ListNumber"/>
        <w:spacing w:before="0" w:after="80" w:line="300" w:lineRule="auto"/>
        <w:ind w:left="540" w:hanging="279"/>
      </w:pPr>
      <w:r>
        <w:rPr>
          <w:rFonts w:ascii="Calibri" w:hAnsi="Calibri" w:eastAsia="Microsoft YaHei"/>
          <w:color w:val="203040"/>
          <w:sz w:val="22"/>
        </w:rPr>
        <w:t>三阶段动态目标权重：根据训练阶段和Pareto覆盖反馈更新奖励函数权重，而不是只在critic损失中重加权。</w:t>
      </w:r>
    </w:p>
    <w:p>
      <w:pPr>
        <w:pStyle w:val="ListNumber"/>
        <w:spacing w:before="0" w:after="80" w:line="300" w:lineRule="auto"/>
        <w:ind w:left="540" w:hanging="279"/>
      </w:pPr>
      <w:r>
        <w:rPr>
          <w:rFonts w:ascii="Calibri" w:hAnsi="Calibri" w:eastAsia="Microsoft YaHei"/>
          <w:color w:val="203040"/>
          <w:sz w:val="22"/>
        </w:rPr>
        <w:t>自适应多尺度探索：多温度负责解码多样性，多步长负责不同距离的潜空间扰动，并动态分配通道。</w:t>
      </w:r>
    </w:p>
    <w:p>
      <w:pPr>
        <w:pStyle w:val="ListNumber"/>
        <w:spacing w:before="0" w:after="80" w:line="300" w:lineRule="auto"/>
        <w:ind w:left="540" w:hanging="279"/>
      </w:pPr>
      <w:r>
        <w:rPr>
          <w:rFonts w:ascii="Calibri" w:hAnsi="Calibri" w:eastAsia="Microsoft YaHei"/>
          <w:color w:val="203040"/>
          <w:sz w:val="22"/>
        </w:rPr>
        <w:t>统一质量与可靠性审计：同时评估QED、SA、结构警报、Lipinski、骨架多样性和RF树间分歧。</w:t>
      </w:r>
    </w:p>
    <w:p>
      <w:pPr>
        <w:spacing w:before="80" w:after="160" w:line="288" w:lineRule="auto"/>
        <w:ind w:left="173" w:right="173"/>
        <w:shd w:fill="FCEBEC"/>
        <w:pBdr>
          <w:left w:val="single" w:sz="18" w:space="8" w:color="1F4D78"/>
        </w:pBdr>
      </w:pPr>
      <w:r>
        <w:rPr>
          <w:rFonts w:ascii="Calibri" w:hAnsi="Calibri" w:eastAsia="Microsoft YaHei"/>
          <w:b/>
          <w:color w:val="1F4D78"/>
          <w:sz w:val="22"/>
        </w:rPr>
        <w:t xml:space="preserve">当前实现边界  </w:t>
      </w:r>
      <w:r>
        <w:rPr>
          <w:rFonts w:ascii="Calibri" w:hAnsi="Calibri" w:eastAsia="Microsoft YaHei"/>
          <w:color w:val="203040"/>
          <w:sz w:val="22"/>
        </w:rPr>
        <w:t>现有“多步长”主要是从独立潜变量执行不同尺度的一步扰动，并非真正K步时序轨迹。因此PPO尚不能充分学习连续移动到前沿稀疏区域的策略；这是下一阶段结构性优化重点。</w:t>
      </w:r>
    </w:p>
    <w:p>
      <w:pPr>
        <w:pStyle w:val="Heading1"/>
        <w:keepNext/>
      </w:pPr>
      <w:r>
        <w:rPr>
          <w:rFonts w:ascii="Calibri" w:hAnsi="Calibri" w:eastAsia="Microsoft YaHei"/>
          <w:b/>
          <w:color w:val="2E74B5"/>
          <w:sz w:val="32"/>
        </w:rPr>
        <w:t>5. 与五个主基线的差异、潜在优势与风险</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250"/>
        <w:gridCol w:w="2360"/>
        <w:gridCol w:w="2960"/>
        <w:gridCol w:w="2790"/>
      </w:tblGrid>
      <w:tr>
        <w:trPr>
          <w:tblHeader w:val="true"/>
        </w:trPr>
        <w:tc>
          <w:tcPr>
            <w:tcW w:type="dxa" w:w="125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对手</w:t>
            </w:r>
          </w:p>
        </w:tc>
        <w:tc>
          <w:tcPr>
            <w:tcW w:type="dxa" w:w="23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关键差异</w:t>
            </w:r>
          </w:p>
        </w:tc>
        <w:tc>
          <w:tcPr>
            <w:tcW w:type="dxa" w:w="29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本项目潜在优势</w:t>
            </w:r>
          </w:p>
        </w:tc>
        <w:tc>
          <w:tcPr>
            <w:tcW w:type="dxa" w:w="279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必须正视的风险</w:t>
            </w:r>
          </w:p>
        </w:tc>
      </w:tr>
      <w:tr>
        <w:tc>
          <w:tcPr>
            <w:tcW w:type="dxa" w:w="125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POLYGON</w:t>
            </w:r>
          </w:p>
        </w:tc>
        <w:tc>
          <w:tcPr>
            <w:tcW w:type="dxa" w:w="23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同一VAE；原生迭代潜空间优化</w:t>
            </w:r>
          </w:p>
        </w:tc>
        <w:tc>
          <w:tcPr>
            <w:tcW w:type="dxa" w:w="29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多Critic、动态前沿反馈和PPO策略可隔离优化器贡献</w:t>
            </w:r>
          </w:p>
        </w:tc>
        <w:tc>
          <w:tcPr>
            <w:tcW w:type="dxa" w:w="279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若VAE本身主导结果，算法增益可能很小</w:t>
            </w:r>
          </w:p>
        </w:tc>
      </w:tr>
      <w:tr>
        <w:tc>
          <w:tcPr>
            <w:tcW w:type="dxa" w:w="12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REINVENT</w:t>
            </w:r>
          </w:p>
        </w:tc>
        <w:tc>
          <w:tcPr>
            <w:tcW w:type="dxa" w:w="23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SMILES RL；多目标多为标量评分</w:t>
            </w:r>
          </w:p>
        </w:tc>
        <w:tc>
          <w:tcPr>
            <w:tcW w:type="dxa" w:w="29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潜空间先验有望维持合法率、QED和SA，多Critic保留目标信号</w:t>
            </w:r>
          </w:p>
        </w:tc>
        <w:tc>
          <w:tcPr>
            <w:tcW w:type="dxa" w:w="279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REINVENT生成新颖性和极值活性可能更高</w:t>
            </w:r>
          </w:p>
        </w:tc>
      </w:tr>
      <w:tr>
        <w:tc>
          <w:tcPr>
            <w:tcW w:type="dxa" w:w="125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DrugEx v2</w:t>
            </w:r>
          </w:p>
        </w:tc>
        <w:tc>
          <w:tcPr>
            <w:tcW w:type="dxa" w:w="23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Pareto排序、拥挤度和探索网络</w:t>
            </w:r>
          </w:p>
        </w:tc>
        <w:tc>
          <w:tcPr>
            <w:tcW w:type="dxa" w:w="29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动态权重可针对当前前沿缺口纠偏，critic分解增强可解释性</w:t>
            </w:r>
          </w:p>
        </w:tc>
        <w:tc>
          <w:tcPr>
            <w:tcW w:type="dxa" w:w="279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DrugEx奖励与Pareto更直接，可能在覆盖上占优</w:t>
            </w:r>
          </w:p>
        </w:tc>
      </w:tr>
      <w:tr>
        <w:tc>
          <w:tcPr>
            <w:tcW w:type="dxa" w:w="12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MO-LSO</w:t>
            </w:r>
          </w:p>
        </w:tc>
        <w:tc>
          <w:tcPr>
            <w:tcW w:type="dxa" w:w="23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Pareto秩加权重训生成器</w:t>
            </w:r>
          </w:p>
        </w:tc>
        <w:tc>
          <w:tcPr>
            <w:tcW w:type="dxa" w:w="29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无需频繁重训VAE，偏好可在线变化，策略推理可摊销</w:t>
            </w:r>
          </w:p>
        </w:tc>
        <w:tc>
          <w:tcPr>
            <w:tcW w:type="dxa" w:w="279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当前一步PPO的前沿扩展能力可能弱于重塑生成分布</w:t>
            </w:r>
          </w:p>
        </w:tc>
      </w:tr>
      <w:tr>
        <w:tc>
          <w:tcPr>
            <w:tcW w:type="dxa" w:w="125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Mothra</w:t>
            </w:r>
          </w:p>
        </w:tc>
        <w:tc>
          <w:tcPr>
            <w:tcW w:type="dxa" w:w="23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显式Pareto MCTS逐Token规划</w:t>
            </w:r>
          </w:p>
        </w:tc>
        <w:tc>
          <w:tcPr>
            <w:tcW w:type="dxa" w:w="29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潜空间批量并行、策略复用和生成速度更有优势</w:t>
            </w:r>
          </w:p>
        </w:tc>
        <w:tc>
          <w:tcPr>
            <w:tcW w:type="dxa" w:w="279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MCTS可进行更深的前瞻搜索，HV覆盖可能更强</w:t>
            </w:r>
          </w:p>
        </w:tc>
      </w:tr>
    </w:tbl>
    <w:p>
      <w:pPr>
        <w:spacing w:before="0" w:after="60" w:line="300" w:lineRule="auto"/>
      </w:pPr>
      <w:r>
        <w:rPr>
          <w:rFonts w:ascii="Calibri" w:hAnsi="Calibri" w:eastAsia="Microsoft YaHei"/>
          <w:b w:val="0"/>
          <w:i w:val="0"/>
          <w:color w:val="203040"/>
          <w:sz w:val="2"/>
        </w:rPr>
      </w:r>
    </w:p>
    <w:p>
      <w:pPr>
        <w:pStyle w:val="Heading2"/>
        <w:keepNext/>
      </w:pPr>
      <w:r>
        <w:rPr>
          <w:rFonts w:ascii="Calibri" w:hAnsi="Calibri" w:eastAsia="Microsoft YaHei"/>
          <w:b/>
          <w:color w:val="2E74B5"/>
          <w:sz w:val="26"/>
        </w:rPr>
        <w:t>5.1 多Critic与动态目标权重联合的理论价值</w:t>
      </w:r>
    </w:p>
    <w:p>
      <w:pPr>
        <w:pStyle w:val="ListBullet"/>
        <w:spacing w:before="0" w:after="80" w:line="300" w:lineRule="auto"/>
        <w:ind w:left="540" w:hanging="271"/>
      </w:pPr>
      <w:r>
        <w:rPr>
          <w:rFonts w:ascii="Calibri" w:hAnsi="Calibri" w:eastAsia="Microsoft YaHei"/>
          <w:color w:val="203040"/>
          <w:sz w:val="22"/>
        </w:rPr>
        <w:t>目标解耦：每个critic保留独立目标回报，避免共享标量价值网络掩盖EGFR/VEGFR2之间的冲突。</w:t>
      </w:r>
    </w:p>
    <w:p>
      <w:pPr>
        <w:pStyle w:val="ListBullet"/>
        <w:spacing w:before="0" w:after="80" w:line="300" w:lineRule="auto"/>
        <w:ind w:left="540" w:hanging="271"/>
      </w:pPr>
      <w:r>
        <w:rPr>
          <w:rFonts w:ascii="Calibri" w:hAnsi="Calibri" w:eastAsia="Microsoft YaHei"/>
          <w:color w:val="203040"/>
          <w:sz w:val="22"/>
        </w:rPr>
        <w:t>反馈闭环：动态权重根据前沿缺口改变策略优化方向，多critic则提供对应目标的稳定价值估计。</w:t>
      </w:r>
    </w:p>
    <w:p>
      <w:pPr>
        <w:pStyle w:val="ListBullet"/>
        <w:spacing w:before="0" w:after="80" w:line="300" w:lineRule="auto"/>
        <w:ind w:left="540" w:hanging="271"/>
      </w:pPr>
      <w:r>
        <w:rPr>
          <w:rFonts w:ascii="Calibri" w:hAnsi="Calibri" w:eastAsia="Microsoft YaHei"/>
          <w:color w:val="203040"/>
          <w:sz w:val="22"/>
        </w:rPr>
        <w:t>可解释性：可以分别追踪权重变化、critic误差和各目标优势函数，解释前沿为何向某一区域扩展。</w:t>
      </w:r>
    </w:p>
    <w:p>
      <w:pPr>
        <w:pStyle w:val="ListBullet"/>
        <w:spacing w:before="0" w:after="80" w:line="300" w:lineRule="auto"/>
        <w:ind w:left="540" w:hanging="271"/>
      </w:pPr>
      <w:r>
        <w:rPr>
          <w:rFonts w:ascii="Calibri" w:hAnsi="Calibri" w:eastAsia="Microsoft YaHei"/>
          <w:color w:val="203040"/>
          <w:sz w:val="22"/>
        </w:rPr>
        <w:t>潜在协同：内部消融中，动态权重在多critic条件下带来约1个HV单位增益，而在单critic条件下未表现同样趋势；需要更严格的全上下文消融和统计检验确认。</w:t>
      </w:r>
    </w:p>
    <w:p>
      <w:pPr>
        <w:pStyle w:val="Heading2"/>
        <w:keepNext/>
      </w:pPr>
      <w:r>
        <w:rPr>
          <w:rFonts w:ascii="Calibri" w:hAnsi="Calibri" w:eastAsia="Microsoft YaHei"/>
          <w:b/>
          <w:color w:val="2E74B5"/>
          <w:sz w:val="26"/>
        </w:rPr>
        <w:t>5.2 本项目最可能形成的论文优势</w:t>
      </w:r>
    </w:p>
    <w:p>
      <w:pPr>
        <w:spacing w:before="80" w:after="160" w:line="288" w:lineRule="auto"/>
        <w:ind w:left="173" w:right="173"/>
        <w:shd w:fill="EAF4EA"/>
        <w:pBdr>
          <w:left w:val="single" w:sz="18" w:space="8" w:color="1F4D78"/>
        </w:pBdr>
      </w:pPr>
      <w:r>
        <w:rPr>
          <w:rFonts w:ascii="Calibri" w:hAnsi="Calibri" w:eastAsia="Microsoft YaHei"/>
          <w:b/>
          <w:color w:val="1F4D78"/>
          <w:sz w:val="22"/>
        </w:rPr>
        <w:t xml:space="preserve">推荐主张  </w:t>
      </w:r>
      <w:r>
        <w:rPr>
          <w:rFonts w:ascii="Calibri" w:hAnsi="Calibri" w:eastAsia="Microsoft YaHei"/>
          <w:color w:val="203040"/>
          <w:sz w:val="22"/>
        </w:rPr>
        <w:t>不是宣称所有指标全面击败所有算法，而是证明在相同oracle预算下，本方法能够以接近或更高的Pareto性能，显著提高药物质量、有效产率和可靠区域内的前沿覆盖。</w:t>
      </w:r>
    </w:p>
    <w:p>
      <w:pPr>
        <w:pStyle w:val="ListBullet"/>
        <w:spacing w:before="0" w:after="80" w:line="300" w:lineRule="auto"/>
        <w:ind w:left="540" w:hanging="271"/>
      </w:pPr>
      <w:r>
        <w:rPr>
          <w:rFonts w:ascii="Calibri" w:hAnsi="Calibri" w:eastAsia="Microsoft YaHei"/>
          <w:color w:val="203040"/>
          <w:sz w:val="22"/>
        </w:rPr>
        <w:t>相较REINVENT和GraphGA类方法，预计在QED、SA、质量通过率和总质量产率上更强。</w:t>
      </w:r>
    </w:p>
    <w:p>
      <w:pPr>
        <w:pStyle w:val="ListBullet"/>
        <w:spacing w:before="0" w:after="80" w:line="300" w:lineRule="auto"/>
        <w:ind w:left="540" w:hanging="271"/>
      </w:pPr>
      <w:r>
        <w:rPr>
          <w:rFonts w:ascii="Calibri" w:hAnsi="Calibri" w:eastAsia="Microsoft YaHei"/>
          <w:color w:val="203040"/>
          <w:sz w:val="22"/>
        </w:rPr>
        <w:t>相较固定权重方法，能够随前沿不平衡动态转移搜索资源。</w:t>
      </w:r>
    </w:p>
    <w:p>
      <w:pPr>
        <w:pStyle w:val="ListBullet"/>
        <w:spacing w:before="0" w:after="80" w:line="300" w:lineRule="auto"/>
        <w:ind w:left="540" w:hanging="271"/>
      </w:pPr>
      <w:r>
        <w:rPr>
          <w:rFonts w:ascii="Calibri" w:hAnsi="Calibri" w:eastAsia="Microsoft YaHei"/>
          <w:color w:val="203040"/>
          <w:sz w:val="22"/>
        </w:rPr>
        <w:t>相较MO-LSO，避免每轮重训生成器，并能记录连续的策略与偏好演化过程。</w:t>
      </w:r>
    </w:p>
    <w:p>
      <w:pPr>
        <w:pStyle w:val="ListBullet"/>
        <w:spacing w:before="0" w:after="80" w:line="300" w:lineRule="auto"/>
        <w:ind w:left="540" w:hanging="271"/>
      </w:pPr>
      <w:r>
        <w:rPr>
          <w:rFonts w:ascii="Calibri" w:hAnsi="Calibri" w:eastAsia="Microsoft YaHei"/>
          <w:color w:val="203040"/>
          <w:sz w:val="22"/>
        </w:rPr>
        <w:t>相较Mothra，潜空间批量生成更适合GPU并行，并具有摊销后的快速采样优势。</w:t>
      </w:r>
    </w:p>
    <w:p>
      <w:pPr>
        <w:pStyle w:val="Heading1"/>
        <w:keepNext/>
      </w:pPr>
      <w:r>
        <w:rPr>
          <w:rFonts w:ascii="Calibri" w:hAnsi="Calibri" w:eastAsia="Microsoft YaHei"/>
          <w:b/>
          <w:color w:val="2E74B5"/>
          <w:sz w:val="32"/>
        </w:rPr>
        <w:t>6. SCI二区目标所需实验强度</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5600"/>
        <w:gridCol w:w="2260"/>
      </w:tblGrid>
      <w:tr>
        <w:trPr>
          <w:tblHeader w:val="true"/>
        </w:trPr>
        <w:tc>
          <w:tcPr>
            <w:tcW w:type="dxa" w:w="15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层级</w:t>
            </w:r>
          </w:p>
        </w:tc>
        <w:tc>
          <w:tcPr>
            <w:tcW w:type="dxa" w:w="56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实验要求</w:t>
            </w:r>
          </w:p>
        </w:tc>
        <w:tc>
          <w:tcPr>
            <w:tcW w:type="dxa" w:w="22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评价</w:t>
            </w:r>
          </w:p>
        </w:tc>
      </w:tr>
      <w:tr>
        <w:tc>
          <w:tcPr>
            <w:tcW w:type="dxa" w:w="150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8"/>
              </w:rPr>
              <w:t>最低完整线</w:t>
            </w:r>
          </w:p>
        </w:tc>
        <w:tc>
          <w:tcPr>
            <w:tcW w:type="dxa" w:w="56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5个官方开源从头基线；10种子；统一10,240 oracle预算；核心消融；95%CI与多重校正</w:t>
            </w:r>
          </w:p>
        </w:tc>
        <w:tc>
          <w:tcPr>
            <w:tcW w:type="dxa" w:w="22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可投稿，但创新和稳健性仍可能被质疑</w:t>
            </w:r>
          </w:p>
        </w:tc>
      </w:tr>
      <w:tr>
        <w:tc>
          <w:tcPr>
            <w:tcW w:type="dxa" w:w="15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8"/>
              </w:rPr>
              <w:t>稳健二区线</w:t>
            </w:r>
          </w:p>
        </w:tc>
        <w:tc>
          <w:tcPr>
            <w:tcW w:type="dxa" w:w="56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最低完整线 + 预算曲线 + 严格质量约束 + 骨架多样性 + 预测器适用域 + 双靶点docking</w:t>
            </w:r>
          </w:p>
        </w:tc>
        <w:tc>
          <w:tcPr>
            <w:tcW w:type="dxa" w:w="22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推荐目标</w:t>
            </w:r>
          </w:p>
        </w:tc>
      </w:tr>
      <w:tr>
        <w:tc>
          <w:tcPr>
            <w:tcW w:type="dxa" w:w="150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8"/>
              </w:rPr>
              <w:t>强证据线</w:t>
            </w:r>
          </w:p>
        </w:tc>
        <w:tc>
          <w:tcPr>
            <w:tcW w:type="dxa" w:w="56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10-20种子；第二套活性预测器/外部验证；K步轨迹消融；候选合成可行性或回顾性实验验证</w:t>
            </w:r>
          </w:p>
        </w:tc>
        <w:tc>
          <w:tcPr>
            <w:tcW w:type="dxa" w:w="22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更有利于较强二区或一区边缘期刊</w:t>
            </w:r>
          </w:p>
        </w:tc>
      </w:tr>
    </w:tbl>
    <w:p>
      <w:pPr>
        <w:spacing w:before="0" w:after="60" w:line="300" w:lineRule="auto"/>
      </w:pPr>
      <w:r>
        <w:rPr>
          <w:rFonts w:ascii="Calibri" w:hAnsi="Calibri" w:eastAsia="Microsoft YaHei"/>
          <w:b w:val="0"/>
          <w:i w:val="0"/>
          <w:color w:val="203040"/>
          <w:sz w:val="2"/>
        </w:rPr>
      </w:r>
    </w:p>
    <w:p>
      <w:pPr>
        <w:pStyle w:val="Heading2"/>
        <w:keepNext/>
      </w:pPr>
      <w:r>
        <w:rPr>
          <w:rFonts w:ascii="Calibri" w:hAnsi="Calibri" w:eastAsia="Microsoft YaHei"/>
          <w:b/>
          <w:color w:val="2E74B5"/>
          <w:sz w:val="26"/>
        </w:rPr>
        <w:t>6.1 正式实验统一协议</w:t>
      </w:r>
    </w:p>
    <w:p>
      <w:pPr>
        <w:pStyle w:val="ListBullet"/>
        <w:spacing w:before="0" w:after="80" w:line="300" w:lineRule="auto"/>
        <w:ind w:left="540" w:hanging="271"/>
      </w:pPr>
      <w:r>
        <w:rPr>
          <w:rFonts w:ascii="Calibri" w:hAnsi="Calibri" w:eastAsia="Microsoft YaHei"/>
          <w:color w:val="203040"/>
          <w:sz w:val="22"/>
        </w:rPr>
        <w:t>数据：D:\code\myfolder\home\libin\work\data\train_smiles_only.txt；清洗、去重和训练/参考划分固定并保存哈希。</w:t>
      </w:r>
    </w:p>
    <w:p>
      <w:pPr>
        <w:pStyle w:val="ListBullet"/>
        <w:spacing w:before="0" w:after="80" w:line="300" w:lineRule="auto"/>
        <w:ind w:left="540" w:hanging="271"/>
      </w:pPr>
      <w:r>
        <w:rPr>
          <w:rFonts w:ascii="Calibri" w:hAnsi="Calibri" w:eastAsia="Microsoft YaHei"/>
          <w:color w:val="203040"/>
          <w:sz w:val="22"/>
        </w:rPr>
        <w:t>底层模型：本方法固定POLYGON VAE检查点；其他生成器按官方训练流程使用同一训练SMILES，不强行改变其原生结构。</w:t>
      </w:r>
    </w:p>
    <w:p>
      <w:pPr>
        <w:pStyle w:val="ListBullet"/>
        <w:spacing w:before="0" w:after="80" w:line="300" w:lineRule="auto"/>
        <w:ind w:left="540" w:hanging="271"/>
      </w:pPr>
      <w:r>
        <w:rPr>
          <w:rFonts w:ascii="Calibri" w:hAnsi="Calibri" w:eastAsia="Microsoft YaHei"/>
          <w:color w:val="203040"/>
          <w:sz w:val="22"/>
        </w:rPr>
        <w:t>目标oracle：所有方法调用完全相同的EGFR和VEGFR2 RF模型；缓存相同SMILES的重复预测，但重复样本仍计入生成预算。</w:t>
      </w:r>
    </w:p>
    <w:p>
      <w:pPr>
        <w:pStyle w:val="ListBullet"/>
        <w:spacing w:before="0" w:after="80" w:line="300" w:lineRule="auto"/>
        <w:ind w:left="540" w:hanging="271"/>
      </w:pPr>
      <w:r>
        <w:rPr>
          <w:rFonts w:ascii="Calibri" w:hAnsi="Calibri" w:eastAsia="Microsoft YaHei"/>
          <w:color w:val="203040"/>
          <w:sz w:val="22"/>
        </w:rPr>
        <w:t>预算：每个方法、每个种子最多10,240个oracle评价；额外报告1,024、2,048、5,120和10,240时的anytime曲线。</w:t>
      </w:r>
    </w:p>
    <w:p>
      <w:pPr>
        <w:pStyle w:val="ListBullet"/>
        <w:spacing w:before="0" w:after="80" w:line="300" w:lineRule="auto"/>
        <w:ind w:left="540" w:hanging="271"/>
      </w:pPr>
      <w:r>
        <w:rPr>
          <w:rFonts w:ascii="Calibri" w:hAnsi="Calibri" w:eastAsia="Microsoft YaHei"/>
          <w:color w:val="203040"/>
          <w:sz w:val="22"/>
        </w:rPr>
        <w:t>重复：正式主结果至少10个独立种子；关键Ours与最强基线建议扩展到20个种子。</w:t>
      </w:r>
    </w:p>
    <w:p>
      <w:pPr>
        <w:pStyle w:val="ListBullet"/>
        <w:spacing w:before="0" w:after="80" w:line="300" w:lineRule="auto"/>
        <w:ind w:left="540" w:hanging="271"/>
      </w:pPr>
      <w:r>
        <w:rPr>
          <w:rFonts w:ascii="Calibri" w:hAnsi="Calibri" w:eastAsia="Microsoft YaHei"/>
          <w:color w:val="203040"/>
          <w:sz w:val="22"/>
        </w:rPr>
        <w:t>后处理：使用相同RDKit版本、规范化SMILES、去盐规则、有效性判定、结构警报和QED/SA实现。</w:t>
      </w:r>
    </w:p>
    <w:p>
      <w:pPr>
        <w:pStyle w:val="ListBullet"/>
        <w:spacing w:before="0" w:after="80" w:line="300" w:lineRule="auto"/>
        <w:ind w:left="540" w:hanging="271"/>
      </w:pPr>
      <w:r>
        <w:rPr>
          <w:rFonts w:ascii="Calibri" w:hAnsi="Calibri" w:eastAsia="Microsoft YaHei"/>
          <w:color w:val="203040"/>
          <w:sz w:val="22"/>
        </w:rPr>
        <w:t>统计：报告均值、标准差、95% bootstrap CI、效应量；对多方法比较使用Holm校正。</w:t>
      </w:r>
    </w:p>
    <w:p>
      <w:pPr>
        <w:pStyle w:val="Heading2"/>
        <w:keepNext/>
      </w:pPr>
      <w:r>
        <w:rPr>
          <w:rFonts w:ascii="Calibri" w:hAnsi="Calibri" w:eastAsia="Microsoft YaHei"/>
          <w:b/>
          <w:color w:val="2E74B5"/>
          <w:sz w:val="26"/>
        </w:rPr>
        <w:t>6.2 必须完成的消融实验</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50"/>
        <w:gridCol w:w="4550"/>
        <w:gridCol w:w="2960"/>
      </w:tblGrid>
      <w:tr>
        <w:trPr>
          <w:tblHeader w:val="true"/>
        </w:trPr>
        <w:tc>
          <w:tcPr>
            <w:tcW w:type="dxa" w:w="185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变体</w:t>
            </w:r>
          </w:p>
        </w:tc>
        <w:tc>
          <w:tcPr>
            <w:tcW w:type="dxa" w:w="455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设置</w:t>
            </w:r>
          </w:p>
        </w:tc>
        <w:tc>
          <w:tcPr>
            <w:tcW w:type="dxa" w:w="29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回答的问题</w:t>
            </w:r>
          </w:p>
        </w:tc>
      </w:tr>
      <w:tr>
        <w:tc>
          <w:tcPr>
            <w:tcW w:type="dxa" w:w="185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8"/>
              </w:rPr>
              <w:t>完整方法</w:t>
            </w:r>
          </w:p>
        </w:tc>
        <w:tc>
          <w:tcPr>
            <w:tcW w:type="dxa" w:w="45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MultiCritic + 三阶段动态权重 + 自适应多温度/多步长</w:t>
            </w:r>
          </w:p>
        </w:tc>
        <w:tc>
          <w:tcPr>
            <w:tcW w:type="dxa" w:w="29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论文主方法</w:t>
            </w:r>
          </w:p>
        </w:tc>
      </w:tr>
      <w:tr>
        <w:tc>
          <w:tcPr>
            <w:tcW w:type="dxa" w:w="18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8"/>
              </w:rPr>
              <w:t>去多Critic</w:t>
            </w:r>
          </w:p>
        </w:tc>
        <w:tc>
          <w:tcPr>
            <w:tcW w:type="dxa" w:w="45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SingleCritic + 其余保持完整</w:t>
            </w:r>
          </w:p>
        </w:tc>
        <w:tc>
          <w:tcPr>
            <w:tcW w:type="dxa" w:w="29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多Critic独立贡献</w:t>
            </w:r>
          </w:p>
        </w:tc>
      </w:tr>
      <w:tr>
        <w:tc>
          <w:tcPr>
            <w:tcW w:type="dxa" w:w="185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8"/>
              </w:rPr>
              <w:t>去动态权重</w:t>
            </w:r>
          </w:p>
        </w:tc>
        <w:tc>
          <w:tcPr>
            <w:tcW w:type="dxa" w:w="45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固定权重 + 其余保持完整</w:t>
            </w:r>
          </w:p>
        </w:tc>
        <w:tc>
          <w:tcPr>
            <w:tcW w:type="dxa" w:w="29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前沿反馈贡献</w:t>
            </w:r>
          </w:p>
        </w:tc>
      </w:tr>
      <w:tr>
        <w:tc>
          <w:tcPr>
            <w:tcW w:type="dxa" w:w="18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8"/>
              </w:rPr>
              <w:t>去两者</w:t>
            </w:r>
          </w:p>
        </w:tc>
        <w:tc>
          <w:tcPr>
            <w:tcW w:type="dxa" w:w="45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SingleCritic + 固定权重 + 其余保持完整</w:t>
            </w:r>
          </w:p>
        </w:tc>
        <w:tc>
          <w:tcPr>
            <w:tcW w:type="dxa" w:w="29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联合协同效应</w:t>
            </w:r>
          </w:p>
        </w:tc>
      </w:tr>
      <w:tr>
        <w:tc>
          <w:tcPr>
            <w:tcW w:type="dxa" w:w="185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8"/>
              </w:rPr>
              <w:t>去自适应通道</w:t>
            </w:r>
          </w:p>
        </w:tc>
        <w:tc>
          <w:tcPr>
            <w:tcW w:type="dxa" w:w="45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均匀多尺度或单通道</w:t>
            </w:r>
          </w:p>
        </w:tc>
        <w:tc>
          <w:tcPr>
            <w:tcW w:type="dxa" w:w="29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通道分配贡献</w:t>
            </w:r>
          </w:p>
        </w:tc>
      </w:tr>
      <w:tr>
        <w:tc>
          <w:tcPr>
            <w:tcW w:type="dxa" w:w="18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8"/>
              </w:rPr>
              <w:t>仅多温度/仅多步长</w:t>
            </w:r>
          </w:p>
        </w:tc>
        <w:tc>
          <w:tcPr>
            <w:tcW w:type="dxa" w:w="45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保持同预算并分别启用</w:t>
            </w:r>
          </w:p>
        </w:tc>
        <w:tc>
          <w:tcPr>
            <w:tcW w:type="dxa" w:w="29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两类探索来源</w:t>
            </w:r>
          </w:p>
        </w:tc>
      </w:tr>
      <w:tr>
        <w:tc>
          <w:tcPr>
            <w:tcW w:type="dxa" w:w="185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8"/>
              </w:rPr>
              <w:t>阶段消融</w:t>
            </w:r>
          </w:p>
        </w:tc>
        <w:tc>
          <w:tcPr>
            <w:tcW w:type="dxa" w:w="45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分别去掉阶段1、阶段2、阶段3</w:t>
            </w:r>
          </w:p>
        </w:tc>
        <w:tc>
          <w:tcPr>
            <w:tcW w:type="dxa" w:w="296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三阶段设计必要性</w:t>
            </w:r>
          </w:p>
        </w:tc>
      </w:tr>
      <w:tr>
        <w:tc>
          <w:tcPr>
            <w:tcW w:type="dxa" w:w="18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8"/>
              </w:rPr>
              <w:t>轨迹长度</w:t>
            </w:r>
          </w:p>
        </w:tc>
        <w:tc>
          <w:tcPr>
            <w:tcW w:type="dxa" w:w="45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K=1、3、5真实时序潜空间轨迹</w:t>
            </w:r>
          </w:p>
        </w:tc>
        <w:tc>
          <w:tcPr>
            <w:tcW w:type="dxa" w:w="29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8"/>
              </w:rPr>
              <w:t>解决当前一步架构缺陷</w:t>
            </w:r>
          </w:p>
        </w:tc>
      </w:tr>
    </w:tbl>
    <w:p>
      <w:pPr>
        <w:spacing w:before="0" w:after="60" w:line="300" w:lineRule="auto"/>
      </w:pPr>
      <w:r>
        <w:rPr>
          <w:rFonts w:ascii="Calibri" w:hAnsi="Calibri" w:eastAsia="Microsoft YaHei"/>
          <w:b w:val="0"/>
          <w:i w:val="0"/>
          <w:color w:val="203040"/>
          <w:sz w:val="2"/>
        </w:rPr>
      </w:r>
    </w:p>
    <w:p>
      <w:pPr>
        <w:pStyle w:val="Heading2"/>
        <w:keepNext/>
      </w:pPr>
      <w:r>
        <w:rPr>
          <w:rFonts w:ascii="Calibri" w:hAnsi="Calibri" w:eastAsia="Microsoft YaHei"/>
          <w:b/>
          <w:color w:val="2E74B5"/>
          <w:sz w:val="26"/>
        </w:rPr>
        <w:t>6.3 建议的量化成功标准</w:t>
      </w:r>
    </w:p>
    <w:p>
      <w:pPr>
        <w:pStyle w:val="ListBullet"/>
        <w:spacing w:before="0" w:after="80" w:line="300" w:lineRule="auto"/>
        <w:ind w:left="540" w:hanging="271"/>
      </w:pPr>
      <w:r>
        <w:rPr>
          <w:rFonts w:ascii="Calibri" w:hAnsi="Calibri" w:eastAsia="Microsoft YaHei"/>
          <w:color w:val="203040"/>
          <w:sz w:val="22"/>
        </w:rPr>
        <w:t>原始HV：Ours应至少与最强从头基线统计持平，或者在效应量上不存在明显劣势。</w:t>
      </w:r>
    </w:p>
    <w:p>
      <w:pPr>
        <w:pStyle w:val="ListBullet"/>
        <w:spacing w:before="0" w:after="80" w:line="300" w:lineRule="auto"/>
        <w:ind w:left="540" w:hanging="271"/>
      </w:pPr>
      <w:r>
        <w:rPr>
          <w:rFonts w:ascii="Calibri" w:hAnsi="Calibri" w:eastAsia="Microsoft YaHei"/>
          <w:color w:val="203040"/>
          <w:sz w:val="22"/>
        </w:rPr>
        <w:t>质量约束HV：Ours应显著优于至少3/5个主基线，并在最强方法附近保持竞争力。</w:t>
      </w:r>
    </w:p>
    <w:p>
      <w:pPr>
        <w:pStyle w:val="ListBullet"/>
        <w:spacing w:before="0" w:after="80" w:line="300" w:lineRule="auto"/>
        <w:ind w:left="540" w:hanging="271"/>
      </w:pPr>
      <w:r>
        <w:rPr>
          <w:rFonts w:ascii="Calibri" w:hAnsi="Calibri" w:eastAsia="Microsoft YaHei"/>
          <w:color w:val="203040"/>
          <w:sz w:val="22"/>
        </w:rPr>
        <w:t>有效产率：维持约93%以上合法率、93%以上新颖性和约70%以上总质量产率，并给出置信区间。</w:t>
      </w:r>
    </w:p>
    <w:p>
      <w:pPr>
        <w:pStyle w:val="ListBullet"/>
        <w:spacing w:before="0" w:after="80" w:line="300" w:lineRule="auto"/>
        <w:ind w:left="540" w:hanging="271"/>
      </w:pPr>
      <w:r>
        <w:rPr>
          <w:rFonts w:ascii="Calibri" w:hAnsi="Calibri" w:eastAsia="Microsoft YaHei"/>
          <w:color w:val="203040"/>
          <w:sz w:val="22"/>
        </w:rPr>
        <w:t>组件价值：多Critic、动态权重及其交互项应呈现方向一致、跨种子稳定的增益，不能只依赖单个种子或单一指标。</w:t>
      </w:r>
    </w:p>
    <w:p>
      <w:pPr>
        <w:pStyle w:val="ListBullet"/>
        <w:spacing w:before="0" w:after="80" w:line="300" w:lineRule="auto"/>
        <w:ind w:left="540" w:hanging="271"/>
      </w:pPr>
      <w:r>
        <w:rPr>
          <w:rFonts w:ascii="Calibri" w:hAnsi="Calibri" w:eastAsia="Microsoft YaHei"/>
          <w:color w:val="203040"/>
          <w:sz w:val="22"/>
        </w:rPr>
        <w:t>前沿覆盖：除Pareto size外，至少一个覆盖/均匀性指标显著改善，避免用大量彼此接近的非支配点制造虚假优势。</w:t>
      </w:r>
    </w:p>
    <w:p>
      <w:pPr>
        <w:pStyle w:val="ListBullet"/>
        <w:spacing w:before="0" w:after="80" w:line="300" w:lineRule="auto"/>
        <w:ind w:left="540" w:hanging="271"/>
      </w:pPr>
      <w:r>
        <w:rPr>
          <w:rFonts w:ascii="Calibri" w:hAnsi="Calibri" w:eastAsia="Microsoft YaHei"/>
          <w:color w:val="203040"/>
          <w:sz w:val="22"/>
        </w:rPr>
        <w:t>可靠性：在RF低分歧或适用域内筛选后，Ours的HV和质量产率优势仍应保持。</w:t>
      </w:r>
    </w:p>
    <w:p>
      <w:pPr>
        <w:pStyle w:val="Heading1"/>
        <w:keepNext/>
      </w:pPr>
      <w:r>
        <w:rPr>
          <w:rFonts w:ascii="Calibri" w:hAnsi="Calibri" w:eastAsia="Microsoft YaHei"/>
          <w:b/>
          <w:color w:val="2E74B5"/>
          <w:sz w:val="32"/>
        </w:rPr>
        <w:t>7. 最终统一比较指标</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2780"/>
        <w:gridCol w:w="3040"/>
        <w:gridCol w:w="1840"/>
      </w:tblGrid>
      <w:tr>
        <w:trPr>
          <w:tblHeader w:val="true"/>
        </w:trPr>
        <w:tc>
          <w:tcPr>
            <w:tcW w:type="dxa" w:w="17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维度</w:t>
            </w:r>
          </w:p>
        </w:tc>
        <w:tc>
          <w:tcPr>
            <w:tcW w:type="dxa" w:w="278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指标</w:t>
            </w:r>
          </w:p>
        </w:tc>
        <w:tc>
          <w:tcPr>
            <w:tcW w:type="dxa" w:w="304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统一规则</w:t>
            </w:r>
          </w:p>
        </w:tc>
        <w:tc>
          <w:tcPr>
            <w:tcW w:type="dxa" w:w="184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作用</w:t>
            </w:r>
          </w:p>
        </w:tc>
      </w:tr>
      <w:tr>
        <w:tc>
          <w:tcPr>
            <w:tcW w:type="dxa" w:w="170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主要Pareto性能</w:t>
            </w:r>
          </w:p>
        </w:tc>
        <w:tc>
          <w:tcPr>
            <w:tcW w:type="dxa" w:w="278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HV、质量约束HV、可靠性约束HV</w:t>
            </w:r>
          </w:p>
        </w:tc>
        <w:tc>
          <w:tcPr>
            <w:tcW w:type="dxa" w:w="304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固定归一化与参考点；越高越好</w:t>
            </w:r>
          </w:p>
        </w:tc>
        <w:tc>
          <w:tcPr>
            <w:tcW w:type="dxa" w:w="184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论文主结论</w:t>
            </w:r>
          </w:p>
        </w:tc>
      </w:tr>
      <w:tr>
        <w:tc>
          <w:tcPr>
            <w:tcW w:type="dxa" w:w="17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前沿覆盖</w:t>
            </w:r>
          </w:p>
        </w:tc>
        <w:tc>
          <w:tcPr>
            <w:tcW w:type="dxa" w:w="278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Pareto size、C-metric、IGD+、Spread/Spacing、极端点</w:t>
            </w:r>
          </w:p>
        </w:tc>
        <w:tc>
          <w:tcPr>
            <w:tcW w:type="dxa" w:w="304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去重后前沿；联合参考前沿</w:t>
            </w:r>
          </w:p>
        </w:tc>
        <w:tc>
          <w:tcPr>
            <w:tcW w:type="dxa" w:w="184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覆盖广度与均匀性</w:t>
            </w:r>
          </w:p>
        </w:tc>
      </w:tr>
      <w:tr>
        <w:tc>
          <w:tcPr>
            <w:tcW w:type="dxa" w:w="170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双靶点活性</w:t>
            </w:r>
          </w:p>
        </w:tc>
        <w:tc>
          <w:tcPr>
            <w:tcW w:type="dxa" w:w="278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EGFR/VEGFR2均值、最大值、双活性阈值通过率</w:t>
            </w:r>
          </w:p>
        </w:tc>
        <w:tc>
          <w:tcPr>
            <w:tcW w:type="dxa" w:w="304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同一RF oracle</w:t>
            </w:r>
          </w:p>
        </w:tc>
        <w:tc>
          <w:tcPr>
            <w:tcW w:type="dxa" w:w="184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目标达成度</w:t>
            </w:r>
          </w:p>
        </w:tc>
      </w:tr>
      <w:tr>
        <w:tc>
          <w:tcPr>
            <w:tcW w:type="dxa" w:w="17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生成质量</w:t>
            </w:r>
          </w:p>
        </w:tc>
        <w:tc>
          <w:tcPr>
            <w:tcW w:type="dxa" w:w="278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Validity、Uniqueness、Novelty、QED、SA</w:t>
            </w:r>
          </w:p>
        </w:tc>
        <w:tc>
          <w:tcPr>
            <w:tcW w:type="dxa" w:w="304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统一RDKit与训练集参考</w:t>
            </w:r>
          </w:p>
        </w:tc>
        <w:tc>
          <w:tcPr>
            <w:tcW w:type="dxa" w:w="184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基本化学质量</w:t>
            </w:r>
          </w:p>
        </w:tc>
      </w:tr>
      <w:tr>
        <w:tc>
          <w:tcPr>
            <w:tcW w:type="dxa" w:w="170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有效产率</w:t>
            </w:r>
          </w:p>
        </w:tc>
        <w:tc>
          <w:tcPr>
            <w:tcW w:type="dxa" w:w="278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质量通过率、总体质量产率</w:t>
            </w:r>
          </w:p>
        </w:tc>
        <w:tc>
          <w:tcPr>
            <w:tcW w:type="dxa" w:w="304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QED/SA/PAINS/Brenk/Lipinski</w:t>
            </w:r>
          </w:p>
        </w:tc>
        <w:tc>
          <w:tcPr>
            <w:tcW w:type="dxa" w:w="184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避免只报条件分母</w:t>
            </w:r>
          </w:p>
        </w:tc>
      </w:tr>
      <w:tr>
        <w:tc>
          <w:tcPr>
            <w:tcW w:type="dxa" w:w="17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结构多样性</w:t>
            </w:r>
          </w:p>
        </w:tc>
        <w:tc>
          <w:tcPr>
            <w:tcW w:type="dxa" w:w="278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Bemis-Murcko骨架数、骨架新颖性、内部Tanimoto距离</w:t>
            </w:r>
          </w:p>
        </w:tc>
        <w:tc>
          <w:tcPr>
            <w:tcW w:type="dxa" w:w="304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对唯一合法分子计算</w:t>
            </w:r>
          </w:p>
        </w:tc>
        <w:tc>
          <w:tcPr>
            <w:tcW w:type="dxa" w:w="184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防止模式坍缩</w:t>
            </w:r>
          </w:p>
        </w:tc>
      </w:tr>
      <w:tr>
        <w:tc>
          <w:tcPr>
            <w:tcW w:type="dxa" w:w="170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预测器可靠性</w:t>
            </w:r>
          </w:p>
        </w:tc>
        <w:tc>
          <w:tcPr>
            <w:tcW w:type="dxa" w:w="278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RF树间分歧、适用域距离、校准误差</w:t>
            </w:r>
          </w:p>
        </w:tc>
        <w:tc>
          <w:tcPr>
            <w:tcW w:type="dxa" w:w="304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固定阈值与敏感性分析</w:t>
            </w:r>
          </w:p>
        </w:tc>
        <w:tc>
          <w:tcPr>
            <w:tcW w:type="dxa" w:w="184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防止oracle外推</w:t>
            </w:r>
          </w:p>
        </w:tc>
      </w:tr>
      <w:tr>
        <w:tc>
          <w:tcPr>
            <w:tcW w:type="dxa" w:w="17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外部验证</w:t>
            </w:r>
          </w:p>
        </w:tc>
        <w:tc>
          <w:tcPr>
            <w:tcW w:type="dxa" w:w="278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docking分数、pose合理性、重对接RMSD</w:t>
            </w:r>
          </w:p>
        </w:tc>
        <w:tc>
          <w:tcPr>
            <w:tcW w:type="dxa" w:w="304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预注册方案与盲选候选</w:t>
            </w:r>
          </w:p>
        </w:tc>
        <w:tc>
          <w:tcPr>
            <w:tcW w:type="dxa" w:w="184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提高生物可信度</w:t>
            </w:r>
          </w:p>
        </w:tc>
      </w:tr>
      <w:tr>
        <w:tc>
          <w:tcPr>
            <w:tcW w:type="dxa" w:w="170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效率</w:t>
            </w:r>
          </w:p>
        </w:tc>
        <w:tc>
          <w:tcPr>
            <w:tcW w:type="dxa" w:w="278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oracle调用、HV-AUC、墙钟时间、峰值显存/内存</w:t>
            </w:r>
          </w:p>
        </w:tc>
        <w:tc>
          <w:tcPr>
            <w:tcW w:type="dxa" w:w="304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oracle调用为主要公平预算</w:t>
            </w:r>
          </w:p>
        </w:tc>
        <w:tc>
          <w:tcPr>
            <w:tcW w:type="dxa" w:w="184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样本效率与工程成本</w:t>
            </w:r>
          </w:p>
        </w:tc>
      </w:tr>
    </w:tbl>
    <w:p>
      <w:pPr>
        <w:spacing w:before="0" w:after="60" w:line="300" w:lineRule="auto"/>
      </w:pPr>
      <w:r>
        <w:rPr>
          <w:rFonts w:ascii="Calibri" w:hAnsi="Calibri" w:eastAsia="Microsoft YaHei"/>
          <w:b w:val="0"/>
          <w:i w:val="0"/>
          <w:color w:val="203040"/>
          <w:sz w:val="2"/>
        </w:rPr>
      </w:r>
    </w:p>
    <w:p>
      <w:pPr>
        <w:pStyle w:val="Heading2"/>
        <w:keepNext/>
      </w:pPr>
      <w:r>
        <w:rPr>
          <w:rFonts w:ascii="Calibri" w:hAnsi="Calibri" w:eastAsia="Microsoft YaHei"/>
          <w:b/>
          <w:color w:val="2E74B5"/>
          <w:sz w:val="26"/>
        </w:rPr>
        <w:t>7.1 三个必须预先固定的定义</w:t>
      </w:r>
    </w:p>
    <w:p>
      <w:pPr>
        <w:pStyle w:val="ListNumber"/>
        <w:spacing w:before="0" w:after="80" w:line="300" w:lineRule="auto"/>
        <w:ind w:left="540" w:hanging="279"/>
      </w:pPr>
      <w:r>
        <w:rPr>
          <w:rFonts w:ascii="Calibri" w:hAnsi="Calibri" w:eastAsia="Microsoft YaHei"/>
          <w:color w:val="203040"/>
          <w:sz w:val="22"/>
        </w:rPr>
        <w:t>HV定义：EGFR和VEGFR2分数的方向、归一化上下界和参考点在看结果前固定；所有方法共用。</w:t>
      </w:r>
    </w:p>
    <w:p>
      <w:pPr>
        <w:pStyle w:val="ListNumber"/>
        <w:spacing w:before="0" w:after="80" w:line="300" w:lineRule="auto"/>
        <w:ind w:left="540" w:hanging="279"/>
      </w:pPr>
      <w:r>
        <w:rPr>
          <w:rFonts w:ascii="Calibri" w:hAnsi="Calibri" w:eastAsia="Microsoft YaHei"/>
          <w:color w:val="203040"/>
          <w:sz w:val="22"/>
        </w:rPr>
        <w:t>质量通过定义：建议固定为QED≥0.60、SA≤4、无PAINS/Brenk警报且通过Lipinski，并额外报告更严格敏感性阈值。</w:t>
      </w:r>
    </w:p>
    <w:p>
      <w:pPr>
        <w:pStyle w:val="ListNumber"/>
        <w:spacing w:before="0" w:after="80" w:line="300" w:lineRule="auto"/>
        <w:ind w:left="540" w:hanging="279"/>
      </w:pPr>
      <w:r>
        <w:rPr>
          <w:rFonts w:ascii="Calibri" w:hAnsi="Calibri" w:eastAsia="Microsoft YaHei"/>
          <w:color w:val="203040"/>
          <w:sz w:val="22"/>
        </w:rPr>
        <w:t>总体质量产率：通过质量筛选的唯一合法新分子数除以总生成预算10,240；不得只在合法分子内部计算。</w:t>
      </w:r>
    </w:p>
    <w:p>
      <w:pPr>
        <w:pStyle w:val="Heading1"/>
        <w:keepNext/>
      </w:pPr>
      <w:r>
        <w:rPr>
          <w:rFonts w:ascii="Calibri" w:hAnsi="Calibri" w:eastAsia="Microsoft YaHei"/>
          <w:b/>
          <w:color w:val="2E74B5"/>
          <w:sz w:val="32"/>
        </w:rPr>
        <w:t>8. 推荐结果表结构</w:t>
      </w:r>
    </w:p>
    <w:p>
      <w:pPr>
        <w:spacing w:before="0" w:after="120" w:line="300" w:lineRule="auto"/>
      </w:pPr>
      <w:r>
        <w:rPr>
          <w:rFonts w:ascii="Calibri" w:hAnsi="Calibri" w:eastAsia="Microsoft YaHei"/>
          <w:b w:val="0"/>
          <w:i w:val="0"/>
          <w:color w:val="203040"/>
          <w:sz w:val="22"/>
        </w:rPr>
        <w:t>论文主表应突出Pareto性能、生成质量和有效产率，不把过多辅助指标挤入同一张表。可靠性、骨架与docking结果建议拆分为独立表或图。</w:t>
      </w:r>
    </w:p>
    <w:tbl>
      <w:tblPr>
        <w:tblW w:type="dxa" w:w="9360"/>
        <w:tblLayout w:type="fixed"/>
        <w:tblLook w:firstColumn="1" w:firstRow="1" w:lastColumn="0" w:lastRow="0" w:noHBand="0" w:noVBand="1" w:val="04A0"/>
        <w:jc w:val="left"/>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960"/>
        <w:gridCol w:w="850"/>
        <w:gridCol w:w="1100"/>
        <w:gridCol w:w="1050"/>
        <w:gridCol w:w="1050"/>
        <w:gridCol w:w="850"/>
        <w:gridCol w:w="800"/>
        <w:gridCol w:w="1700"/>
      </w:tblGrid>
      <w:tr>
        <w:trPr>
          <w:tblHeader w:val="true"/>
        </w:trPr>
        <w:tc>
          <w:tcPr>
            <w:tcW w:type="dxa" w:w="196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方法</w:t>
            </w:r>
          </w:p>
        </w:tc>
        <w:tc>
          <w:tcPr>
            <w:tcW w:type="dxa" w:w="85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HV↑</w:t>
            </w:r>
          </w:p>
        </w:tc>
        <w:tc>
          <w:tcPr>
            <w:tcW w:type="dxa" w:w="11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质量HV↑</w:t>
            </w:r>
          </w:p>
        </w:tc>
        <w:tc>
          <w:tcPr>
            <w:tcW w:type="dxa" w:w="105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合法率↑</w:t>
            </w:r>
          </w:p>
        </w:tc>
        <w:tc>
          <w:tcPr>
            <w:tcW w:type="dxa" w:w="105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新颖性↑</w:t>
            </w:r>
          </w:p>
        </w:tc>
        <w:tc>
          <w:tcPr>
            <w:tcW w:type="dxa" w:w="85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QED↑</w:t>
            </w:r>
          </w:p>
        </w:tc>
        <w:tc>
          <w:tcPr>
            <w:tcW w:type="dxa" w:w="8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SA↓</w:t>
            </w:r>
          </w:p>
        </w:tc>
        <w:tc>
          <w:tcPr>
            <w:tcW w:type="dxa" w:w="1700"/>
            <w:tcMar>
              <w:top w:w="80" w:type="dxa"/>
              <w:start w:w="120" w:type="dxa"/>
              <w:bottom w:w="80" w:type="dxa"/>
              <w:end w:w="120" w:type="dxa"/>
            </w:tcMar>
            <w:vAlign w:val="center"/>
            <w:shd w:fill="E8EEF5"/>
          </w:tcPr>
          <w:p>
            <w:pPr>
              <w:spacing w:before="0" w:after="0" w:line="264" w:lineRule="auto"/>
              <w:jc w:val="center"/>
            </w:pPr>
            <w:r>
              <w:rPr>
                <w:rFonts w:ascii="Calibri" w:hAnsi="Calibri" w:eastAsia="Microsoft YaHei"/>
                <w:b/>
                <w:color w:val="1F4D78"/>
                <w:sz w:val="18"/>
              </w:rPr>
              <w:t>总质量产率↑</w:t>
            </w:r>
          </w:p>
        </w:tc>
      </w:tr>
      <w:tr>
        <w:tc>
          <w:tcPr>
            <w:tcW w:type="dxa" w:w="196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POLYGON-original</w:t>
            </w:r>
          </w:p>
        </w:tc>
        <w:tc>
          <w:tcPr>
            <w:tcW w:type="dxa" w:w="8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1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0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0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8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8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7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r>
      <w:tr>
        <w:tc>
          <w:tcPr>
            <w:tcW w:type="dxa" w:w="19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REINVENT4 de novo</w:t>
            </w:r>
          </w:p>
        </w:tc>
        <w:tc>
          <w:tcPr>
            <w:tcW w:type="dxa" w:w="8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1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0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0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8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8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7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r>
      <w:tr>
        <w:tc>
          <w:tcPr>
            <w:tcW w:type="dxa" w:w="196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DrugEx v2</w:t>
            </w:r>
          </w:p>
        </w:tc>
        <w:tc>
          <w:tcPr>
            <w:tcW w:type="dxa" w:w="8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1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0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0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8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8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7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r>
      <w:tr>
        <w:tc>
          <w:tcPr>
            <w:tcW w:type="dxa" w:w="19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MO-LSO</w:t>
            </w:r>
          </w:p>
        </w:tc>
        <w:tc>
          <w:tcPr>
            <w:tcW w:type="dxa" w:w="8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1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0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0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8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8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7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r>
      <w:tr>
        <w:tc>
          <w:tcPr>
            <w:tcW w:type="dxa" w:w="1960"/>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Mothra</w:t>
            </w:r>
          </w:p>
        </w:tc>
        <w:tc>
          <w:tcPr>
            <w:tcW w:type="dxa" w:w="8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1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0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0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85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8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c>
          <w:tcPr>
            <w:tcW w:type="dxa" w:w="1700"/>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待复现</w:t>
            </w:r>
          </w:p>
        </w:tc>
      </w:tr>
      <w:tr>
        <w:tc>
          <w:tcPr>
            <w:tcW w:type="dxa" w:w="196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color w:val="203040"/>
                <w:sz w:val="17"/>
              </w:rPr>
              <w:t>Ours-full</w:t>
            </w:r>
          </w:p>
        </w:tc>
        <w:tc>
          <w:tcPr>
            <w:tcW w:type="dxa" w:w="8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61.45*</w:t>
            </w:r>
          </w:p>
        </w:tc>
        <w:tc>
          <w:tcPr>
            <w:tcW w:type="dxa" w:w="11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61.28*</w:t>
            </w:r>
          </w:p>
        </w:tc>
        <w:tc>
          <w:tcPr>
            <w:tcW w:type="dxa" w:w="10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93.20%*</w:t>
            </w:r>
          </w:p>
        </w:tc>
        <w:tc>
          <w:tcPr>
            <w:tcW w:type="dxa" w:w="10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96.22%*</w:t>
            </w:r>
          </w:p>
        </w:tc>
        <w:tc>
          <w:tcPr>
            <w:tcW w:type="dxa" w:w="85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0.794*</w:t>
            </w:r>
          </w:p>
        </w:tc>
        <w:tc>
          <w:tcPr>
            <w:tcW w:type="dxa" w:w="8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2.62*</w:t>
            </w:r>
          </w:p>
        </w:tc>
        <w:tc>
          <w:tcPr>
            <w:tcW w:type="dxa" w:w="1700"/>
            <w:shd w:fill="F8FAFC"/>
            <w:tcMar>
              <w:top w:w="80" w:type="dxa"/>
              <w:start w:w="120" w:type="dxa"/>
              <w:bottom w:w="80" w:type="dxa"/>
              <w:end w:w="120" w:type="dxa"/>
            </w:tcMar>
            <w:vAlign w:val="center"/>
          </w:tcPr>
          <w:p>
            <w:pPr>
              <w:spacing w:before="0" w:after="0" w:line="269" w:lineRule="auto"/>
              <w:jc w:val="left"/>
            </w:pPr>
            <w:r>
              <w:rPr>
                <w:rFonts w:ascii="Calibri" w:hAnsi="Calibri" w:eastAsia="Microsoft YaHei"/>
                <w:b w:val="0"/>
                <w:color w:val="203040"/>
                <w:sz w:val="17"/>
              </w:rPr>
              <w:t>71.34%*</w:t>
            </w:r>
          </w:p>
        </w:tc>
      </w:tr>
    </w:tbl>
    <w:p>
      <w:pPr>
        <w:spacing w:before="0" w:after="60" w:line="300" w:lineRule="auto"/>
      </w:pPr>
      <w:r>
        <w:rPr>
          <w:rFonts w:ascii="Calibri" w:hAnsi="Calibri" w:eastAsia="Microsoft YaHei"/>
          <w:b w:val="0"/>
          <w:i w:val="0"/>
          <w:color w:val="203040"/>
          <w:sz w:val="2"/>
        </w:rPr>
      </w:r>
    </w:p>
    <w:p>
      <w:pPr>
        <w:spacing w:before="0" w:after="120" w:line="300" w:lineRule="auto"/>
      </w:pPr>
      <w:r>
        <w:rPr>
          <w:rFonts w:ascii="Calibri" w:hAnsi="Calibri" w:eastAsia="Microsoft YaHei"/>
          <w:b w:val="0"/>
          <w:i/>
          <w:color w:val="667085"/>
          <w:sz w:val="18"/>
        </w:rPr>
        <w:t>* Ours-full为现有项目中的阶段性10种子标准化结果；其他方法必须完成官方代码公平复现后才能进入同一正式表。该数值不应与尚未统一审计的结果直接下结论。</w:t>
      </w:r>
    </w:p>
    <w:p>
      <w:pPr>
        <w:pStyle w:val="Heading1"/>
        <w:keepNext/>
      </w:pPr>
      <w:r>
        <w:rPr>
          <w:rFonts w:ascii="Calibri" w:hAnsi="Calibri" w:eastAsia="Microsoft YaHei"/>
          <w:b/>
          <w:color w:val="2E74B5"/>
          <w:sz w:val="32"/>
        </w:rPr>
        <w:t>9. 当前证据边界与下一步决策</w:t>
      </w:r>
    </w:p>
    <w:p>
      <w:pPr>
        <w:spacing w:before="80" w:after="160" w:line="288" w:lineRule="auto"/>
        <w:ind w:left="173" w:right="173"/>
        <w:shd w:fill="FCEBEC"/>
        <w:pBdr>
          <w:left w:val="single" w:sz="18" w:space="8" w:color="1F4D78"/>
        </w:pBdr>
      </w:pPr>
      <w:r>
        <w:rPr>
          <w:rFonts w:ascii="Calibri" w:hAnsi="Calibri" w:eastAsia="Microsoft YaHei"/>
          <w:b/>
          <w:color w:val="1F4D78"/>
          <w:sz w:val="22"/>
        </w:rPr>
        <w:t xml:space="preserve">不能提前声称  </w:t>
      </w:r>
      <w:r>
        <w:rPr>
          <w:rFonts w:ascii="Calibri" w:hAnsi="Calibri" w:eastAsia="Microsoft YaHei"/>
          <w:color w:val="203040"/>
          <w:sz w:val="22"/>
        </w:rPr>
        <w:t>目前不能声称完整方法在原始HV上全面优于MO-LSO或NSGA-II；也不能把CPRL-style、MO-LSO-style称为原论文复现。EGFR docking的top-1重对接尚未通过常用RMSD标准，因此暂不能作为已验证证据。</w:t>
      </w:r>
    </w:p>
    <w:p>
      <w:pPr>
        <w:spacing w:before="0" w:after="120" w:line="300" w:lineRule="auto"/>
      </w:pPr>
      <w:r>
        <w:rPr>
          <w:rFonts w:ascii="Calibri" w:hAnsi="Calibri" w:eastAsia="Microsoft YaHei"/>
          <w:b w:val="0"/>
          <w:i w:val="0"/>
          <w:color w:val="203040"/>
          <w:sz w:val="22"/>
        </w:rPr>
        <w:t>下一阶段应优先完成五个原生从头基线的数据适配和小预算烟雾测试，同时开发真正K步潜空间轨迹。只有通过预设晋级门槛的本方法版本才进入10-20种子正式实验，以减少事后挑参和无效计算。</w:t>
      </w:r>
    </w:p>
    <w:p>
      <w:pPr>
        <w:pStyle w:val="ListNumber"/>
        <w:spacing w:before="0" w:after="80" w:line="300" w:lineRule="auto"/>
        <w:ind w:left="540" w:hanging="279"/>
      </w:pPr>
      <w:r>
        <w:rPr>
          <w:rFonts w:ascii="Calibri" w:hAnsi="Calibri" w:eastAsia="Microsoft YaHei"/>
          <w:color w:val="203040"/>
          <w:sz w:val="22"/>
        </w:rPr>
        <w:t>固定数据清洗清单、oracle封装、预算计数器、种子列表和统一输出schema。</w:t>
      </w:r>
    </w:p>
    <w:p>
      <w:pPr>
        <w:pStyle w:val="ListNumber"/>
        <w:spacing w:before="0" w:after="80" w:line="300" w:lineRule="auto"/>
        <w:ind w:left="540" w:hanging="279"/>
      </w:pPr>
      <w:r>
        <w:rPr>
          <w:rFonts w:ascii="Calibri" w:hAnsi="Calibri" w:eastAsia="Microsoft YaHei"/>
          <w:color w:val="203040"/>
          <w:sz w:val="22"/>
        </w:rPr>
        <w:t>依次适配POLYGON-original、REINVENT4 de novo、DrugEx v2、MO-LSO、Mothra；每个先做128/512样本烟雾测试。</w:t>
      </w:r>
    </w:p>
    <w:p>
      <w:pPr>
        <w:pStyle w:val="ListNumber"/>
        <w:spacing w:before="0" w:after="80" w:line="300" w:lineRule="auto"/>
        <w:ind w:left="540" w:hanging="279"/>
      </w:pPr>
      <w:r>
        <w:rPr>
          <w:rFonts w:ascii="Calibri" w:hAnsi="Calibri" w:eastAsia="Microsoft YaHei"/>
          <w:color w:val="203040"/>
          <w:sz w:val="22"/>
        </w:rPr>
        <w:t>对本方法实施K=3与K=5真实潜空间轨迹，并与K=1在2,048预算、3种子下筛选。</w:t>
      </w:r>
    </w:p>
    <w:p>
      <w:pPr>
        <w:pStyle w:val="ListNumber"/>
        <w:spacing w:before="0" w:after="80" w:line="300" w:lineRule="auto"/>
        <w:ind w:left="540" w:hanging="279"/>
      </w:pPr>
      <w:r>
        <w:rPr>
          <w:rFonts w:ascii="Calibri" w:hAnsi="Calibri" w:eastAsia="Microsoft YaHei"/>
          <w:color w:val="203040"/>
          <w:sz w:val="22"/>
        </w:rPr>
        <w:t>晋级候选与五个基线执行10,240预算、10种子正式实验；关键比较扩展至20种子。</w:t>
      </w:r>
    </w:p>
    <w:p>
      <w:pPr>
        <w:pStyle w:val="ListNumber"/>
        <w:spacing w:before="0" w:after="80" w:line="300" w:lineRule="auto"/>
        <w:ind w:left="540" w:hanging="279"/>
      </w:pPr>
      <w:r>
        <w:rPr>
          <w:rFonts w:ascii="Calibri" w:hAnsi="Calibri" w:eastAsia="Microsoft YaHei"/>
          <w:color w:val="203040"/>
          <w:sz w:val="22"/>
        </w:rPr>
        <w:t>运行统一质量、骨架、RF适用域和docking审计，生成主表、补充表、Pareto图与预算曲线。</w:t>
      </w:r>
    </w:p>
    <w:p>
      <w:pPr>
        <w:pStyle w:val="Heading1"/>
        <w:keepNext/>
      </w:pPr>
      <w:r>
        <w:rPr>
          <w:rFonts w:ascii="Calibri" w:hAnsi="Calibri" w:eastAsia="Microsoft YaHei"/>
          <w:b/>
          <w:color w:val="2E74B5"/>
          <w:sz w:val="32"/>
        </w:rPr>
        <w:t>10. 论文与开源资源清单</w:t>
      </w:r>
    </w:p>
    <w:p>
      <w:pPr>
        <w:spacing w:before="0" w:after="80" w:line="288" w:lineRule="auto"/>
      </w:pPr>
      <w:r>
        <w:rPr>
          <w:rFonts w:ascii="Calibri" w:hAnsi="Calibri" w:eastAsia="Microsoft YaHei"/>
          <w:b/>
          <w:color w:val="1F4D78"/>
          <w:sz w:val="19"/>
        </w:rPr>
        <w:t>POLYGON：</w:t>
      </w:r>
      <w:hyperlink r:id="rId11">
        <w:r>
          <w:rPr>
            <w:rFonts w:ascii="Calibri" w:hAnsi="Calibri" w:eastAsia="Microsoft YaHei"/>
            <w:color w:val="2E74B5"/>
            <w:u w:val="single"/>
          </w:rPr>
          <w:t>De novo generation of multi-target compounds using deep generative chemistry</w:t>
        </w:r>
      </w:hyperlink>
      <w:r>
        <w:rPr>
          <w:rFonts w:ascii="Calibri" w:hAnsi="Calibri" w:eastAsia="Microsoft YaHei"/>
          <w:color w:val="667085"/>
          <w:sz w:val="19"/>
        </w:rPr>
        <w:t xml:space="preserve">  |  </w:t>
      </w:r>
      <w:hyperlink r:id="rId12">
        <w:r>
          <w:rPr>
            <w:rFonts w:ascii="Calibri" w:hAnsi="Calibri" w:eastAsia="Microsoft YaHei"/>
            <w:color w:val="2E74B5"/>
            <w:u w:val="single"/>
          </w:rPr>
          <w:t>官方仓库</w:t>
        </w:r>
      </w:hyperlink>
    </w:p>
    <w:p>
      <w:pPr>
        <w:spacing w:before="0" w:after="80" w:line="288" w:lineRule="auto"/>
      </w:pPr>
      <w:r>
        <w:rPr>
          <w:rFonts w:ascii="Calibri" w:hAnsi="Calibri" w:eastAsia="Microsoft YaHei"/>
          <w:b/>
          <w:color w:val="1F4D78"/>
          <w:sz w:val="19"/>
        </w:rPr>
        <w:t>REINVENT4：</w:t>
      </w:r>
      <w:hyperlink r:id="rId13">
        <w:r>
          <w:rPr>
            <w:rFonts w:ascii="Calibri" w:hAnsi="Calibri" w:eastAsia="Microsoft YaHei"/>
            <w:color w:val="2E74B5"/>
            <w:u w:val="single"/>
          </w:rPr>
          <w:t>REINVENT 4: Modern AI-driven generative molecule design</w:t>
        </w:r>
      </w:hyperlink>
      <w:r>
        <w:rPr>
          <w:rFonts w:ascii="Calibri" w:hAnsi="Calibri" w:eastAsia="Microsoft YaHei"/>
          <w:color w:val="667085"/>
          <w:sz w:val="19"/>
        </w:rPr>
        <w:t xml:space="preserve">  |  </w:t>
      </w:r>
      <w:hyperlink r:id="rId14">
        <w:r>
          <w:rPr>
            <w:rFonts w:ascii="Calibri" w:hAnsi="Calibri" w:eastAsia="Microsoft YaHei"/>
            <w:color w:val="2E74B5"/>
            <w:u w:val="single"/>
          </w:rPr>
          <w:t>官方仓库</w:t>
        </w:r>
      </w:hyperlink>
    </w:p>
    <w:p>
      <w:pPr>
        <w:spacing w:before="0" w:after="80" w:line="288" w:lineRule="auto"/>
      </w:pPr>
      <w:r>
        <w:rPr>
          <w:rFonts w:ascii="Calibri" w:hAnsi="Calibri" w:eastAsia="Microsoft YaHei"/>
          <w:b/>
          <w:color w:val="1F4D78"/>
          <w:sz w:val="19"/>
        </w:rPr>
        <w:t>DrugEx v2：</w:t>
      </w:r>
      <w:hyperlink r:id="rId15">
        <w:r>
          <w:rPr>
            <w:rFonts w:ascii="Calibri" w:hAnsi="Calibri" w:eastAsia="Microsoft YaHei"/>
            <w:color w:val="2E74B5"/>
            <w:u w:val="single"/>
          </w:rPr>
          <w:t>DrugEx v2: de novo design of drug molecules by Pareto-based multi-objective reinforcement learning in polypharmacology</w:t>
        </w:r>
      </w:hyperlink>
      <w:r>
        <w:rPr>
          <w:rFonts w:ascii="Calibri" w:hAnsi="Calibri" w:eastAsia="Microsoft YaHei"/>
          <w:color w:val="667085"/>
          <w:sz w:val="19"/>
        </w:rPr>
        <w:t xml:space="preserve">  |  </w:t>
      </w:r>
      <w:hyperlink r:id="rId16">
        <w:r>
          <w:rPr>
            <w:rFonts w:ascii="Calibri" w:hAnsi="Calibri" w:eastAsia="Microsoft YaHei"/>
            <w:color w:val="2E74B5"/>
            <w:u w:val="single"/>
          </w:rPr>
          <w:t>官方仓库</w:t>
        </w:r>
      </w:hyperlink>
    </w:p>
    <w:p>
      <w:pPr>
        <w:spacing w:before="0" w:after="80" w:line="288" w:lineRule="auto"/>
      </w:pPr>
      <w:r>
        <w:rPr>
          <w:rFonts w:ascii="Calibri" w:hAnsi="Calibri" w:eastAsia="Microsoft YaHei"/>
          <w:b/>
          <w:color w:val="1F4D78"/>
          <w:sz w:val="19"/>
        </w:rPr>
        <w:t>MO-LSO：</w:t>
      </w:r>
      <w:hyperlink r:id="rId17">
        <w:r>
          <w:rPr>
            <w:rFonts w:ascii="Calibri" w:hAnsi="Calibri" w:eastAsia="Microsoft YaHei"/>
            <w:color w:val="2E74B5"/>
            <w:u w:val="single"/>
          </w:rPr>
          <w:t>Multi-objective latent space optimization of generative molecular design models</w:t>
        </w:r>
      </w:hyperlink>
      <w:r>
        <w:rPr>
          <w:rFonts w:ascii="Calibri" w:hAnsi="Calibri" w:eastAsia="Microsoft YaHei"/>
          <w:color w:val="667085"/>
          <w:sz w:val="19"/>
        </w:rPr>
        <w:t xml:space="preserve">  |  </w:t>
      </w:r>
      <w:hyperlink r:id="rId18">
        <w:r>
          <w:rPr>
            <w:rFonts w:ascii="Calibri" w:hAnsi="Calibri" w:eastAsia="Microsoft YaHei"/>
            <w:color w:val="2E74B5"/>
            <w:u w:val="single"/>
          </w:rPr>
          <w:t>官方仓库</w:t>
        </w:r>
      </w:hyperlink>
    </w:p>
    <w:p>
      <w:pPr>
        <w:spacing w:before="0" w:after="80" w:line="288" w:lineRule="auto"/>
      </w:pPr>
      <w:r>
        <w:rPr>
          <w:rFonts w:ascii="Calibri" w:hAnsi="Calibri" w:eastAsia="Microsoft YaHei"/>
          <w:b/>
          <w:color w:val="1F4D78"/>
          <w:sz w:val="19"/>
        </w:rPr>
        <w:t>Mothra：</w:t>
      </w:r>
      <w:hyperlink r:id="rId19">
        <w:r>
          <w:rPr>
            <w:rFonts w:ascii="Calibri" w:hAnsi="Calibri" w:eastAsia="Microsoft YaHei"/>
            <w:color w:val="2E74B5"/>
            <w:u w:val="single"/>
          </w:rPr>
          <w:t>Mothra: Multiobjective de novo Molecular Generation Using Monte Carlo Tree Search</w:t>
        </w:r>
      </w:hyperlink>
      <w:r>
        <w:rPr>
          <w:rFonts w:ascii="Calibri" w:hAnsi="Calibri" w:eastAsia="Microsoft YaHei"/>
          <w:color w:val="667085"/>
          <w:sz w:val="19"/>
        </w:rPr>
        <w:t xml:space="preserve">  |  </w:t>
      </w:r>
      <w:hyperlink r:id="rId20">
        <w:r>
          <w:rPr>
            <w:rFonts w:ascii="Calibri" w:hAnsi="Calibri" w:eastAsia="Microsoft YaHei"/>
            <w:color w:val="2E74B5"/>
            <w:u w:val="single"/>
          </w:rPr>
          <w:t>官方仓库</w:t>
        </w:r>
      </w:hyperlink>
    </w:p>
    <w:p>
      <w:pPr>
        <w:spacing w:before="0" w:after="80" w:line="288" w:lineRule="auto"/>
      </w:pPr>
      <w:r>
        <w:rPr>
          <w:rFonts w:ascii="Calibri" w:hAnsi="Calibri" w:eastAsia="Microsoft YaHei"/>
          <w:b/>
          <w:color w:val="1F4D78"/>
          <w:sz w:val="19"/>
        </w:rPr>
        <w:t>HN-GFN：</w:t>
      </w:r>
      <w:hyperlink r:id="rId21">
        <w:r>
          <w:rPr>
            <w:rFonts w:ascii="Calibri" w:hAnsi="Calibri" w:eastAsia="Microsoft YaHei"/>
            <w:color w:val="2E74B5"/>
            <w:u w:val="single"/>
          </w:rPr>
          <w:t>Sample-efficient Multi-objective Molecular Optimization with GFlowNets</w:t>
        </w:r>
      </w:hyperlink>
      <w:r>
        <w:rPr>
          <w:rFonts w:ascii="Calibri" w:hAnsi="Calibri" w:eastAsia="Microsoft YaHei"/>
          <w:color w:val="667085"/>
          <w:sz w:val="19"/>
        </w:rPr>
        <w:t xml:space="preserve">  |  </w:t>
      </w:r>
      <w:hyperlink r:id="rId22">
        <w:r>
          <w:rPr>
            <w:rFonts w:ascii="Calibri" w:hAnsi="Calibri" w:eastAsia="Microsoft YaHei"/>
            <w:color w:val="2E74B5"/>
            <w:u w:val="single"/>
          </w:rPr>
          <w:t>官方仓库</w:t>
        </w:r>
      </w:hyperlink>
    </w:p>
    <w:p>
      <w:pPr>
        <w:spacing w:before="0" w:after="80" w:line="288" w:lineRule="auto"/>
      </w:pPr>
      <w:r>
        <w:rPr>
          <w:rFonts w:ascii="Calibri" w:hAnsi="Calibri" w:eastAsia="Microsoft YaHei"/>
          <w:b/>
          <w:color w:val="1F4D78"/>
          <w:sz w:val="19"/>
        </w:rPr>
        <w:t>MARS（补充）：</w:t>
      </w:r>
      <w:hyperlink r:id="rId23">
        <w:r>
          <w:rPr>
            <w:rFonts w:ascii="Calibri" w:hAnsi="Calibri" w:eastAsia="Microsoft YaHei"/>
            <w:color w:val="2E74B5"/>
            <w:u w:val="single"/>
          </w:rPr>
          <w:t>MARS: Markov Molecular Sampling for Multi-objective Drug Discovery</w:t>
        </w:r>
      </w:hyperlink>
      <w:r>
        <w:rPr>
          <w:rFonts w:ascii="Calibri" w:hAnsi="Calibri" w:eastAsia="Microsoft YaHei"/>
          <w:color w:val="667085"/>
          <w:sz w:val="19"/>
        </w:rPr>
        <w:t xml:space="preserve">  |  </w:t>
      </w:r>
      <w:hyperlink r:id="rId24">
        <w:r>
          <w:rPr>
            <w:rFonts w:ascii="Calibri" w:hAnsi="Calibri" w:eastAsia="Microsoft YaHei"/>
            <w:color w:val="2E74B5"/>
            <w:u w:val="single"/>
          </w:rPr>
          <w:t>官方仓库</w:t>
        </w:r>
      </w:hyperlink>
    </w:p>
    <w:p>
      <w:pPr>
        <w:spacing w:before="0" w:after="80" w:line="288" w:lineRule="auto"/>
      </w:pPr>
      <w:r>
        <w:rPr>
          <w:rFonts w:ascii="Calibri" w:hAnsi="Calibri" w:eastAsia="Microsoft YaHei"/>
          <w:b/>
          <w:color w:val="1F4D78"/>
          <w:sz w:val="19"/>
        </w:rPr>
        <w:t>Graph Pareto（补充）：</w:t>
      </w:r>
      <w:hyperlink r:id="rId25">
        <w:r>
          <w:rPr>
            <w:rFonts w:ascii="Calibri" w:hAnsi="Calibri" w:eastAsia="Microsoft YaHei"/>
            <w:color w:val="2E74B5"/>
            <w:u w:val="single"/>
          </w:rPr>
          <w:t>Graph-based molecular Pareto optimisation</w:t>
        </w:r>
      </w:hyperlink>
      <w:r>
        <w:rPr>
          <w:rFonts w:ascii="Calibri" w:hAnsi="Calibri" w:eastAsia="Microsoft YaHei"/>
          <w:color w:val="667085"/>
          <w:sz w:val="19"/>
        </w:rPr>
        <w:t xml:space="preserve">  |  </w:t>
      </w:r>
      <w:hyperlink r:id="rId26">
        <w:r>
          <w:rPr>
            <w:rFonts w:ascii="Calibri" w:hAnsi="Calibri" w:eastAsia="Microsoft YaHei"/>
            <w:color w:val="2E74B5"/>
            <w:u w:val="single"/>
          </w:rPr>
          <w:t>官方仓库</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8"/>
      </w:rPr>
      <w:t xml:space="preserve">第 </w:t>
    </w:r>
    <w:fldSimple w:instr="PAGE"/>
    <w:r>
      <w:rPr>
        <w:rFonts w:ascii="Calibri" w:hAnsi="Calibr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eastAsia="Microsoft YaHei"/>
        <w:b/>
        <w:color w:val="667085"/>
        <w:sz w:val="18"/>
      </w:rPr>
      <w:t>EGFR/VEGFR2 双靶点从头分子生成</w:t>
    </w:r>
    <w:r>
      <w:rPr>
        <w:rFonts w:ascii="Calibri" w:hAnsi="Calibri" w:eastAsia="Microsoft YaHei"/>
        <w:color w:val="667085"/>
        <w:sz w:val="18"/>
      </w:rPr>
      <w:t xml:space="preserve">  |  基线与实验设计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eastAsia="Microsoft YaHe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ture.com/articles/s41467-024-47120-y" TargetMode="External"/><Relationship Id="rId12" Type="http://schemas.openxmlformats.org/officeDocument/2006/relationships/hyperlink" Target="https://github.com/bpmunson/polygon" TargetMode="External"/><Relationship Id="rId13" Type="http://schemas.openxmlformats.org/officeDocument/2006/relationships/hyperlink" Target="https://link.springer.com/article/10.1186/s13321-024-00812-5" TargetMode="External"/><Relationship Id="rId14" Type="http://schemas.openxmlformats.org/officeDocument/2006/relationships/hyperlink" Target="https://github.com/MolecularAI/REINVENT4" TargetMode="External"/><Relationship Id="rId15" Type="http://schemas.openxmlformats.org/officeDocument/2006/relationships/hyperlink" Target="https://link.springer.com/article/10.1186/s13321-021-00561-9" TargetMode="External"/><Relationship Id="rId16" Type="http://schemas.openxmlformats.org/officeDocument/2006/relationships/hyperlink" Target="https://github.com/XuhanLiu/DrugEx" TargetMode="External"/><Relationship Id="rId17" Type="http://schemas.openxmlformats.org/officeDocument/2006/relationships/hyperlink" Target="https://www.sciencedirect.com/science/article/pii/S2666389924001843" TargetMode="External"/><Relationship Id="rId18" Type="http://schemas.openxmlformats.org/officeDocument/2006/relationships/hyperlink" Target="https://github.com/nafizabeer/GMD-MO-LSO" TargetMode="External"/><Relationship Id="rId19" Type="http://schemas.openxmlformats.org/officeDocument/2006/relationships/hyperlink" Target="https://pmc.ncbi.nlm.nih.gov/articles/PMC11481094/" TargetMode="External"/><Relationship Id="rId20" Type="http://schemas.openxmlformats.org/officeDocument/2006/relationships/hyperlink" Target="https://github.com/sekijima-lab/Mothra" TargetMode="External"/><Relationship Id="rId21" Type="http://schemas.openxmlformats.org/officeDocument/2006/relationships/hyperlink" Target="https://arxiv.org/abs/2302.04040" TargetMode="External"/><Relationship Id="rId22" Type="http://schemas.openxmlformats.org/officeDocument/2006/relationships/hyperlink" Target="https://github.com/violet-sto/HN-GFN" TargetMode="External"/><Relationship Id="rId23" Type="http://schemas.openxmlformats.org/officeDocument/2006/relationships/hyperlink" Target="https://openreview.net/forum?id=kHSu4ebxFXY" TargetMode="External"/><Relationship Id="rId24" Type="http://schemas.openxmlformats.org/officeDocument/2006/relationships/hyperlink" Target="https://github.com/yutxie/mars" TargetMode="External"/><Relationship Id="rId25" Type="http://schemas.openxmlformats.org/officeDocument/2006/relationships/hyperlink" Target="https://pmc.ncbi.nlm.nih.gov/articles/PMC9241971/" TargetMode="External"/><Relationship Id="rId26" Type="http://schemas.openxmlformats.org/officeDocument/2006/relationships/hyperlink" Target="https://github.com/Jonas-Verhellen/MolecularGraphPare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EGFR/VEGFR2双靶点从头分子生成：基线与SCI二区实验设计</dc:title>
  <dc:subject>开源基线、方法比较、实验强度和统一评价协议</dc:subject>
  <dc:creator>Project research plan</dc:creator>
  <cp:keywords>molecular generation, EGFR, VEGFR2, VAE, PPO, Pareto, baseline</cp:keywords>
  <dc:description>generated by python-docx</dc:description>
  <cp:lastModifiedBy/>
  <cp:revision>1</cp:revision>
  <dcterms:created xsi:type="dcterms:W3CDTF">2013-12-23T23:15:00Z</dcterms:created>
  <dcterms:modified xsi:type="dcterms:W3CDTF">2013-12-23T23:15:00Z</dcterms:modified>
  <cp:category/>
</cp:coreProperties>
</file>