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pPr>
        <w:pStyle w:val="Heading1"/>
      </w:pPr>
      <w:r>
        <w:t>Table 4: Query Management Status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Site</w:t>
            </w:r>
          </w:p>
        </w:tc>
        <w:tc>
          <w:tcPr>
            <w:tcW w:type="dxa" w:w="2880"/>
          </w:tcPr>
          <w:p>
            <w:r>
              <w:t>Open Queries</w:t>
            </w:r>
          </w:p>
        </w:tc>
        <w:tc>
          <w:tcPr>
            <w:tcW w:type="dxa" w:w="2880"/>
          </w:tcPr>
          <w:p>
            <w:r>
              <w:t>Total Queries</w:t>
            </w:r>
          </w:p>
        </w:tc>
      </w:tr>
      <w:tr>
        <w:tc>
          <w:tcPr>
            <w:tcW w:type="dxa" w:w="2880"/>
          </w:tcPr>
          <w:p>
            <w:r>
              <w:t>01-Mbagathi Health Centre</w:t>
            </w:r>
          </w:p>
        </w:tc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65</w:t>
            </w:r>
          </w:p>
        </w:tc>
      </w:tr>
      <w:tr>
        <w:tc>
          <w:tcPr>
            <w:tcW w:type="dxa" w:w="2880"/>
          </w:tcPr>
          <w:p>
            <w:r>
              <w:t>02-Special Treatment Centre Casino Health Centre</w:t>
            </w:r>
          </w:p>
        </w:tc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24</w:t>
            </w:r>
          </w:p>
        </w:tc>
      </w:tr>
      <w:tr>
        <w:tc>
          <w:tcPr>
            <w:tcW w:type="dxa" w:w="2880"/>
          </w:tcPr>
          <w:p>
            <w:r>
              <w:t>03-Coast Provincial General Hospital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2</w:t>
            </w:r>
          </w:p>
        </w:tc>
      </w:tr>
      <w:tr>
        <w:tc>
          <w:tcPr>
            <w:tcW w:type="dxa" w:w="2880"/>
          </w:tcPr>
          <w:p>
            <w:r>
              <w:t>04-International Centre for Reproductive Health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6</w:t>
            </w:r>
          </w:p>
        </w:tc>
      </w:tr>
      <w:tr>
        <w:tc>
          <w:tcPr>
            <w:tcW w:type="dxa" w:w="2880"/>
          </w:tcPr>
          <w:p>
            <w:r>
              <w:t>05-Homa-Bay County Referral Hospital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47</w:t>
            </w:r>
          </w:p>
        </w:tc>
      </w:tr>
    </w:tbl>
    <w:p>
      <w:pPr>
        <w:spacing w:before="120" w:after="0"/>
      </w:pPr>
      <w:r>
        <w:rPr>
          <w:rFonts w:ascii="Calibri" w:hAnsi="Calibri"/>
          <w:i/>
          <w:sz w:val="20"/>
        </w:rPr>
        <w:t>*Open Queries:Queries pending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