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대구광역시 도시생태현황도</w:t>
        <w:br/>
        <w:t>1차(2019) ↔ 2차(2024) 변화탐지 보고서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sz w:val="20"/>
        </w:rPr>
        <w:t>작성일: 2026-07-04  ·  대상지: 대구광역시  ·  기준좌표계: EPSG:5179</w:t>
      </w:r>
    </w:p>
    <w:p/>
    <w:p>
      <w:pPr>
        <w:pStyle w:val="Heading1"/>
      </w:pPr>
      <w:r>
        <w:rPr>
          <w:rFonts w:ascii="맑은 고딕" w:hAnsi="맑은 고딕" w:eastAsia="맑은 고딕"/>
        </w:rPr>
        <w:t>요약 (Executive Summary)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2019·2024 두 시점의 비오톱 도형(15.3만/14.5만)을 EPSG:5179로 통일하고, 분류체계 차이를 공간중첩 기반 대응표로 해소한 뒤 유형·등급 변화를 산출하였다.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유형 변화(통합 14유형 기준): 전체의 93.7%가 유형을 유지, 6.3%(약 5,552 ha)가 전환. 변화의 핵심은 개발대기지(나지·유휴지)의 3배 증가로, 초지·조성녹지·공업지·농경지에서 유입되어 일부가 공동주택지로 전환되는 도시개발 사이클이 확인된다.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산림(99.0% 유지)·수계(96.7%) 등 자연기반은 대체로 안정적이다.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등급 변화는 두 조사의 채점 체계가 달라(2019 2등급 ≈ 2024 1등급) 직접 비교가 어렵다. 참고자료로만 제시한다.</w:t>
      </w:r>
    </w:p>
    <w:p>
      <w:pPr>
        <w:pStyle w:val="Heading1"/>
      </w:pPr>
      <w:r>
        <w:rPr>
          <w:rFonts w:ascii="맑은 고딕" w:hAnsi="맑은 고딕" w:eastAsia="맑은 고딕"/>
        </w:rPr>
        <w:t>1. 자료와 방법</w:t>
      </w:r>
    </w:p>
    <w:p>
      <w:r>
        <w:rPr>
          <w:rFonts w:ascii="맑은 고딕" w:hAnsi="맑은 고딕" w:eastAsia="맑은 고딕"/>
          <w:b/>
          <w:i w:val="0"/>
          <w:sz w:val="20"/>
        </w:rPr>
        <w:t>1.1 자료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1차(2019): 대구시 비오톱 등급평가 결과 (152,584 도형, 원본 EPSG:5186)</w:t>
        <w:br/>
        <w:t>· 2차(2024~25): 제2차 도시생태현황지도 보완제출용 (144,778 도형, 원본 EPSG:5187)</w:t>
      </w:r>
    </w:p>
    <w:p>
      <w:r>
        <w:rPr>
          <w:rFonts w:ascii="맑은 고딕" w:hAnsi="맑은 고딕" w:eastAsia="맑은 고딕"/>
          <w:b/>
          <w:i w:val="0"/>
          <w:sz w:val="20"/>
        </w:rPr>
        <w:t>1.2 전처리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좌표계 EPSG:5179로 통일, 깨진 도형 복구(1차 237·2차 767건), 속성 라벨 정제.</w:t>
      </w:r>
    </w:p>
    <w:p>
      <w:r>
        <w:rPr>
          <w:rFonts w:ascii="맑은 고딕" w:hAnsi="맑은 고딕" w:eastAsia="맑은 고딕"/>
          <w:b/>
          <w:i w:val="0"/>
          <w:sz w:val="20"/>
        </w:rPr>
        <w:t>1.3 분류체계 표준화(핵심)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1차(U대/중/소/세분류)와 2차(유형/피복/이용) 체계가 달라 직접 비교가 불가하다. 공간중첩(intersection) 면적을 기준으로 대응관계를 도출하고, 자연계열의 왜곡을 막기 위해 2019는 U소분류, 2024는 유형중분류를 각각 14개 '통합비교유형'으로 재라벨하여 동일 해상도로 비교하였다.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유형별로 융합(dissolve) 후 두 시점을 교차중첩하여 전이면적(ha) 행렬을 산출하였다.</w:t>
      </w:r>
    </w:p>
    <w:p>
      <w:pPr>
        <w:pStyle w:val="Heading1"/>
      </w:pPr>
      <w:r>
        <w:rPr>
          <w:rFonts w:ascii="맑은 고딕" w:hAnsi="맑은 고딕" w:eastAsia="맑은 고딕"/>
        </w:rPr>
        <w:t>2. 토지유형 변화 (2019 → 2024)</w:t>
      </w:r>
    </w:p>
    <w:p>
      <w:r>
        <w:rPr>
          <w:rFonts w:ascii="맑은 고딕" w:hAnsi="맑은 고딕" w:eastAsia="맑은 고딕"/>
          <w:b/>
          <w:i w:val="0"/>
          <w:sz w:val="18"/>
        </w:rPr>
        <w:t>표 2-1. 통합비교유형별 면적·유지·순변화 (단위: ha)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2019면적_ha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2024면적_ha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순변화_ha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유지_ha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유지율%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전출_ha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최대전출경로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산림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46,086.0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45,740.2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-345.7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45,617.3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99.0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468.7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초지·조성녹지(149ha)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농경지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10,167.9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9,726.0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-441.9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9,551.4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93.9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616.5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나지·유휴지(359ha)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교통시설지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5,899.3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5,750.4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-148.8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5,350.3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90.7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548.9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초지·조성녹지(194ha)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수계·습지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4,596.0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5,064.8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468.8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4,443.7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96.7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152.3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산림(42ha)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공업지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3,805.1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3,188.2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-616.9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3,082.5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81.0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722.6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나지·유휴지(510ha)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초지·조성녹지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3,066.5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2,224.0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-842.5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1,454.8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47.4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1,611.7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나지·유휴지(812ha)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공공용도지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3,000.0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3,058.3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58.3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2,636.2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87.9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363.8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초지·조성녹지(223ha)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공동주택지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2,985.4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3,212.1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226.7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2,914.5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97.6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70.9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나지·유휴지(44ha)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단독주택지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2,272.8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2,129.9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-142.9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2,067.6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91.0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205.2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나지·유휴지(122ha)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상업업무지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2,148.5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2,053.9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-94.6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1,957.0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91.1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191.5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나지·유휴지(75ha)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묘지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1,235.9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1,231.6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-4.3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1,188.4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96.2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47.5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나지·유휴지(21ha)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특수지역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1,123.1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1,253.9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130.7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1,121.7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99.9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1.5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나지·유휴지(1ha)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862.7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2,585.8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1,723.0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351.1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40.7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511.6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공동주택지(133ha)</w:t>
            </w:r>
          </w:p>
        </w:tc>
      </w:tr>
      <w:tr>
        <w:tc>
          <w:tcPr>
            <w:tcW w:type="dxa" w:w="12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주거상업혼합지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694.2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724.2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30.0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654.8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94.3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39.4</w:t>
            </w:r>
          </w:p>
        </w:tc>
        <w:tc>
          <w:tcPr>
            <w:tcW w:type="dxa" w:w="121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나지·유휴지(29ha)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18"/>
        </w:rPr>
        <w:t>그림 2-1. 유형 전이 히트맵 (행=2019, 열=2024; 대각선=유지)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6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5R_전이히트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i w:val="0"/>
          <w:sz w:val="20"/>
        </w:rPr>
        <w:t>2.1 주요 해석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전체 유지율 93.7% — 5년 간 대부분의 토지유형은 그대로 유지되었다.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개발 사이클: 나지·유휴지가 863→2,586 ha로 3배 증가(+1,723). 유입원은 초지·조성녹지(-842), 공업지(-617), 농경지(-442)이며, 나지·유휴지의 일부(133 ha)는 공동주택지로 전환되었다. 공동주택지는 +227 ha 증가, 단독주택지는 소폭 감소하여 아파트화 경향을 보인다.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자연기반 안정: 산림 99.0%, 수계·습지 96.7%, 농경지 93.9% 유지. 산림 순변화는 -346 ha로 미미하다.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초지·조성녹지는 유지율 47.4%로 가장 유동적이며 대부분 개발대기지로 전환되었다 — 도시녹지 관리의 주목 지점.</w:t>
      </w:r>
    </w:p>
    <w:p>
      <w:pPr>
        <w:pStyle w:val="Heading1"/>
      </w:pPr>
      <w:r>
        <w:rPr>
          <w:rFonts w:ascii="맑은 고딕" w:hAnsi="맑은 고딕" w:eastAsia="맑은 고딕"/>
        </w:rPr>
        <w:t>3. 비오톱 등급 변화 (참고)</w:t>
      </w:r>
    </w:p>
    <w:p>
      <w:r>
        <w:rPr>
          <w:rFonts w:ascii="맑은 고딕" w:hAnsi="맑은 고딕" w:eastAsia="맑은 고딕"/>
          <w:b/>
          <w:i w:val="0"/>
          <w:sz w:val="18"/>
        </w:rPr>
        <w:t>표 3-1. 등급별 면적·유지 (2024 최종평가등은 앞자리 주등급으로 정규화; 단위 ha)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2019면적_ha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2024면적_ha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순변화_ha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유지_ha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유지율%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19,644.1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54,167.0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34,522.9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19,405.8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98.8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20,842.9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4,665.0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-16,177.9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215.3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20,089.0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13,727.0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-6,362.1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5,921.8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29.5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2,933.2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2,778.1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-155.2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66.9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2.3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14,899.5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11,353.6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-3,545.9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4,590.2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30.8</w:t>
            </w:r>
          </w:p>
        </w:tc>
      </w:tr>
      <w:tr>
        <w:tc>
          <w:tcPr>
            <w:tcW w:type="dxa" w:w="162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평가제외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9,535.7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1,253.9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-8,281.8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1,143.1</w:t>
            </w:r>
          </w:p>
        </w:tc>
        <w:tc>
          <w:tcPr>
            <w:tcW w:type="dxa" w:w="1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sz w:val="18"/>
              </w:rPr>
              <w:t>12.0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18"/>
        </w:rPr>
        <w:t>그림 3-1. 등급 전이 히트맵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906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5G_등급히트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0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 w:val="0"/>
          <w:i w:val="0"/>
          <w:color w:val="B03000"/>
          <w:sz w:val="20"/>
        </w:rPr>
        <w:t>⚠ 해석 주의: 1등급이 19,644→54,167 ha로 급증하고 2019 2등급의 대부분(20,309 ha)이 2024 1등급으로 이동한 것은, 생태 개선이라기보다 두 조사의 등급 채점 기준이 다름을 시사한다(2019 2등급 ≈ 2024 1등급). 따라서 등급 전이는 '체계 차이'를 걷어낸 뒤에만 변화로 해석해야 하며, 본 절은 참고자료이다.</w:t>
      </w:r>
    </w:p>
    <w:p>
      <w:pPr>
        <w:pStyle w:val="Heading1"/>
      </w:pPr>
      <w:r>
        <w:rPr>
          <w:rFonts w:ascii="맑은 고딕" w:hAnsi="맑은 고딕" w:eastAsia="맑은 고딕"/>
        </w:rPr>
        <w:t>4. 한계와 다음 단계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자연계열은 소분류 해상도로 통합했으므로(산림 1종 등) 수종·천이 수준의 변화는 포착하지 않는다. 필요 시 U세분류 기반 세분화가 가능하다.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도로녹지↔교통, 물류시설지↔공공용도 등 일부 경계 유형은 매핑 판단에 따라 결과가 달라질 수 있다(config/crosswalk/통합비교유형_*.csv 에서 조정 가능).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&lt;1% 규모의 산림↔수계 등 미세 교차는 두 조사의 경계·판독 차이(노이즈)를 포함한다.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· 다음 단계: 등급체계 정합(대응표) 확정 → 모듈4(녹지·생태축 연결성), 모듈6(보전·개발 우선지역)으로 확장.</w:t>
      </w:r>
    </w:p>
    <w:p/>
    <w:p>
      <w:pPr>
        <w:jc w:val="center"/>
      </w:pPr>
      <w:r>
        <w:rPr>
          <w:rFonts w:ascii="맑은 고딕" w:hAnsi="맑은 고딕" w:eastAsia="맑은 고딕"/>
          <w:b w:val="0"/>
          <w:i/>
          <w:sz w:val="16"/>
        </w:rPr>
        <w:t>본 보고서는 자동 생성되었습니다 (src/report_change.py). 원자료: outputs/20260704/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