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공원녹지계획 계획지표 적용 가이드라인</w:t>
        <w:br/>
        <w:t>— 녹지 접근성·연결성</w:t>
      </w:r>
    </w:p>
    <w:p>
      <w:r>
        <w:rPr>
          <w:rFonts w:ascii="맑은 고딕" w:hAnsi="맑은 고딕" w:eastAsia="맑은 고딕"/>
          <w:b w:val="0"/>
          <w:sz w:val="18"/>
        </w:rPr>
        <w:t>작성일 2026-07-05 · 대상 대구광역시 · 근거 모듈4 분석(2019·2024)</w:t>
      </w:r>
    </w:p>
    <w:p>
      <w:pPr>
        <w:pStyle w:val="Heading1"/>
      </w:pPr>
      <w:r>
        <w:rPr>
          <w:rFonts w:ascii="맑은 고딕" w:hAnsi="맑은 고딕" w:eastAsia="맑은 고딕"/>
        </w:rPr>
        <w:t>0. 목적</w:t>
      </w:r>
    </w:p>
    <w:p>
      <w:r>
        <w:rPr>
          <w:rFonts w:ascii="맑은 고딕" w:hAnsi="맑은 고딕" w:eastAsia="맑은 고딕"/>
          <w:b w:val="0"/>
          <w:sz w:val="20"/>
        </w:rPr>
        <w:t>모듈4 산출물인 '도보 도달시간'과 '전류밀도'를 공원녹지계획의 계획지표로 쓰기 위한 변환·기준·적용법을 제시한다. 도달시간은 분 단위로 직관적이나, 전류밀도는 절대값이 무의미해 계획 언어(등급·용어)로 변환이 필요하다.</w:t>
      </w:r>
    </w:p>
    <w:p>
      <w:pPr>
        <w:pStyle w:val="Heading1"/>
      </w:pPr>
      <w:r>
        <w:rPr>
          <w:rFonts w:ascii="맑은 고딕" w:hAnsi="맑은 고딕" w:eastAsia="맑은 고딕"/>
        </w:rPr>
        <w:t>1. 두 계획지표 체계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녹지 접근성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녹지 연결성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의미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사람이 녹지를 얼마나 쉽게 누리나(공급·형평)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녹지가 얼마나 이어졌나(생태축·구조)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원자료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도보 도달시간(분)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전류밀도(상대값)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변환필요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낮음(직관적)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높음(등급·용어 변환)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계획개념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생활권공원 공급, 녹지소외 해소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그린네트워크, 생태축 보전·복원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2. 지표1 — 접근성(도달시간 → 등급·기준)</w:t>
      </w:r>
    </w:p>
    <w:p>
      <w:r>
        <w:rPr>
          <w:rFonts w:ascii="맑은 고딕" w:hAnsi="맑은 고딕" w:eastAsia="맑은 고딕"/>
          <w:b/>
          <w:sz w:val="20"/>
        </w:rPr>
        <w:t>2.1 도보시간 4등급 (국내외 기준 + 대구 실측 분포 반영)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등급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도보시간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계획 용어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대구 인구비율(2024)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Ⅰ 우수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≤5분(≈350m)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녹지 인접 생활권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49.5%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Ⅱ 양호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5~10분(≈700m)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도보권 녹지 생활권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31.8%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Ⅲ 보통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10~15분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준도보권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14.5%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Ⅳ 취약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15분 초과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녹지소외지역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4.2%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2.2 기준 근거: 도보 10분 생활권(생활SOC), 근린공원 유치거리 500m, 3-30-300 원칙(300m), WHO 권고 → '10분'을 목표선, '15분 초과'를 소외 기준선으로.</w:t>
      </w:r>
    </w:p>
    <w:p>
      <w:r>
        <w:rPr>
          <w:rFonts w:ascii="맑은 고딕" w:hAnsi="맑은 고딕" w:eastAsia="맑은 고딕"/>
          <w:b w:val="0"/>
          <w:sz w:val="20"/>
        </w:rPr>
        <w:t>2.3 대표 KPI: 「도보 10분 내 녹지 도달 인구비율」 = 현황 81.3%. 보조: 녹지소외인구(15분 초과)=4.2%(약 10만명). 목표 예시: 10분내 81.3%→90%(2030), 소외 4.2%→2%.</w:t>
      </w:r>
    </w:p>
    <w:p>
      <w:pPr>
        <w:pStyle w:val="Heading1"/>
      </w:pPr>
      <w:r>
        <w:rPr>
          <w:rFonts w:ascii="맑은 고딕" w:hAnsi="맑은 고딕" w:eastAsia="맑은 고딕"/>
        </w:rPr>
        <w:t>3. 지표2 — 연결성(전류밀도 → 계획 용어)</w:t>
      </w:r>
    </w:p>
    <w:p>
      <w:r>
        <w:rPr>
          <w:rFonts w:ascii="맑은 고딕" w:hAnsi="맑은 고딕" w:eastAsia="맑은 고딕"/>
          <w:b w:val="0"/>
          <w:sz w:val="20"/>
        </w:rPr>
        <w:t>3.1 전류밀도는 절대값이 무의미(상대순위만 유효) → ①연결성지수(0~100, 백분위) 또는 ②등급·용어로 변환.</w:t>
      </w:r>
    </w:p>
    <w:p>
      <w:r>
        <w:rPr>
          <w:rFonts w:ascii="맑은 고딕" w:hAnsi="맑은 고딕" w:eastAsia="맑은 고딕"/>
          <w:b/>
          <w:sz w:val="20"/>
        </w:rPr>
        <w:t>3.2 연결성 5등급 (대구 실측 백분위 기준) ★권장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등급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백분위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대구 임계값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계획 용어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계획 취급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 핵심연결축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상위5%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≥0.62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광역 생태코리더/그린네트워크 골격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절대보전, 축폭 확보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 주요연결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5~20%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0.33~0.62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주요 녹지축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보전·완충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 일반연결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20~50%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0.15~0.33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보조 연결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유지·관리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 연결취약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하위30~50%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0.05~0.15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잠재 단절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징검돌녹지 보완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5 연결단절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하위30%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&lt;0.05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연결 단절지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복원·신규연결(그린인프라)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3.3 핀치포인트(병목): 고전류 + 좁은 목 = 끊기면 넓은 두 녹지 연결이 사라지는 지점. 적은 투자로 큰 효과 → 최우선 보전·복원. 계획도서에 '우선관리 코리더'로 표기.</w:t>
      </w:r>
    </w:p>
    <w:p>
      <w:pPr>
        <w:pStyle w:val="Heading1"/>
      </w:pPr>
      <w:r>
        <w:rPr>
          <w:rFonts w:ascii="맑은 고딕" w:hAnsi="맑은 고딕" w:eastAsia="맑은 고딕"/>
        </w:rPr>
        <w:t>4. 통합 — 우선순위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연결성 낮음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연결성 높음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접근성 낮음(소외)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★최우선: 신규공원 공급 + 연결복원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공급 확충(축은 양호)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접근성 높음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연결 복원(공급은 충분)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유지·관리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접근성 등급도 × 연결성 등급도 → 4유형 처방도(주제도)로 지역별 처방 도출.</w:t>
      </w:r>
    </w:p>
    <w:p>
      <w:pPr>
        <w:pStyle w:val="Heading1"/>
      </w:pPr>
      <w:r>
        <w:rPr>
          <w:rFonts w:ascii="맑은 고딕" w:hAnsi="맑은 고딕" w:eastAsia="맑은 고딕"/>
        </w:rPr>
        <w:t>5. 계획 적용 5단계</w:t>
      </w:r>
    </w:p>
    <w:p>
      <w:r>
        <w:rPr>
          <w:rFonts w:ascii="맑은 고딕" w:hAnsi="맑은 고딕" w:eastAsia="맑은 고딕"/>
          <w:b w:val="0"/>
          <w:sz w:val="20"/>
        </w:rPr>
        <w:t>① 현황진단 — 접근성·연결성 등급 주제도 + 지표표, 소외지역·단절지 목록화</w:t>
      </w:r>
    </w:p>
    <w:p>
      <w:r>
        <w:rPr>
          <w:rFonts w:ascii="맑은 고딕" w:hAnsi="맑은 고딕" w:eastAsia="맑은 고딕"/>
          <w:b w:val="0"/>
          <w:sz w:val="20"/>
        </w:rPr>
        <w:t>② 목표설정 — KPI 수치목표(10분 도달 90%, 소외 2%, 핀치포인트 N개소 보전)</w:t>
      </w:r>
    </w:p>
    <w:p>
      <w:r>
        <w:rPr>
          <w:rFonts w:ascii="맑은 고딕" w:hAnsi="맑은 고딕" w:eastAsia="맑은 고딕"/>
          <w:b w:val="0"/>
          <w:sz w:val="20"/>
        </w:rPr>
        <w:t>③ 전략수립 — 우선순위 매트릭스로 지역별 처방(공급/연결/유지)</w:t>
      </w:r>
    </w:p>
    <w:p>
      <w:r>
        <w:rPr>
          <w:rFonts w:ascii="맑은 고딕" w:hAnsi="맑은 고딕" w:eastAsia="맑은 고딕"/>
          <w:b w:val="0"/>
          <w:sz w:val="20"/>
        </w:rPr>
        <w:t>④ 실행 — 신규공원·소생활권녹지, 생태코리더 보전지구, 단절지 그린인프라</w:t>
      </w:r>
    </w:p>
    <w:p>
      <w:r>
        <w:rPr>
          <w:rFonts w:ascii="맑은 고딕" w:hAnsi="맑은 고딕" w:eastAsia="맑은 고딕"/>
          <w:b w:val="0"/>
          <w:sz w:val="20"/>
        </w:rPr>
        <w:t>⑤ 모니터링 — 본 분석 시스템 재실행으로 지표 변화 성과관리(반복형 설계)</w:t>
      </w:r>
    </w:p>
    <w:p>
      <w:r>
        <w:rPr>
          <w:rFonts w:ascii="맑은 고딕" w:hAnsi="맑은 고딕" w:eastAsia="맑은 고딕"/>
          <w:b w:val="0"/>
          <w:sz w:val="18"/>
        </w:rPr>
        <w:t>계획도서 반영: 주제도 3종(접근성/연결성/통합처방), 지표표(전역·구군 현황·목표), 우선지역 목록.</w:t>
      </w:r>
    </w:p>
    <w:p>
      <w:pPr>
        <w:pStyle w:val="Heading1"/>
      </w:pPr>
      <w:r>
        <w:rPr>
          <w:rFonts w:ascii="맑은 고딕" w:hAnsi="맑은 고딕" w:eastAsia="맑은 고딕"/>
        </w:rPr>
        <w:t>6. 한계·유의</w:t>
      </w:r>
    </w:p>
    <w:p>
      <w:r>
        <w:rPr>
          <w:rFonts w:ascii="맑은 고딕" w:hAnsi="맑은 고딕" w:eastAsia="맑은 고딕"/>
          <w:b w:val="0"/>
          <w:sz w:val="18"/>
        </w:rPr>
        <w:t>· 연결성 등급은 상대값 — 비교 시 동일 저항표·코어기준 유지, 값이 아닌 순위·등급으로 소통.</w:t>
      </w:r>
    </w:p>
    <w:p>
      <w:r>
        <w:rPr>
          <w:rFonts w:ascii="맑은 고딕" w:hAnsi="맑은 고딕" w:eastAsia="맑은 고딕"/>
          <w:b w:val="0"/>
          <w:sz w:val="18"/>
        </w:rPr>
        <w:t>· 접근성은 도로망·인구 고정 → 변화는 녹지 공급 변화 중심 반영.</w:t>
      </w:r>
    </w:p>
    <w:p>
      <w:r>
        <w:rPr>
          <w:rFonts w:ascii="맑은 고딕" w:hAnsi="맑은 고딕" w:eastAsia="맑은 고딕"/>
          <w:b w:val="0"/>
          <w:sz w:val="18"/>
        </w:rPr>
        <w:t>· 임계값은 대구 분포 기준 — 타 지역은 재설정. 전류밀도 상승≠개선(파편화 병목집중), R_eff와 함께 해석.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