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대구광역시 녹지 연결성·접근성 변화 분석</w:t>
        <w:br/>
        <w:t>(2019 → 2024, 전역·구군·100m격자)</w:t>
      </w:r>
    </w:p>
    <w:p>
      <w:pPr>
        <w:jc w:val="center"/>
      </w:pPr>
      <w:r>
        <w:rPr>
          <w:rFonts w:ascii="맑은 고딕" w:hAnsi="맑은 고딕" w:eastAsia="맑은 고딕"/>
          <w:b w:val="0"/>
          <w:sz w:val="18"/>
        </w:rPr>
        <w:t>작성일 2026-07-05 · 대상지 대구광역시 · 좌표계 EPSG:5179</w:t>
      </w:r>
    </w:p>
    <w:p>
      <w:pPr>
        <w:pStyle w:val="Heading1"/>
      </w:pPr>
      <w:r>
        <w:rPr>
          <w:rFonts w:ascii="맑은 고딕" w:hAnsi="맑은 고딕" w:eastAsia="맑은 고딕"/>
        </w:rPr>
        <w:t>요약</w:t>
      </w:r>
    </w:p>
    <w:p>
      <w:r>
        <w:rPr>
          <w:rFonts w:ascii="맑은 고딕" w:hAnsi="맑은 고딕" w:eastAsia="맑은 고딕"/>
          <w:b w:val="0"/>
          <w:sz w:val="20"/>
        </w:rPr>
        <w:t>· 녹지(산림+조성녹지+수계·습지)의 연결성(회로이론)과 접근성(도로망 도보시간, 인구가중)을 2019·2024 두 시점에 대해 전역·구군·100m격자 3단위로 산출하였다.</w:t>
      </w:r>
    </w:p>
    <w:p>
      <w:r>
        <w:rPr>
          <w:rFonts w:ascii="맑은 고딕" w:hAnsi="맑은 고딕" w:eastAsia="맑은 고딕"/>
          <w:b w:val="0"/>
          <w:sz w:val="20"/>
        </w:rPr>
        <w:t>· 연결성은 5년간 악화되었다: 코어 간 유효저항 R_eff 18.56→22.34(+20%). 녹지 단편화로 흐름이 좁은 핀치포인트에 집중되었다.</w:t>
      </w:r>
    </w:p>
    <w:p>
      <w:r>
        <w:rPr>
          <w:rFonts w:ascii="맑은 고딕" w:hAnsi="맑은 고딕" w:eastAsia="맑은 고딕"/>
          <w:b w:val="0"/>
          <w:sz w:val="20"/>
        </w:rPr>
        <w:t>· 접근성은 소폭 개선되었다: 인구가중 평균 도보 6.22→6.02분, 10분내 녹지 도달인구 80.1→81.3%. 국지 녹지 면적 증가가 생활권 접근을 다소 높였다.</w:t>
      </w:r>
    </w:p>
    <w:p>
      <w:r>
        <w:rPr>
          <w:rFonts w:ascii="맑은 고딕" w:hAnsi="맑은 고딕" w:eastAsia="맑은 고딕"/>
          <w:b w:val="0"/>
          <w:sz w:val="20"/>
        </w:rPr>
        <w:t>· 즉 '가까운 녹지는 다소 늘었으나 큰 녹지축의 이어짐은 나빠진' 단편화가 핵심이다.</w:t>
      </w:r>
    </w:p>
    <w:p>
      <w:pPr>
        <w:pStyle w:val="Heading1"/>
      </w:pPr>
      <w:r>
        <w:rPr>
          <w:rFonts w:ascii="맑은 고딕" w:hAnsi="맑은 고딕" w:eastAsia="맑은 고딕"/>
        </w:rPr>
        <w:t>1. 자료와 방법</w:t>
      </w:r>
    </w:p>
    <w:p>
      <w:r>
        <w:rPr>
          <w:rFonts w:ascii="맑은 고딕" w:hAnsi="맑은 고딕" w:eastAsia="맑은 고딕"/>
          <w:b w:val="0"/>
          <w:sz w:val="20"/>
        </w:rPr>
        <w:t>· 녹지: 통합비교유형의 산림·초지/조성녹지·수계/습지(연도별). 도로망: 도로명주소 도로구간(공식), 두 시점 공통.</w:t>
      </w:r>
    </w:p>
    <w:p>
      <w:r>
        <w:rPr>
          <w:rFonts w:ascii="맑은 고딕" w:hAnsi="맑은 고딕" w:eastAsia="맑은 고딕"/>
          <w:b w:val="0"/>
          <w:sz w:val="20"/>
        </w:rPr>
        <w:t>· 연결성(회로이론): 유형별 저항면을 100m 격자로 만들고, 주요 녹지코어(상위 10개, ≥50ha) 쌍마다 1A를 흘려 누적 전류밀도(코리더·핀치포인트)와 코어간 유효저항 R_eff을 계산.</w:t>
      </w:r>
    </w:p>
    <w:p>
      <w:r>
        <w:rPr>
          <w:rFonts w:ascii="맑은 고딕" w:hAnsi="맑은 고딕" w:eastAsia="맑은 고딕"/>
          <w:b w:val="0"/>
          <w:sz w:val="20"/>
        </w:rPr>
        <w:t>· 접근성: 도로구간을 교차점 노딩해 보행 그래프를 만들고(도보 4.5km/h), 녹지 진입노드 다중출발 최단경로로 각 100m 인구격자(국토통계, 인구가중)의 최근접 녹지 도보시간을 산출.</w:t>
      </w:r>
    </w:p>
    <w:p>
      <w:r>
        <w:rPr>
          <w:rFonts w:ascii="맑은 고딕" w:hAnsi="맑은 고딕" w:eastAsia="맑은 고딕"/>
          <w:b w:val="0"/>
          <w:sz w:val="20"/>
        </w:rPr>
        <w:t>· 3공간단위: 전역(대구 전체)·구군(8개)·100m격자(래스터/차이맵).</w:t>
      </w:r>
    </w:p>
    <w:p>
      <w:pPr>
        <w:pStyle w:val="Heading1"/>
      </w:pPr>
      <w:r>
        <w:rPr>
          <w:rFonts w:ascii="맑은 고딕" w:hAnsi="맑은 고딕" w:eastAsia="맑은 고딕"/>
        </w:rPr>
        <w:t>2. 전역 결과</w:t>
      </w:r>
    </w:p>
    <w:p>
      <w:r>
        <w:rPr>
          <w:rFonts w:ascii="맑은 고딕" w:hAnsi="맑은 고딕" w:eastAsia="맑은 고딕"/>
          <w:b/>
          <w:sz w:val="18"/>
        </w:rPr>
        <w:t>표 2-1. 대구 전역 연결성·접근성 (2019 vs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연도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연결성_평균전류밀도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연결성_유효저항Reff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접근성_인구가중평균분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접근성_5분내%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접근성_10분내%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접근성_15분내%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2019.0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0.1928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18.563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6.22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48.6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80.1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94.4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2024.0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0.2197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22.342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6.02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49.5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81.3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95.8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그림 2-1. 연결성 변화 (2024-2019). 파랑=전류밀도 증가, 빨강=감소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_대구_연결성_차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18"/>
        </w:rPr>
        <w:t>그림 2-2. 접근성 변화 (2024-2019). 파랑=도보시간 단축(개선), 빨강=증가(악화)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_대구_접근성_차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맑은 고딕" w:hAnsi="맑은 고딕" w:eastAsia="맑은 고딕"/>
        </w:rPr>
        <w:t>3. 구·군 결과</w:t>
      </w:r>
    </w:p>
    <w:p>
      <w:r>
        <w:rPr>
          <w:rFonts w:ascii="맑은 고딕" w:hAnsi="맑은 고딕" w:eastAsia="맑은 고딕"/>
          <w:b/>
          <w:sz w:val="18"/>
        </w:rPr>
        <w:t>표 3-1. 구·군별 연결성(평균 전류밀도)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평균전류밀도_2019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평균전류밀도_2024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변화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남구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0.0928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0.1869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0.0941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달서구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0.1989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0.2531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0.0542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달성군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0.2006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0.2599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0.0593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동구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0.1404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0.1157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-0.0247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북구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0.2443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-0.0357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서구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0.1712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0.2141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0.0429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수성구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0.2018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0.207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0.0052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중구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0.054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0.0906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0.0366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표 3-2. 구·군별 접근성(인구가중 도보시간·10분내 도달%)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인구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평균_2019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평균_2024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평균변화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10분내%_2019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10분내%_2024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달서구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566,186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7.01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6.62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-0.39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74.0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76.7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북구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435,568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4.23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4.59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0.36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92.9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90.5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수성구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427,008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4.97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-0.14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90.0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89.9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동구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342,928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5.94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5.91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-0.03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80.6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81.4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달성군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246,111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4.7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4.3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90.7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93.6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서구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181,821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9.83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8.54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-1.29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54.2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63.4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남구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149,390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8.16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8.21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67.6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66.5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중구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78,552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11.4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11.13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-0.27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47.0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46.8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· 접근성 최악은 중구(11.4분)·서구(9.8분)로 도심 고밀지역이나, 서구는 5년간 -1.29분으로 개선폭이 가장 컸다.</w:t>
      </w:r>
    </w:p>
    <w:p>
      <w:r>
        <w:rPr>
          <w:rFonts w:ascii="맑은 고딕" w:hAnsi="맑은 고딕" w:eastAsia="맑은 고딕"/>
          <w:b w:val="0"/>
          <w:sz w:val="20"/>
        </w:rPr>
        <w:t>· 달서구·달성군은 접근성이 좋고(±) 추가 개선되었다. 북구는 접근성이 소폭 악화(+0.36분)되었다.</w:t>
      </w:r>
    </w:p>
    <w:p>
      <w:r>
        <w:rPr>
          <w:rFonts w:ascii="맑은 고딕" w:hAnsi="맑은 고딕" w:eastAsia="맑은 고딕"/>
          <w:b w:val="0"/>
          <w:sz w:val="20"/>
        </w:rPr>
        <w:t>· 연결성 전류밀도는 남부(달성군·달서구·남구)에서 증가, 북부 산지(동구·북구)에서 감소하는 공간 대비를 보였다.</w:t>
      </w:r>
    </w:p>
    <w:p>
      <w:r>
        <w:rPr>
          <w:rFonts w:ascii="맑은 고딕" w:hAnsi="맑은 고딕" w:eastAsia="맑은 고딕"/>
          <w:b w:val="0"/>
          <w:sz w:val="18"/>
        </w:rPr>
        <w:t>※ R_eff는 코어망 전체의 단일 스칼라라 구별로 분해되지 않으며, 구별 값은 '지역 녹지흐름이 그 구를 통과하는 강도(전류밀도)'로 해석한다. 전류밀도 증가가 곧 연결성 개선을 뜻하지는 않는다(핀치포인트 집중일 수 있음).</w:t>
      </w:r>
    </w:p>
    <w:p>
      <w:pPr>
        <w:pStyle w:val="Heading1"/>
      </w:pPr>
      <w:r>
        <w:rPr>
          <w:rFonts w:ascii="맑은 고딕" w:hAnsi="맑은 고딕" w:eastAsia="맑은 고딕"/>
        </w:rPr>
        <w:t>4. 100m 격자 · 파일럿(수성구)</w:t>
      </w:r>
    </w:p>
    <w:p>
      <w:r>
        <w:rPr>
          <w:rFonts w:ascii="맑은 고딕" w:hAnsi="맑은 고딕" w:eastAsia="맑은 고딕"/>
          <w:b w:val="0"/>
          <w:sz w:val="20"/>
        </w:rPr>
        <w:t>· 100m 격자 산출물은 전역 래스터(tif)와 차이맵으로 제공된다(그림 2-1·2-2).</w:t>
      </w:r>
    </w:p>
    <w:p>
      <w:r>
        <w:rPr>
          <w:rFonts w:ascii="맑은 고딕" w:hAnsi="맑은 고딕" w:eastAsia="맑은 고딕"/>
          <w:b/>
          <w:sz w:val="18"/>
        </w:rPr>
        <w:t>그림 4-1. 수성구 확대 — 연결성(좌)·접근성(우) 코리더/도보시간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C_수성구_2024_전류밀도_경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A_수성구_2024_접근시간_경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맑은 고딕" w:hAnsi="맑은 고딕" w:eastAsia="맑은 고딕"/>
        </w:rPr>
        <w:t>5. 해석</w:t>
      </w:r>
    </w:p>
    <w:p>
      <w:r>
        <w:rPr>
          <w:rFonts w:ascii="맑은 고딕" w:hAnsi="맑은 고딕" w:eastAsia="맑은 고딕"/>
          <w:b w:val="0"/>
          <w:sz w:val="20"/>
        </w:rPr>
        <w:t>· 연결성 악화 + 접근성 국지개선의 병존은 '녹지 파편화'의 전형이다. 개별 소규모 녹지는 늘어 생활권 접근은 좋아졌으나, 대형 녹지코어 사이의 생태적 이어짐(회로 흐름)은 끊겨 R_eff가 상승했다.</w:t>
      </w:r>
    </w:p>
    <w:p>
      <w:r>
        <w:rPr>
          <w:rFonts w:ascii="맑은 고딕" w:hAnsi="맑은 고딕" w:eastAsia="맑은 고딕"/>
          <w:b w:val="0"/>
          <w:sz w:val="20"/>
        </w:rPr>
        <w:t>· 정책 함의: 접근성이 나쁜 도심(중구·서구·남구)의 소생활권 녹지 확충과, 연결성이 끊긴 북부 산지축의 코리더(핀치포인트) 보전·복원을 구분해 접근할 필요가 있다.</w:t>
      </w:r>
    </w:p>
    <w:p>
      <w:pPr>
        <w:pStyle w:val="Heading1"/>
      </w:pPr>
      <w:r>
        <w:rPr>
          <w:rFonts w:ascii="맑은 고딕" w:hAnsi="맑은 고딕" w:eastAsia="맑은 고딕"/>
        </w:rPr>
        <w:t>6. 한계</w:t>
      </w:r>
    </w:p>
    <w:p>
      <w:r>
        <w:rPr>
          <w:rFonts w:ascii="맑은 고딕" w:hAnsi="맑은 고딕" w:eastAsia="맑은 고딕"/>
          <w:b w:val="0"/>
          <w:sz w:val="18"/>
        </w:rPr>
        <w:t>· 도로망·인구격자를 두 시점 공통(현재/2019)으로 고정 → 접근성 변화는 녹지 공급 변화만 반영.</w:t>
      </w:r>
    </w:p>
    <w:p>
      <w:r>
        <w:rPr>
          <w:rFonts w:ascii="맑은 고딕" w:hAnsi="맑은 고딕" w:eastAsia="맑은 고딕"/>
          <w:b w:val="0"/>
          <w:sz w:val="18"/>
        </w:rPr>
        <w:t>· 수계·습지를 녹지코어에 포함해 육상이동 저항은 근사이며, 저항값·코어기준은 config에서 조정 가능.</w:t>
      </w:r>
    </w:p>
    <w:p>
      <w:r>
        <w:rPr>
          <w:rFonts w:ascii="맑은 고딕" w:hAnsi="맑은 고딕" w:eastAsia="맑은 고딕"/>
          <w:b w:val="0"/>
          <w:sz w:val="18"/>
        </w:rPr>
        <w:t>· 연결성 저항면은 소분류 해상도이며 코어는 상위 10개 패치로 한정.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