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맑은 고딕" w:hAnsi="맑은 고딕" w:eastAsia="맑은 고딕"/>
        </w:rPr>
        <w:t>대구광역시 탄소계정 분석 보고서</w:t>
        <w:br/>
        <w:t>(도시생태현황도 기반, 2019·2024)</w:t>
      </w:r>
    </w:p>
    <w:p>
      <w:r>
        <w:rPr>
          <w:rFonts w:ascii="맑은 고딕" w:hAnsi="맑은 고딕" w:eastAsia="맑은 고딕"/>
          <w:b w:val="0"/>
          <w:sz w:val="18"/>
        </w:rPr>
        <w:t>작성일 2026-07-07 · 대상 대구광역시 · 좌표계 EPSG:5179 · 격자 100m</w:t>
      </w:r>
    </w:p>
    <w:p>
      <w:pPr>
        <w:pStyle w:val="Heading1"/>
      </w:pPr>
      <w:r>
        <w:rPr>
          <w:rFonts w:ascii="맑은 고딕" w:hAnsi="맑은 고딕" w:eastAsia="맑은 고딕"/>
        </w:rPr>
        <w:t>요약</w:t>
      </w:r>
    </w:p>
    <w:p>
      <w:r>
        <w:rPr>
          <w:rFonts w:ascii="맑은 고딕" w:hAnsi="맑은 고딕" w:eastAsia="맑은 고딕"/>
          <w:b w:val="0"/>
          <w:sz w:val="20"/>
        </w:rPr>
        <w:t>· 도시생태현황도 유형별 탄소저장(tC/ha)·연간흡수(tC/ha/yr) 계수를 결합해 대구 전역·구군·100m격자로 탄소계정을 산정하고, 2019→2024 저장변화로 토지변화 배출·축적을 계산하였다.</w:t>
      </w:r>
    </w:p>
    <w:p>
      <w:r>
        <w:rPr>
          <w:rFonts w:ascii="맑은 고딕" w:hAnsi="맑은 고딕" w:eastAsia="맑은 고딕"/>
          <w:b w:val="0"/>
          <w:sz w:val="20"/>
        </w:rPr>
        <w:t>· 산림 탄소는 수종(침엽·활엽·혼효)으로 세분해 그 해의 탄소 분포를 정밀 표현하였다.</w:t>
      </w:r>
    </w:p>
    <w:p>
      <w:r>
        <w:rPr>
          <w:rFonts w:ascii="맑은 고딕" w:hAnsi="맑은 고딕" w:eastAsia="맑은 고딕"/>
          <w:b w:val="0"/>
          <w:sz w:val="20"/>
        </w:rPr>
        <w:t>· 대구 전역 탄소저장은 약 6,346,553 tC이며, 연간 흡수는 약 229,261 tC/yr(≈840,624 tCO₂/yr)이다.</w:t>
      </w:r>
    </w:p>
    <w:p>
      <w:r>
        <w:rPr>
          <w:rFonts w:ascii="맑은 고딕" w:hAnsi="맑은 고딕" w:eastAsia="맑은 고딕"/>
          <w:b w:val="0"/>
          <w:color w:val="B03000"/>
          <w:sz w:val="20"/>
        </w:rPr>
        <w:t>· 5년간 토지변화로 순 탄소저장이 감소하였다(녹지→시가화 전용에 따른 배출이 축적을 상회).</w:t>
      </w:r>
    </w:p>
    <w:p>
      <w:pPr>
        <w:pStyle w:val="Heading1"/>
      </w:pPr>
      <w:r>
        <w:rPr>
          <w:rFonts w:ascii="맑은 고딕" w:hAnsi="맑은 고딕" w:eastAsia="맑은 고딕"/>
        </w:rPr>
        <w:t>1. 자료와 방법</w:t>
      </w:r>
    </w:p>
    <w:p>
      <w:r>
        <w:rPr>
          <w:rFonts w:ascii="맑은 고딕" w:hAnsi="맑은 고딕" w:eastAsia="맑은 고딕"/>
          <w:b/>
          <w:sz w:val="20"/>
        </w:rPr>
        <w:t>1.1 계수 출처</w:t>
      </w:r>
    </w:p>
    <w:p>
      <w:r>
        <w:rPr>
          <w:rFonts w:ascii="맑은 고딕" w:hAnsi="맑은 고딕" w:eastAsia="맑은 고딕"/>
          <w:b w:val="0"/>
          <w:sz w:val="20"/>
        </w:rPr>
        <w:t>· 산림·습지 저장/흡수: 국립산림과학원(2022)[원고 표4-13] — 참나무류림 135 tC/ha·5.2, 소나무림 98·4.1, 혼효림 118·4.8.</w:t>
      </w:r>
    </w:p>
    <w:p>
      <w:r>
        <w:rPr>
          <w:rFonts w:ascii="맑은 고딕" w:hAnsi="맑은 고딕" w:eastAsia="맑은 고딕"/>
          <w:b w:val="0"/>
          <w:sz w:val="20"/>
        </w:rPr>
        <w:t>· 도시림 흡수 2.4 tC/ha/yr: Nowak et al.(2013). 토양탄소(초지·농경지·시가화·나지): IPCC 2006 Tier1 + 이경학 외(2006) + 박은진·강규이(2009).</w:t>
      </w:r>
    </w:p>
    <w:p>
      <w:r>
        <w:rPr>
          <w:rFonts w:ascii="맑은 고딕" w:hAnsi="맑은 고딕" w:eastAsia="맑은 고딕"/>
          <w:b/>
          <w:sz w:val="20"/>
        </w:rPr>
        <w:t>1.2 유형 결합·수종 세분</w:t>
      </w:r>
    </w:p>
    <w:p>
      <w:r>
        <w:rPr>
          <w:rFonts w:ascii="맑은 고딕" w:hAnsi="맑은 고딕" w:eastAsia="맑은 고딕"/>
          <w:b w:val="0"/>
          <w:sz w:val="20"/>
        </w:rPr>
        <w:t>· 2019는 U소분류(산림은 U세분류로 수종 판별), 2024는 유형중분류로 통합비교유형에 결합. 산림은 침엽·활엽·혼효·인공·기타로 세분해 계수를 차등 적용.</w:t>
      </w:r>
    </w:p>
    <w:p>
      <w:r>
        <w:rPr>
          <w:rFonts w:ascii="맑은 고딕" w:hAnsi="맑은 고딕" w:eastAsia="맑은 고딕"/>
          <w:b/>
          <w:sz w:val="20"/>
        </w:rPr>
        <w:t>1.3 변화·배출 산정(중요)</w:t>
      </w:r>
    </w:p>
    <w:p>
      <w:r>
        <w:rPr>
          <w:rFonts w:ascii="맑은 고딕" w:hAnsi="맑은 고딕" w:eastAsia="맑은 고딕"/>
          <w:b w:val="0"/>
          <w:sz w:val="20"/>
        </w:rPr>
        <w:t>· 2019 U세분류와 2024 유형중분류의 산림 분류체계가 달라(2019 혼효림 다수 ↔ 2024 침엽·인공 위주) 수종 세분값을 그대로 연도 비교하면 재분류 아티팩트가 발생한다. 따라서 연도 비교(배출·축적)는 산림을 단일계수(저장 115 tC/ha·흡수 4.6)로 평탄화해 비교 가능하게 산정하였다. 수종 세분값은 각 연도 현황(스냅샷)에만 사용한다.</w:t>
      </w:r>
    </w:p>
    <w:p>
      <w:pPr>
        <w:pStyle w:val="Heading1"/>
      </w:pPr>
      <w:r>
        <w:rPr>
          <w:rFonts w:ascii="맑은 고딕" w:hAnsi="맑은 고딕" w:eastAsia="맑은 고딕"/>
        </w:rPr>
        <w:t>2. 전역 탄소계정</w:t>
      </w:r>
    </w:p>
    <w:p>
      <w:r>
        <w:rPr>
          <w:rFonts w:ascii="맑은 고딕" w:hAnsi="맑은 고딕" w:eastAsia="맑은 고딕"/>
          <w:b/>
          <w:sz w:val="18"/>
        </w:rPr>
        <w:t>표 2-1. 대구 전역 탄소저장·흡수 (2019 vs 2024)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지표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2019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2024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변화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7"/>
              </w:rPr>
              <w:t>탄소저장 tC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6,403,285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6,346,553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-56,732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7"/>
              </w:rPr>
              <w:t>연간흡수 tC/yr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232,516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229,261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-3,255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7"/>
              </w:rPr>
              <w:t>연간흡수 tCO2/yr(환산)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852,562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840,624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-11,937</w:t>
            </w:r>
          </w:p>
        </w:tc>
      </w:tr>
    </w:tbl>
    <w:p>
      <w:r>
        <w:rPr>
          <w:rFonts w:ascii="맑은 고딕" w:hAnsi="맑은 고딕" w:eastAsia="맑은 고딕"/>
          <w:b/>
          <w:sz w:val="20"/>
        </w:rPr>
        <w:t>· 토지변화 배출 102,349 tC(≈375,280 tCO₂), 축적 48,382 tC → 순 -53,967 tC(손실).</w:t>
      </w:r>
    </w:p>
    <w:p>
      <w:r>
        <w:rPr>
          <w:rFonts w:ascii="맑은 고딕" w:hAnsi="맑은 고딕" w:eastAsia="맑은 고딕"/>
          <w:b/>
          <w:sz w:val="18"/>
        </w:rPr>
        <w:t>그림 2-1. 대구 탄소계정 공간표현 (A 저장 · B 흡수 · C 토지변화 수지 · D 구별 순배출)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5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2_탄소계정_종합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5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맑은 고딕" w:hAnsi="맑은 고딕" w:eastAsia="맑은 고딕"/>
        </w:rPr>
        <w:t>3. 수종별 탄소 (현황 정밀)</w:t>
      </w:r>
    </w:p>
    <w:p>
      <w:r>
        <w:rPr>
          <w:rFonts w:ascii="맑은 고딕" w:hAnsi="맑은 고딕" w:eastAsia="맑은 고딕"/>
          <w:b/>
          <w:sz w:val="18"/>
        </w:rPr>
        <w:t>표 3-1. 산림 수종별 면적·탄소저장 (스냅샷; 2019·2024 산림분류체계 상이로 직접비교 주의)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탄소유형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면적ha_2019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저장tC_2019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면적ha_2024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저장tC_2024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7"/>
              </w:rPr>
              <w:t>침엽수림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16,834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1,649,691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23,817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2,334,062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7"/>
              </w:rPr>
              <w:t>활엽수림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4,422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596,941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12,074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1,630,052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7"/>
              </w:rPr>
              <w:t>인공림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321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28,916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9,685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871,655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7"/>
              </w:rPr>
              <w:t>산림기타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0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0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155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3,108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7"/>
              </w:rPr>
              <w:t>혼효림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24,511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2,892,264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8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988</w:t>
            </w:r>
          </w:p>
        </w:tc>
      </w:tr>
    </w:tbl>
    <w:p>
      <w:r>
        <w:rPr>
          <w:rFonts w:ascii="맑은 고딕" w:hAnsi="맑은 고딕" w:eastAsia="맑은 고딕"/>
          <w:b w:val="0"/>
          <w:sz w:val="18"/>
        </w:rPr>
        <w:t>※ 2019 '혼효림'의 상당수가 2024 유형중분류에서 침엽·활엽·인공림으로 재배정된다. 이는 실제 산림변화가 아니라 분류체계 차이이므로, 위 표는 각 연도 내 구성 파악용이며 연도 간 수종 증감으로 해석하지 않는다.</w:t>
      </w:r>
    </w:p>
    <w:p>
      <w:r>
        <w:rPr>
          <w:rFonts w:ascii="맑은 고딕" w:hAnsi="맑은 고딕" w:eastAsia="맑은 고딕"/>
          <w:b/>
          <w:sz w:val="18"/>
        </w:rPr>
        <w:t>그림 3-1. 탄소저장 밀도 분포 2024 (수종 세분 반영, tC/ha)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42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2_탄소저장분포_202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2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맑은 고딕" w:hAnsi="맑은 고딕" w:eastAsia="맑은 고딕"/>
        </w:rPr>
        <w:t>4. 구·군 탄소계정</w:t>
      </w:r>
    </w:p>
    <w:p>
      <w:r>
        <w:rPr>
          <w:rFonts w:ascii="맑은 고딕" w:hAnsi="맑은 고딕" w:eastAsia="맑은 고딕"/>
          <w:b/>
          <w:sz w:val="18"/>
        </w:rPr>
        <w:t>표 4-1. 구·군별 탄소저장·흡수·토지변화 수지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구군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저장_tC_2019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흡수_tCyr_2019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저장_tC_2024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흡수_tCyr_2024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순저장변화_tC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배출_tC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축적_tC</w:t>
            </w:r>
          </w:p>
        </w:tc>
      </w:tr>
      <w:tr>
        <w:tc>
          <w:tcPr>
            <w:tcW w:type="dxa" w:w="124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7"/>
              </w:rPr>
              <w:t>달성군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3,455,919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124,702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3,416,847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122,509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-36,307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54,616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18,309</w:t>
            </w:r>
          </w:p>
        </w:tc>
      </w:tr>
      <w:tr>
        <w:tc>
          <w:tcPr>
            <w:tcW w:type="dxa" w:w="124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7"/>
              </w:rPr>
              <w:t>동구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1,409,527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51,917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1,402,591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51,505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-6,936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17,518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10,582</w:t>
            </w:r>
          </w:p>
        </w:tc>
      </w:tr>
      <w:tr>
        <w:tc>
          <w:tcPr>
            <w:tcW w:type="dxa" w:w="124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7"/>
              </w:rPr>
              <w:t>북구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615,523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22,637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602,137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21,997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-13,386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20,546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7,160</w:t>
            </w:r>
          </w:p>
        </w:tc>
      </w:tr>
      <w:tr>
        <w:tc>
          <w:tcPr>
            <w:tcW w:type="dxa" w:w="124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7"/>
              </w:rPr>
              <w:t>수성구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490,406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17,794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492,398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17,783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1,992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3,893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5,885</w:t>
            </w:r>
          </w:p>
        </w:tc>
      </w:tr>
      <w:tr>
        <w:tc>
          <w:tcPr>
            <w:tcW w:type="dxa" w:w="124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7"/>
              </w:rPr>
              <w:t>달서구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295,139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10,715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295,743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10,782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604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3,192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3,796</w:t>
            </w:r>
          </w:p>
        </w:tc>
      </w:tr>
      <w:tr>
        <w:tc>
          <w:tcPr>
            <w:tcW w:type="dxa" w:w="124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7"/>
              </w:rPr>
              <w:t>남구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90,636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3,357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90,840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3,343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204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281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485</w:t>
            </w:r>
          </w:p>
        </w:tc>
      </w:tr>
      <w:tr>
        <w:tc>
          <w:tcPr>
            <w:tcW w:type="dxa" w:w="124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7"/>
              </w:rPr>
              <w:t>서구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37,847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1,200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37,288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1,148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-559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2,101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1,542</w:t>
            </w:r>
          </w:p>
        </w:tc>
      </w:tr>
      <w:tr>
        <w:tc>
          <w:tcPr>
            <w:tcW w:type="dxa" w:w="124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7"/>
              </w:rPr>
              <w:t>중구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8,288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191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8,709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191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421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202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7"/>
              </w:rPr>
              <w:t>623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· 배출 최대는 달성군(54,616 tC)로 산지 전용에 기인한다. 달성군·북구·동구가 주요 배출원, 수성구·달서구 등은 순 축적(음의 배출)을 보인다.</w:t>
      </w:r>
    </w:p>
    <w:p>
      <w:pPr>
        <w:pStyle w:val="Heading1"/>
      </w:pPr>
      <w:r>
        <w:rPr>
          <w:rFonts w:ascii="맑은 고딕" w:hAnsi="맑은 고딕" w:eastAsia="맑은 고딕"/>
        </w:rPr>
        <w:t>5. 토지변화 탄소수지</w:t>
      </w:r>
    </w:p>
    <w:p>
      <w:r>
        <w:rPr>
          <w:rFonts w:ascii="맑은 고딕" w:hAnsi="맑은 고딕" w:eastAsia="맑은 고딕"/>
          <w:b/>
          <w:sz w:val="18"/>
        </w:rPr>
        <w:t>그림 5-1. 토지변화 탄소수지 (2019→2024). 빨강=배출(녹지→시가화 저장손실), 파랑=축적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4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2_탄소수지_차이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b w:val="0"/>
          <w:sz w:val="20"/>
        </w:rPr>
        <w:t>· 배출 집중지는 북·동구 산지 전용 지점이며, 하천·복원지에서 소규모 축적이 나타난다. 앞선 연결성 악화·개발 사이클과 일관된 결과이다.</w:t>
      </w:r>
    </w:p>
    <w:p>
      <w:pPr>
        <w:pStyle w:val="Heading1"/>
      </w:pPr>
      <w:r>
        <w:rPr>
          <w:rFonts w:ascii="맑은 고딕" w:hAnsi="맑은 고딕" w:eastAsia="맑은 고딕"/>
        </w:rPr>
        <w:t>6. 한계</w:t>
      </w:r>
    </w:p>
    <w:p>
      <w:r>
        <w:rPr>
          <w:rFonts w:ascii="맑은 고딕" w:hAnsi="맑은 고딕" w:eastAsia="맑은 고딕"/>
          <w:b w:val="0"/>
          <w:sz w:val="18"/>
        </w:rPr>
        <w:t>· 비산림(초지·농경·시가화·나지) 계수는 문헌 근사치로, 절대량보다 상대·변화 방향의 신뢰도가 높다. config/carbon_coefficients.csv 에서 조정 후 재실행 가능.</w:t>
      </w:r>
    </w:p>
    <w:p>
      <w:r>
        <w:rPr>
          <w:rFonts w:ascii="맑은 고딕" w:hAnsi="맑은 고딕" w:eastAsia="맑은 고딕"/>
          <w:b w:val="0"/>
          <w:sz w:val="18"/>
        </w:rPr>
        <w:t>· 배출은 '토지변화에 따른 저장탄소 손실'로 산정하며, 화석연료·에너지 배출은 포함하지 않는다.</w:t>
      </w:r>
    </w:p>
    <w:p>
      <w:r>
        <w:rPr>
          <w:rFonts w:ascii="맑은 고딕" w:hAnsi="맑은 고딕" w:eastAsia="맑은 고딕"/>
          <w:b w:val="0"/>
          <w:sz w:val="18"/>
        </w:rPr>
        <w:t>· 산림 수종 세분은 두 조사의 분류체계 차이로 연도 비교엔 부적합(평탄화로 보정).</w:t>
      </w:r>
    </w:p>
    <w:p>
      <w:pPr>
        <w:pStyle w:val="Heading1"/>
      </w:pPr>
      <w:r>
        <w:rPr>
          <w:rFonts w:ascii="맑은 고딕" w:hAnsi="맑은 고딕" w:eastAsia="맑은 고딕"/>
        </w:rPr>
        <w:t>부록. 탄소계수표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탄소유형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탄소저장_tC_ha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연간흡수_tC_ha_yr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근거_비고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6"/>
              </w:rPr>
              <w:t>침엽수림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98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4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소나무림(자연) 국립산림과학원2022-원고표4-13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6"/>
              </w:rPr>
              <w:t>활엽수림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135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5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참나무류림(자연) 국립산림과학원2022-원고표4-13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6"/>
              </w:rPr>
              <w:t>혼효림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118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5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혼효림 국립산림과학원2022-원고표4-13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6"/>
              </w:rPr>
              <w:t>인공림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90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4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복원·임업 조림지(자연림보다 낮게 근사) ★조정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6"/>
              </w:rPr>
              <w:t>산림기타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20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0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산림내 비식생지·훼손지(저탄소) ★조정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6"/>
              </w:rPr>
              <w:t>수계·습지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60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2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습지흡수 Nahlik&amp;Fennessy2016·Mcleod2011(3.2~3.5)와 개방수면0 혼재 보정 ★조정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6"/>
              </w:rPr>
              <w:t>초지·조성녹지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40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2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도시림 흡수2.4 tC/ha/yr(Nowak2013); 저장 초지SOC 근사(이경학2006/IPCC2006) ★조정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6"/>
              </w:rPr>
              <w:t>농경지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45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0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경작지 토양탄소 중심(IPCC2006 Tier1·이경학2006); 순흡수≈0(수확) ★조정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6"/>
              </w:rPr>
              <w:t>묘지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30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1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초지성 근사 ★조정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6"/>
              </w:rPr>
              <w:t>나지·유휴지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10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0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식생·토양탄소 미미 ★조정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6"/>
              </w:rPr>
              <w:t>공공용도지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15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0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시가화(일부 오픈스페이스); 박은진·강규이2009 참고 ★조정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6"/>
              </w:rPr>
              <w:t>단독주택지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12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0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시가화(정원·가로수) ★조정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6"/>
              </w:rPr>
              <w:t>공동주택지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12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0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시가화(단지녹지) ★조정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6"/>
              </w:rPr>
              <w:t>주거상업혼합지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10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0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시가화 ★조정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6"/>
              </w:rPr>
              <w:t>상업업무지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8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0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시가화 ★조정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6"/>
              </w:rPr>
              <w:t>공업지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8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0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시가화 ★조정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6"/>
              </w:rPr>
              <w:t>특수지역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10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0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시가화 ★조정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6"/>
              </w:rPr>
              <w:t>교통시설지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5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0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6"/>
              </w:rPr>
              <w:t>도로·철도 ★조정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