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rPr>
        <w:t>제4장  도시 녹지네트워크 평가지표의 시범 적용 및 검증</w:t>
        <w:br/>
        <w:t>— 대구광역시 녹지 연결성·접근성 분석</w:t>
      </w:r>
    </w:p>
    <w:p>
      <w:pPr>
        <w:jc w:val="center"/>
      </w:pPr>
      <w:r>
        <w:rPr>
          <w:rFonts w:ascii="맑은 고딕" w:hAnsi="맑은 고딕" w:eastAsia="맑은 고딕"/>
          <w:b w:val="0"/>
          <w:color w:val="404040"/>
          <w:sz w:val="20"/>
        </w:rPr>
        <w:t>연결성(회로이론) · 접근성(도로망 도보시간) 평가지표의 GIS 기반 적용</w:t>
      </w:r>
    </w:p>
    <w:p>
      <w:pPr>
        <w:pStyle w:val="Heading1"/>
      </w:pPr>
      <w:r>
        <w:rPr>
          <w:rFonts w:ascii="맑은 고딕" w:hAnsi="맑은 고딕" w:eastAsia="맑은 고딕"/>
        </w:rPr>
        <w:t>제1절  분석 개요</w:t>
      </w:r>
    </w:p>
    <w:p>
      <w:pPr>
        <w:pStyle w:val="Heading2"/>
      </w:pPr>
      <w:r>
        <w:rPr>
          <w:rFonts w:ascii="맑은 고딕" w:hAnsi="맑은 고딕" w:eastAsia="맑은 고딕"/>
        </w:rPr>
        <w:t>1. 배경</w:t>
      </w:r>
    </w:p>
    <w:p>
      <w:r>
        <w:rPr>
          <w:rFonts w:ascii="맑은 고딕" w:hAnsi="맑은 고딕" w:eastAsia="맑은 고딕"/>
          <w:b w:val="0"/>
          <w:sz w:val="21"/>
        </w:rPr>
        <w:t>도시 녹지는 시민의 여가·건강·미기후 조절과 생물다양성 유지의 핵심 기반이며, 개별 공원·녹지의 총량뿐 아니라 이들이 하나의 체계로 연결된 ‘녹지네트워크’로서 기능할 때 그 생태적·사회적 효용이 극대화된다. 그러나 우리나라의 공원녹지 계획 실무는 여전히 1인당 공원면적·녹지율과 같은 총량 지표에 크게 의존하고 있으며, 녹지가 공간적으로 얼마나 이어져 있는가(연결성)와 시민이 얼마나 쉽게 도달할 수 있는가(접근성)를 정량적으로 평가하는 표준화된 지표 체계는 제대로 갖추어져 있지 않다.</w:t>
      </w:r>
    </w:p>
    <w:p>
      <w:r>
        <w:rPr>
          <w:rFonts w:ascii="맑은 고딕" w:hAnsi="맑은 고딕" w:eastAsia="맑은 고딕"/>
          <w:b w:val="0"/>
          <w:sz w:val="21"/>
        </w:rPr>
        <w:t>이러한 평가지표의 부재는 계획 과정에서 두 가지 문제를 낳는다. 첫째, 녹지네트워크의 현황과 문제 지점을 객관적으로 진단하지 못한 채 정성적 판단에 의존하게 되어, 어디를 우선적으로 보전·복원·확충해야 하는지에 대한 근거가 취약하다. 둘째, 계획서에 담을 수 있는 녹지네트워크 관련 계획지표(목표치·성과지표)를 제시하지 못하여, 사업의 성과를 반복적으로 점검하고 관리하는 성과관리 체계로 이어지지 못한다. 결과적으로 녹지네트워크는 계획의 수사(修辭)로만 남고, 실제 공간 배분과 투자 우선순위를 이끄는 계획지표로 작동하지 못하고 있다.</w:t>
      </w:r>
    </w:p>
    <w:p>
      <w:r>
        <w:rPr>
          <w:rFonts w:ascii="맑은 고딕" w:hAnsi="맑은 고딕" w:eastAsia="맑은 고딕"/>
          <w:b w:val="0"/>
          <w:sz w:val="21"/>
        </w:rPr>
        <w:t>국내 공원녹지 관련 지표는 「도시공원 및 녹지 등에 관한 법률」의 1인당 공원면적, 도시기본계획의 녹지율 등 총량·비율 지표가 중심을 이룬다. 이들은 확보 수준을 관리하는 데는 유용하나, 녹지가 ‘어떻게 이어져 있고’ ‘누구에게 닿는가’를 설명하지 못한다. 같은 녹지율이라도 하나의 큰 공원으로 존재하는 경우와 여러 소공원이 고르게 분포하는 경우는 생태적 연결성과 이용 형평이 전혀 다르다. 국외에서는 베를린의 생태면적률(BFF), 시애틀·말뫼의 그린팩터(Green Factor), 3-30-300 녹지원칙 등 구조·형평을 반영한 지표가 제도화되어 있으나, 국내에는 이에 상응하는 표준 평가지표와 산출 방법이 정립되어 있지 않다.</w:t>
      </w:r>
    </w:p>
    <w:p>
      <w:r>
        <w:rPr>
          <w:rFonts w:ascii="맑은 고딕" w:hAnsi="맑은 고딕" w:eastAsia="맑은 고딕"/>
          <w:b w:val="0"/>
          <w:sz w:val="21"/>
        </w:rPr>
        <w:t>본 연구는 이 공백을 메우기 위해 도시 녹지네트워크를 정량적으로 평가할 수 있는 두 축의 지표 — 생태적 구조를 보는 ‘연결성’과 시민의 이용 형평을 보는 ‘접근성’ — 를 설정하고, 그 산출 방법론을 정립하였다(제3장). 본 장에서는 이 지표 체계를 실제 도시(대구광역시)에 시범 적용하여, 지표가 계획 실무에서 작동 가능한지, 그리고 어떤 공간적 진단과 정책 함의를 도출하는지를 검증한다. 연결성 지표에는 경관생태학에서 종의 이동·유전자 흐름 모델링에 널리 쓰이는 회로이론을, 접근성 지표에는 실제 도로망을 따른 도보 도달시간을 적용하였다. 이는 직선거리·버퍼 기반의 기존 접근성 평가나 최소비용경로 단일 코리더 분석의 한계를 넘어, 네트워크 전체의 흐름과 실제 보행 여건을 반영하려는 시도다.</w:t>
      </w:r>
    </w:p>
    <w:p>
      <w:pPr>
        <w:pStyle w:val="Heading2"/>
      </w:pPr>
      <w:r>
        <w:rPr>
          <w:rFonts w:ascii="맑은 고딕" w:hAnsi="맑은 고딕" w:eastAsia="맑은 고딕"/>
        </w:rPr>
        <w:t>2. 목적</w:t>
      </w:r>
    </w:p>
    <w:p>
      <w:r>
        <w:rPr>
          <w:rFonts w:ascii="맑은 고딕" w:hAnsi="맑은 고딕" w:eastAsia="맑은 고딕"/>
          <w:b w:val="0"/>
          <w:sz w:val="21"/>
        </w:rPr>
        <w:t>본 장의 목적은 앞서 설정한 녹지네트워크 평가지표를 대구광역시에 GIS 기반으로 시범 적용하여 다음을 확인·도출하는 데 있다.</w:t>
      </w:r>
    </w:p>
    <w:p>
      <w:r>
        <w:rPr>
          <w:rFonts w:ascii="맑은 고딕" w:hAnsi="맑은 고딕" w:eastAsia="맑은 고딕"/>
          <w:b w:val="0"/>
          <w:sz w:val="21"/>
        </w:rPr>
        <w:t>① (적용가능성 검증) 연결성 지표로 ‘회로이론(circuit theory) 기반 전류밀도·유효저항’을, 접근성 지표로 ‘도로망 기반 실제 도보 도달시간’을 실제 도시 데이터에 적용할 수 있는지, 그리고 그 산출 결과가 계획적으로 해석 가능한 형태로 나오는지를 검증한다.</w:t>
      </w:r>
    </w:p>
    <w:p>
      <w:r>
        <w:rPr>
          <w:rFonts w:ascii="맑은 고딕" w:hAnsi="맑은 고딕" w:eastAsia="맑은 고딕"/>
          <w:b w:val="0"/>
          <w:sz w:val="21"/>
        </w:rPr>
        <w:t>② (공간 진단) 두 지표를 전역·구군·100m 격자의 세 공간단위로 산출하여, 대구 녹지네트워크의 연결성·접근성 현황과 2019→2024년의 변화를 진단한다.</w:t>
      </w:r>
    </w:p>
    <w:p>
      <w:r>
        <w:rPr>
          <w:rFonts w:ascii="맑은 고딕" w:hAnsi="맑은 고딕" w:eastAsia="맑은 고딕"/>
          <w:b w:val="0"/>
          <w:sz w:val="21"/>
        </w:rPr>
        <w:t>③ (계획적 활용·녹지 추가지역 도출) 두 지표를 접목하여 ‘신규 녹지를 우선 확충해야 할 지역’을 도출한다. 특히 성격이 대비되는 두 자치구(수성구·중구)를 대상으로 정밀 검토하여, 지표 접목이 실제 계획 의사결정으로 연결되는 경로를 예시한다.</w:t>
      </w:r>
    </w:p>
    <w:p>
      <w:r>
        <w:rPr>
          <w:rFonts w:ascii="맑은 고딕" w:hAnsi="맑은 고딕" w:eastAsia="맑은 고딕"/>
          <w:b w:val="0"/>
          <w:sz w:val="21"/>
        </w:rPr>
        <w:t>④ (정책 시사점) 이상의 시범 적용 과정에서 확인된 계획지표로서의 활용 방안과, 이를 제도적으로 뒷받침하기 위한 개선점·지원방안을 정리한다.</w:t>
      </w:r>
    </w:p>
    <w:p>
      <w:pPr>
        <w:pStyle w:val="Heading2"/>
      </w:pPr>
      <w:r>
        <w:rPr>
          <w:rFonts w:ascii="맑은 고딕" w:hAnsi="맑은 고딕" w:eastAsia="맑은 고딕"/>
        </w:rPr>
        <w:t>3. 대상지</w:t>
      </w:r>
    </w:p>
    <w:p>
      <w:r>
        <w:rPr>
          <w:rFonts w:ascii="맑은 고딕" w:hAnsi="맑은 고딕" w:eastAsia="맑은 고딕"/>
          <w:b w:val="0"/>
          <w:sz w:val="21"/>
        </w:rPr>
        <w:t>시범 적용 대상지는 대구광역시 전역(7개 자치구 및 달성군, 약 880㎢)이다. 대구는 분지 지형으로 도심 시가지와 팔공산·비슬산·앞산 등 대규모 산림이 뚜렷이 분리되어 있어, 녹지네트워크의 연결성과 접근성 문제가 공간적으로 명확히 드러나는 도시다. 자료 여건상 군위군은 분석에서 제외하였다.</w:t>
      </w:r>
    </w:p>
    <w:p>
      <w:r>
        <w:rPr>
          <w:rFonts w:ascii="맑은 고딕" w:hAnsi="맑은 고딕" w:eastAsia="맑은 고딕"/>
          <w:b w:val="0"/>
          <w:sz w:val="21"/>
        </w:rPr>
        <w:t>아울러 두 지표를 접목한 녹지 추가지역 도출은 대비되는 두 자치구를 정밀 검토 대상으로 삼았다. 수성구는 동측에 대규모 산림(대덕산·용지봉)을 끼고 서측에 고밀 시가지가 발달한 ‘산림-시가지 혼재형’ 자치구이며, 중구는 대구의 원도심으로 녹지가 극히 희소한 ‘고밀 시가지형’ 자치구다. 두 유형은 녹지네트워크 문제의 서로 다른 양상(연결의 문제 vs 공급의 문제)을 대표한다.</w:t>
      </w:r>
    </w:p>
    <w:p>
      <w:pPr>
        <w:pStyle w:val="Heading2"/>
      </w:pPr>
      <w:r>
        <w:rPr>
          <w:rFonts w:ascii="맑은 고딕" w:hAnsi="맑은 고딕" w:eastAsia="맑은 고딕"/>
        </w:rPr>
        <w:t>4. 범위</w:t>
      </w:r>
    </w:p>
    <w:p>
      <w:r>
        <w:rPr>
          <w:rFonts w:ascii="맑은 고딕" w:hAnsi="맑은 고딕" w:eastAsia="맑은 고딕"/>
          <w:b w:val="0"/>
          <w:sz w:val="21"/>
        </w:rPr>
        <w:t>(시간적 범위) 도시생태현황도 1차(2019년)와 2차(2024년) 두 시점을 대상으로 하여, 현황뿐 아니라 5년간의 변화를 함께 진단한다. 단, 접근성 산출에 사용하는 도로망과 인구격자는 두 시점에 동일하게 적용하여, 접근성의 시점 간 변화가 ‘녹지 공급의 변화’만을 반영하도록 통제하였다.</w:t>
      </w:r>
    </w:p>
    <w:p>
      <w:r>
        <w:rPr>
          <w:rFonts w:ascii="맑은 고딕" w:hAnsi="맑은 고딕" w:eastAsia="맑은 고딕"/>
          <w:b w:val="0"/>
          <w:sz w:val="21"/>
        </w:rPr>
        <w:t>(공간적 범위) 산출과 집계는 세 공간단위로 수행한다. ① 전역(대구 전체) — 도시 전체의 지표 수준과 변화, ② 구·군(8개) — 자치구별 비교와 순위, ③ 100m 격자 — 지표의 공간분포와 문제 지점의 국지적 파악. 세 단위는 각각 총괄 진단, 자치구 정책 배분, 사업지 발굴에 대응한다.</w:t>
      </w:r>
    </w:p>
    <w:p>
      <w:pPr>
        <w:pStyle w:val="Heading1"/>
      </w:pPr>
      <w:r>
        <w:rPr>
          <w:rFonts w:ascii="맑은 고딕" w:hAnsi="맑은 고딕" w:eastAsia="맑은 고딕"/>
        </w:rPr>
        <w:t>제2절  분석 방법</w:t>
      </w:r>
    </w:p>
    <w:p>
      <w:pPr>
        <w:pStyle w:val="Heading2"/>
      </w:pPr>
      <w:r>
        <w:rPr>
          <w:rFonts w:ascii="맑은 고딕" w:hAnsi="맑은 고딕" w:eastAsia="맑은 고딕"/>
        </w:rPr>
        <w:t>1. 활용 데이터·구득방법 및 가공</w:t>
      </w:r>
    </w:p>
    <w:p>
      <w:r>
        <w:rPr>
          <w:rFonts w:ascii="맑은 고딕" w:hAnsi="맑은 고딕" w:eastAsia="맑은 고딕"/>
          <w:b w:val="0"/>
          <w:sz w:val="21"/>
        </w:rPr>
        <w:t>분석에는 공공에서 구득 가능한 네 종의 표준 공간자료를 사용하였다(표 4-M0). 원자료는 좌표계와 형식이 서로 달라, 모두 EPSG:5179(UTM-K)로 통일하고 분석 목적에 맞게 가공하였다. 도시생태현황도는 좌표변환과 깨진 도형 복구, 유형 표준화를 거쳤고, 도로망은 도로구간이 교차점에서 분할되어 있지 않아 노딩(교차점 분할)을 통해 라우팅 가능한 보행 네트워크로 재구성하였다. 인구격자는 인구가 있는 셀만 추려 각 셀 중심을 최근접 도로 노드에 연결하였다.</w:t>
      </w:r>
    </w:p>
    <w:p>
      <w:r>
        <w:rPr>
          <w:rFonts w:ascii="맑은 고딕" w:hAnsi="맑은 고딕" w:eastAsia="맑은 고딕"/>
          <w:b/>
          <w:sz w:val="18"/>
        </w:rPr>
        <w:t>표 4-M0. 활용 데이터·구득방법 및 가공</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pPr>
              <w:jc w:val="center"/>
            </w:pPr>
            <w:r/>
            <w:r>
              <w:rPr>
                <w:rFonts w:ascii="맑은 고딕" w:hAnsi="맑은 고딕" w:eastAsia="맑은 고딕"/>
                <w:b/>
                <w:sz w:val="16"/>
              </w:rPr>
              <w:t>자료</w:t>
            </w:r>
          </w:p>
        </w:tc>
        <w:tc>
          <w:tcPr>
            <w:tcW w:type="dxa" w:w="2408"/>
          </w:tcPr>
          <w:p>
            <w:pPr>
              <w:jc w:val="center"/>
            </w:pPr>
            <w:r/>
            <w:r>
              <w:rPr>
                <w:rFonts w:ascii="맑은 고딕" w:hAnsi="맑은 고딕" w:eastAsia="맑은 고딕"/>
                <w:b/>
                <w:sz w:val="16"/>
              </w:rPr>
              <w:t>출처·구득</w:t>
            </w:r>
          </w:p>
        </w:tc>
        <w:tc>
          <w:tcPr>
            <w:tcW w:type="dxa" w:w="2408"/>
          </w:tcPr>
          <w:p>
            <w:pPr>
              <w:jc w:val="center"/>
            </w:pPr>
            <w:r/>
            <w:r>
              <w:rPr>
                <w:rFonts w:ascii="맑은 고딕" w:hAnsi="맑은 고딕" w:eastAsia="맑은 고딕"/>
                <w:b/>
                <w:sz w:val="16"/>
              </w:rPr>
              <w:t>원자료(형식·좌표계·규모)</w:t>
            </w:r>
          </w:p>
        </w:tc>
        <w:tc>
          <w:tcPr>
            <w:tcW w:type="dxa" w:w="2408"/>
          </w:tcPr>
          <w:p>
            <w:pPr>
              <w:jc w:val="center"/>
            </w:pPr>
            <w:r/>
            <w:r>
              <w:rPr>
                <w:rFonts w:ascii="맑은 고딕" w:hAnsi="맑은 고딕" w:eastAsia="맑은 고딕"/>
                <w:b/>
                <w:sz w:val="16"/>
              </w:rPr>
              <w:t>가공</w:t>
            </w:r>
          </w:p>
        </w:tc>
      </w:tr>
      <w:tr>
        <w:tc>
          <w:tcPr>
            <w:tcW w:type="dxa" w:w="2408"/>
          </w:tcPr>
          <w:p>
            <w:pPr>
              <w:jc w:val="left"/>
            </w:pPr>
            <w:r/>
            <w:r>
              <w:rPr>
                <w:rFonts w:ascii="맑은 고딕" w:hAnsi="맑은 고딕" w:eastAsia="맑은 고딕"/>
                <w:sz w:val="16"/>
              </w:rPr>
              <w:t>도시생태현황도 1차(2019)</w:t>
            </w:r>
          </w:p>
        </w:tc>
        <w:tc>
          <w:tcPr>
            <w:tcW w:type="dxa" w:w="2408"/>
          </w:tcPr>
          <w:p>
            <w:pPr>
              <w:jc w:val="right"/>
            </w:pPr>
            <w:r/>
            <w:r>
              <w:rPr>
                <w:rFonts w:ascii="맑은 고딕" w:hAnsi="맑은 고딕" w:eastAsia="맑은 고딕"/>
                <w:sz w:val="16"/>
              </w:rPr>
              <w:t>대구광역시 비오톱평가 결과</w:t>
            </w:r>
          </w:p>
        </w:tc>
        <w:tc>
          <w:tcPr>
            <w:tcW w:type="dxa" w:w="2408"/>
          </w:tcPr>
          <w:p>
            <w:pPr>
              <w:jc w:val="right"/>
            </w:pPr>
            <w:r/>
            <w:r>
              <w:rPr>
                <w:rFonts w:ascii="맑은 고딕" w:hAnsi="맑은 고딕" w:eastAsia="맑은 고딕"/>
                <w:sz w:val="16"/>
              </w:rPr>
              <w:t>shp·EPSG:5186·152,584폴리곤</w:t>
            </w:r>
          </w:p>
        </w:tc>
        <w:tc>
          <w:tcPr>
            <w:tcW w:type="dxa" w:w="2408"/>
          </w:tcPr>
          <w:p>
            <w:pPr>
              <w:jc w:val="right"/>
            </w:pPr>
            <w:r/>
            <w:r>
              <w:rPr>
                <w:rFonts w:ascii="맑은 고딕" w:hAnsi="맑은 고딕" w:eastAsia="맑은 고딕"/>
                <w:sz w:val="16"/>
              </w:rPr>
              <w:t>5179 변환·깨진도형 복구(237)·유형표준화</w:t>
            </w:r>
          </w:p>
        </w:tc>
      </w:tr>
      <w:tr>
        <w:tc>
          <w:tcPr>
            <w:tcW w:type="dxa" w:w="2408"/>
          </w:tcPr>
          <w:p>
            <w:pPr>
              <w:jc w:val="left"/>
            </w:pPr>
            <w:r/>
            <w:r>
              <w:rPr>
                <w:rFonts w:ascii="맑은 고딕" w:hAnsi="맑은 고딕" w:eastAsia="맑은 고딕"/>
                <w:sz w:val="16"/>
              </w:rPr>
              <w:t>도시생태현황도 2차(2024)</w:t>
            </w:r>
          </w:p>
        </w:tc>
        <w:tc>
          <w:tcPr>
            <w:tcW w:type="dxa" w:w="2408"/>
          </w:tcPr>
          <w:p>
            <w:pPr>
              <w:jc w:val="right"/>
            </w:pPr>
            <w:r/>
            <w:r>
              <w:rPr>
                <w:rFonts w:ascii="맑은 고딕" w:hAnsi="맑은 고딕" w:eastAsia="맑은 고딕"/>
                <w:sz w:val="16"/>
              </w:rPr>
              <w:t>대구광역시 제2차 최종비오톱평가도</w:t>
            </w:r>
          </w:p>
        </w:tc>
        <w:tc>
          <w:tcPr>
            <w:tcW w:type="dxa" w:w="2408"/>
          </w:tcPr>
          <w:p>
            <w:pPr>
              <w:jc w:val="right"/>
            </w:pPr>
            <w:r/>
            <w:r>
              <w:rPr>
                <w:rFonts w:ascii="맑은 고딕" w:hAnsi="맑은 고딕" w:eastAsia="맑은 고딕"/>
                <w:sz w:val="16"/>
              </w:rPr>
              <w:t>shp·EPSG:5187·144,778폴리곤</w:t>
            </w:r>
          </w:p>
        </w:tc>
        <w:tc>
          <w:tcPr>
            <w:tcW w:type="dxa" w:w="2408"/>
          </w:tcPr>
          <w:p>
            <w:pPr>
              <w:jc w:val="right"/>
            </w:pPr>
            <w:r/>
            <w:r>
              <w:rPr>
                <w:rFonts w:ascii="맑은 고딕" w:hAnsi="맑은 고딕" w:eastAsia="맑은 고딕"/>
                <w:sz w:val="16"/>
              </w:rPr>
              <w:t>5179 변환·복구(767)·유형표준화</w:t>
            </w:r>
          </w:p>
        </w:tc>
      </w:tr>
      <w:tr>
        <w:tc>
          <w:tcPr>
            <w:tcW w:type="dxa" w:w="2408"/>
          </w:tcPr>
          <w:p>
            <w:pPr>
              <w:jc w:val="left"/>
            </w:pPr>
            <w:r/>
            <w:r>
              <w:rPr>
                <w:rFonts w:ascii="맑은 고딕" w:hAnsi="맑은 고딕" w:eastAsia="맑은 고딕"/>
                <w:sz w:val="16"/>
              </w:rPr>
              <w:t>도로망</w:t>
            </w:r>
          </w:p>
        </w:tc>
        <w:tc>
          <w:tcPr>
            <w:tcW w:type="dxa" w:w="2408"/>
          </w:tcPr>
          <w:p>
            <w:pPr>
              <w:jc w:val="right"/>
            </w:pPr>
            <w:r/>
            <w:r>
              <w:rPr>
                <w:rFonts w:ascii="맑은 고딕" w:hAnsi="맑은 고딕" w:eastAsia="맑은 고딕"/>
                <w:sz w:val="16"/>
              </w:rPr>
              <w:t>도로명주소 도로구간(행정안전부/주소기반산업지원)</w:t>
            </w:r>
          </w:p>
        </w:tc>
        <w:tc>
          <w:tcPr>
            <w:tcW w:type="dxa" w:w="2408"/>
          </w:tcPr>
          <w:p>
            <w:pPr>
              <w:jc w:val="right"/>
            </w:pPr>
            <w:r/>
            <w:r>
              <w:rPr>
                <w:rFonts w:ascii="맑은 고딕" w:hAnsi="맑은 고딕" w:eastAsia="맑은 고딕"/>
                <w:sz w:val="16"/>
              </w:rPr>
              <w:t>shp·EPSG:5181·24,534선</w:t>
            </w:r>
          </w:p>
        </w:tc>
        <w:tc>
          <w:tcPr>
            <w:tcW w:type="dxa" w:w="2408"/>
          </w:tcPr>
          <w:p>
            <w:pPr>
              <w:jc w:val="right"/>
            </w:pPr>
            <w:r/>
            <w:r>
              <w:rPr>
                <w:rFonts w:ascii="맑은 고딕" w:hAnsi="맑은 고딕" w:eastAsia="맑은 고딕"/>
                <w:sz w:val="16"/>
              </w:rPr>
              <w:t>5179 변환·교차점 노딩·보행그래프(4.5㎞/h)</w:t>
            </w:r>
          </w:p>
        </w:tc>
      </w:tr>
      <w:tr>
        <w:tc>
          <w:tcPr>
            <w:tcW w:type="dxa" w:w="2408"/>
          </w:tcPr>
          <w:p>
            <w:pPr>
              <w:jc w:val="left"/>
            </w:pPr>
            <w:r/>
            <w:r>
              <w:rPr>
                <w:rFonts w:ascii="맑은 고딕" w:hAnsi="맑은 고딕" w:eastAsia="맑은 고딕"/>
                <w:sz w:val="16"/>
              </w:rPr>
              <w:t>인구격자</w:t>
            </w:r>
          </w:p>
        </w:tc>
        <w:tc>
          <w:tcPr>
            <w:tcW w:type="dxa" w:w="2408"/>
          </w:tcPr>
          <w:p>
            <w:pPr>
              <w:jc w:val="right"/>
            </w:pPr>
            <w:r/>
            <w:r>
              <w:rPr>
                <w:rFonts w:ascii="맑은 고딕" w:hAnsi="맑은 고딕" w:eastAsia="맑은 고딕"/>
                <w:sz w:val="16"/>
              </w:rPr>
              <w:t>국토통계 100m 인구격자(통계청 SGIS)</w:t>
            </w:r>
          </w:p>
        </w:tc>
        <w:tc>
          <w:tcPr>
            <w:tcW w:type="dxa" w:w="2408"/>
          </w:tcPr>
          <w:p>
            <w:pPr>
              <w:jc w:val="right"/>
            </w:pPr>
            <w:r/>
            <w:r>
              <w:rPr>
                <w:rFonts w:ascii="맑은 고딕" w:hAnsi="맑은 고딕" w:eastAsia="맑은 고딕"/>
                <w:sz w:val="16"/>
              </w:rPr>
              <w:t>shp·EPSG:5179·89,415셀</w:t>
            </w:r>
          </w:p>
        </w:tc>
        <w:tc>
          <w:tcPr>
            <w:tcW w:type="dxa" w:w="2408"/>
          </w:tcPr>
          <w:p>
            <w:pPr>
              <w:jc w:val="right"/>
            </w:pPr>
            <w:r/>
            <w:r>
              <w:rPr>
                <w:rFonts w:ascii="맑은 고딕" w:hAnsi="맑은 고딕" w:eastAsia="맑은 고딕"/>
                <w:sz w:val="16"/>
              </w:rPr>
              <w:t>인구&gt;0 필터·도로노드 스냅</w:t>
            </w:r>
          </w:p>
        </w:tc>
      </w:tr>
      <w:tr>
        <w:tc>
          <w:tcPr>
            <w:tcW w:type="dxa" w:w="2408"/>
          </w:tcPr>
          <w:p>
            <w:pPr>
              <w:jc w:val="left"/>
            </w:pPr>
            <w:r/>
            <w:r>
              <w:rPr>
                <w:rFonts w:ascii="맑은 고딕" w:hAnsi="맑은 고딕" w:eastAsia="맑은 고딕"/>
                <w:sz w:val="16"/>
              </w:rPr>
              <w:t>행정경계</w:t>
            </w:r>
          </w:p>
        </w:tc>
        <w:tc>
          <w:tcPr>
            <w:tcW w:type="dxa" w:w="2408"/>
          </w:tcPr>
          <w:p>
            <w:pPr>
              <w:jc w:val="right"/>
            </w:pPr>
            <w:r/>
            <w:r>
              <w:rPr>
                <w:rFonts w:ascii="맑은 고딕" w:hAnsi="맑은 고딕" w:eastAsia="맑은 고딕"/>
                <w:sz w:val="16"/>
              </w:rPr>
              <w:t>비오톱도 시군구명 필드</w:t>
            </w:r>
          </w:p>
        </w:tc>
        <w:tc>
          <w:tcPr>
            <w:tcW w:type="dxa" w:w="2408"/>
          </w:tcPr>
          <w:p>
            <w:pPr>
              <w:jc w:val="right"/>
            </w:pPr>
            <w:r/>
            <w:r>
              <w:rPr>
                <w:rFonts w:ascii="맑은 고딕" w:hAnsi="맑은 고딕" w:eastAsia="맑은 고딕"/>
                <w:sz w:val="16"/>
              </w:rPr>
              <w:t>—</w:t>
            </w:r>
          </w:p>
        </w:tc>
        <w:tc>
          <w:tcPr>
            <w:tcW w:type="dxa" w:w="2408"/>
          </w:tcPr>
          <w:p>
            <w:pPr>
              <w:jc w:val="right"/>
            </w:pPr>
            <w:r/>
            <w:r>
              <w:rPr>
                <w:rFonts w:ascii="맑은 고딕" w:hAnsi="맑은 고딕" w:eastAsia="맑은 고딕"/>
                <w:sz w:val="16"/>
              </w:rPr>
              <w:t>SIG_KOR_NM 융합→8개 구군</w:t>
            </w:r>
          </w:p>
        </w:tc>
      </w:tr>
    </w:tbl>
    <w:p>
      <w:r>
        <w:rPr>
          <w:rFonts w:ascii="맑은 고딕" w:hAnsi="맑은 고딕" w:eastAsia="맑은 고딕"/>
          <w:b w:val="0"/>
          <w:sz w:val="21"/>
        </w:rPr>
        <w:t>자료 구득 경로는 다음과 같다. 도시생태현황도는 대구광역시(비오톱평가 성과품), 도로명주소 도로구간은 행정안전부 주소기반산업지원서비스, 인구격자는 통계청 통계지리정보서비스(SGIS) 국토통계를 통해 확보하였다. 행정경계는 별도 자료 없이 비오톱도의 시군구명 필드를 융합하여 생성함으로써, 분석 자료와 완전한 정합을 확보하였다.</w:t>
      </w:r>
    </w:p>
    <w:p>
      <w:pPr>
        <w:pStyle w:val="Heading2"/>
      </w:pPr>
      <w:r>
        <w:rPr>
          <w:rFonts w:ascii="맑은 고딕" w:hAnsi="맑은 고딕" w:eastAsia="맑은 고딕"/>
        </w:rPr>
        <w:t>1-1. 중간 산출물</w:t>
      </w:r>
    </w:p>
    <w:p>
      <w:r>
        <w:rPr>
          <w:rFonts w:ascii="맑은 고딕" w:hAnsi="맑은 고딕" w:eastAsia="맑은 고딕"/>
          <w:b w:val="0"/>
          <w:sz w:val="21"/>
        </w:rPr>
        <w:t>원자료의 가공 및 지표 산출 과정에서 생성된 주요 중간 산출물을 그림 4-M0으로 시각화하였다. (A) 서로 다른 두 시점의 분류체계를 통일한 유형 표준화 결과(통합비교유형), (B) 유형별 이동저항을 부여한 연결성 입력 저항면, (C) 교차점 노딩을 거쳐 라우팅 가능하게 재구성한 보행 도로망, (D) 접근성의 수요·가중으로 쓰이는 100m 인구격자가 그것이다. 이들은 모두 재현 가능한 형태(GeoPackage·GeoTIFF·CSV)로 저장되어, 새로운 시점 자료 투입 시 동일 절차로 지표를 재산출하는 반복형 분석 체계의 기반이 된다(표 4-M0-1).</w:t>
      </w:r>
    </w:p>
    <w:p>
      <w:pPr>
        <w:jc w:val="center"/>
      </w:pPr>
      <w:r>
        <w:drawing>
          <wp:inline xmlns:a="http://schemas.openxmlformats.org/drawingml/2006/main" xmlns:pic="http://schemas.openxmlformats.org/drawingml/2006/picture">
            <wp:extent cx="5580000" cy="5208000"/>
            <wp:docPr id="1" name="Picture 1"/>
            <wp:cNvGraphicFramePr>
              <a:graphicFrameLocks noChangeAspect="1"/>
            </wp:cNvGraphicFramePr>
            <a:graphic>
              <a:graphicData uri="http://schemas.openxmlformats.org/drawingml/2006/picture">
                <pic:pic>
                  <pic:nvPicPr>
                    <pic:cNvPr id="0" name="module4_중간산출물_4패널.png"/>
                    <pic:cNvPicPr/>
                  </pic:nvPicPr>
                  <pic:blipFill>
                    <a:blip r:embed="rId9"/>
                    <a:stretch>
                      <a:fillRect/>
                    </a:stretch>
                  </pic:blipFill>
                  <pic:spPr>
                    <a:xfrm>
                      <a:off x="0" y="0"/>
                      <a:ext cx="5580000" cy="5208000"/>
                    </a:xfrm>
                    <a:prstGeom prst="rect"/>
                  </pic:spPr>
                </pic:pic>
              </a:graphicData>
            </a:graphic>
          </wp:inline>
        </w:drawing>
      </w:r>
    </w:p>
    <w:p>
      <w:pPr>
        <w:jc w:val="center"/>
      </w:pPr>
      <w:r>
        <w:rPr>
          <w:rFonts w:ascii="맑은 고딕" w:hAnsi="맑은 고딕" w:eastAsia="맑은 고딕"/>
          <w:b w:val="0"/>
          <w:sz w:val="18"/>
        </w:rPr>
        <w:t>그림 4-M0. 중간 산출물 — (A) 유형 표준화 (B) 이동 저항면 (C) 보행 도로망 (D) 100m 인구격자</w:t>
      </w:r>
    </w:p>
    <w:p>
      <w:r>
        <w:rPr>
          <w:rFonts w:ascii="맑은 고딕" w:hAnsi="맑은 고딕" w:eastAsia="맑은 고딕"/>
          <w:b/>
          <w:sz w:val="18"/>
        </w:rPr>
        <w:t>표 4-M0-1. 주요 중간 산출물</w:t>
      </w:r>
    </w:p>
    <w:tbl>
      <w:tblPr>
        <w:tblStyle w:val="LightGrid-Accent1"/>
        <w:tblW w:type="auto" w:w="0"/>
        <w:tblLook w:firstColumn="1" w:firstRow="1" w:lastColumn="0" w:lastRow="0" w:noHBand="0" w:noVBand="1" w:val="04A0"/>
      </w:tblPr>
      <w:tblGrid>
        <w:gridCol w:w="4816"/>
        <w:gridCol w:w="4816"/>
      </w:tblGrid>
      <w:tr>
        <w:tc>
          <w:tcPr>
            <w:tcW w:type="dxa" w:w="4816"/>
          </w:tcPr>
          <w:p>
            <w:pPr>
              <w:jc w:val="center"/>
            </w:pPr>
            <w:r/>
            <w:r>
              <w:rPr>
                <w:rFonts w:ascii="맑은 고딕" w:hAnsi="맑은 고딕" w:eastAsia="맑은 고딕"/>
                <w:b/>
                <w:sz w:val="16"/>
              </w:rPr>
              <w:t>중간 산출물</w:t>
            </w:r>
          </w:p>
        </w:tc>
        <w:tc>
          <w:tcPr>
            <w:tcW w:type="dxa" w:w="4816"/>
          </w:tcPr>
          <w:p>
            <w:pPr>
              <w:jc w:val="center"/>
            </w:pPr>
            <w:r/>
            <w:r>
              <w:rPr>
                <w:rFonts w:ascii="맑은 고딕" w:hAnsi="맑은 고딕" w:eastAsia="맑은 고딕"/>
                <w:b/>
                <w:sz w:val="16"/>
              </w:rPr>
              <w:t>내용</w:t>
            </w:r>
          </w:p>
        </w:tc>
      </w:tr>
      <w:tr>
        <w:tc>
          <w:tcPr>
            <w:tcW w:type="dxa" w:w="4816"/>
          </w:tcPr>
          <w:p>
            <w:pPr>
              <w:jc w:val="left"/>
            </w:pPr>
            <w:r/>
            <w:r>
              <w:rPr>
                <w:rFonts w:ascii="맑은 고딕" w:hAnsi="맑은 고딕" w:eastAsia="맑은 고딕"/>
                <w:sz w:val="16"/>
              </w:rPr>
              <w:t>data_clean/biotope_{2019,2024}_5179.gpkg</w:t>
            </w:r>
          </w:p>
        </w:tc>
        <w:tc>
          <w:tcPr>
            <w:tcW w:type="dxa" w:w="4816"/>
          </w:tcPr>
          <w:p>
            <w:pPr>
              <w:jc w:val="right"/>
            </w:pPr>
            <w:r/>
            <w:r>
              <w:rPr>
                <w:rFonts w:ascii="맑은 고딕" w:hAnsi="맑은 고딕" w:eastAsia="맑은 고딕"/>
                <w:sz w:val="16"/>
              </w:rPr>
              <w:t>좌표통일·정제 비오톱</w:t>
            </w:r>
          </w:p>
        </w:tc>
      </w:tr>
      <w:tr>
        <w:tc>
          <w:tcPr>
            <w:tcW w:type="dxa" w:w="4816"/>
          </w:tcPr>
          <w:p>
            <w:pPr>
              <w:jc w:val="left"/>
            </w:pPr>
            <w:r/>
            <w:r>
              <w:rPr>
                <w:rFonts w:ascii="맑은 고딕" w:hAnsi="맑은 고딕" w:eastAsia="맑은 고딕"/>
                <w:sz w:val="16"/>
              </w:rPr>
              <w:t>config/crosswalk/통합비교유형_{2019,2024}.csv</w:t>
            </w:r>
          </w:p>
        </w:tc>
        <w:tc>
          <w:tcPr>
            <w:tcW w:type="dxa" w:w="4816"/>
          </w:tcPr>
          <w:p>
            <w:pPr>
              <w:jc w:val="right"/>
            </w:pPr>
            <w:r/>
            <w:r>
              <w:rPr>
                <w:rFonts w:ascii="맑은 고딕" w:hAnsi="맑은 고딕" w:eastAsia="맑은 고딕"/>
                <w:sz w:val="16"/>
              </w:rPr>
              <w:t>유형 표준화 대응표(녹지정의)</w:t>
            </w:r>
          </w:p>
        </w:tc>
      </w:tr>
      <w:tr>
        <w:tc>
          <w:tcPr>
            <w:tcW w:type="dxa" w:w="4816"/>
          </w:tcPr>
          <w:p>
            <w:pPr>
              <w:jc w:val="left"/>
            </w:pPr>
            <w:r/>
            <w:r>
              <w:rPr>
                <w:rFonts w:ascii="맑은 고딕" w:hAnsi="맑은 고딕" w:eastAsia="맑은 고딕"/>
                <w:sz w:val="16"/>
              </w:rPr>
              <w:t>config/connectivity_resistance.csv</w:t>
            </w:r>
          </w:p>
        </w:tc>
        <w:tc>
          <w:tcPr>
            <w:tcW w:type="dxa" w:w="4816"/>
          </w:tcPr>
          <w:p>
            <w:pPr>
              <w:jc w:val="right"/>
            </w:pPr>
            <w:r/>
            <w:r>
              <w:rPr>
                <w:rFonts w:ascii="맑은 고딕" w:hAnsi="맑은 고딕" w:eastAsia="맑은 고딕"/>
                <w:sz w:val="16"/>
              </w:rPr>
              <w:t>토지유형별 이동저항</w:t>
            </w:r>
          </w:p>
        </w:tc>
      </w:tr>
      <w:tr>
        <w:tc>
          <w:tcPr>
            <w:tcW w:type="dxa" w:w="4816"/>
          </w:tcPr>
          <w:p>
            <w:pPr>
              <w:jc w:val="left"/>
            </w:pPr>
            <w:r/>
            <w:r>
              <w:rPr>
                <w:rFonts w:ascii="맑은 고딕" w:hAnsi="맑은 고딕" w:eastAsia="맑은 고딕"/>
                <w:sz w:val="16"/>
              </w:rPr>
              <w:t>data_clean/districts_5179.gpkg</w:t>
            </w:r>
          </w:p>
        </w:tc>
        <w:tc>
          <w:tcPr>
            <w:tcW w:type="dxa" w:w="4816"/>
          </w:tcPr>
          <w:p>
            <w:pPr>
              <w:jc w:val="right"/>
            </w:pPr>
            <w:r/>
            <w:r>
              <w:rPr>
                <w:rFonts w:ascii="맑은 고딕" w:hAnsi="맑은 고딕" w:eastAsia="맑은 고딕"/>
                <w:sz w:val="16"/>
              </w:rPr>
              <w:t>자치구 경계</w:t>
            </w:r>
          </w:p>
        </w:tc>
      </w:tr>
      <w:tr>
        <w:tc>
          <w:tcPr>
            <w:tcW w:type="dxa" w:w="4816"/>
          </w:tcPr>
          <w:p>
            <w:pPr>
              <w:jc w:val="left"/>
            </w:pPr>
            <w:r/>
            <w:r>
              <w:rPr>
                <w:rFonts w:ascii="맑은 고딕" w:hAnsi="맑은 고딕" w:eastAsia="맑은 고딕"/>
                <w:sz w:val="16"/>
              </w:rPr>
              <w:t>module4C_대구_{연}_전류밀도.tif</w:t>
            </w:r>
          </w:p>
        </w:tc>
        <w:tc>
          <w:tcPr>
            <w:tcW w:type="dxa" w:w="4816"/>
          </w:tcPr>
          <w:p>
            <w:pPr>
              <w:jc w:val="right"/>
            </w:pPr>
            <w:r/>
            <w:r>
              <w:rPr>
                <w:rFonts w:ascii="맑은 고딕" w:hAnsi="맑은 고딕" w:eastAsia="맑은 고딕"/>
                <w:sz w:val="16"/>
              </w:rPr>
              <w:t>연결성 전류밀도 래스터</w:t>
            </w:r>
          </w:p>
        </w:tc>
      </w:tr>
      <w:tr>
        <w:tc>
          <w:tcPr>
            <w:tcW w:type="dxa" w:w="4816"/>
          </w:tcPr>
          <w:p>
            <w:pPr>
              <w:jc w:val="left"/>
            </w:pPr>
            <w:r/>
            <w:r>
              <w:rPr>
                <w:rFonts w:ascii="맑은 고딕" w:hAnsi="맑은 고딕" w:eastAsia="맑은 고딕"/>
                <w:sz w:val="16"/>
              </w:rPr>
              <w:t>module4A_대구_{연}_접근시간.gpkg</w:t>
            </w:r>
          </w:p>
        </w:tc>
        <w:tc>
          <w:tcPr>
            <w:tcW w:type="dxa" w:w="4816"/>
          </w:tcPr>
          <w:p>
            <w:pPr>
              <w:jc w:val="right"/>
            </w:pPr>
            <w:r/>
            <w:r>
              <w:rPr>
                <w:rFonts w:ascii="맑은 고딕" w:hAnsi="맑은 고딕" w:eastAsia="맑은 고딕"/>
                <w:sz w:val="16"/>
              </w:rPr>
              <w:t>접근성 인구셀(도보시간)</w:t>
            </w:r>
          </w:p>
        </w:tc>
      </w:tr>
      <w:tr>
        <w:tc>
          <w:tcPr>
            <w:tcW w:type="dxa" w:w="4816"/>
          </w:tcPr>
          <w:p>
            <w:pPr>
              <w:jc w:val="left"/>
            </w:pPr>
            <w:r/>
            <w:r>
              <w:rPr>
                <w:rFonts w:ascii="맑은 고딕" w:hAnsi="맑은 고딕" w:eastAsia="맑은 고딕"/>
                <w:sz w:val="16"/>
              </w:rPr>
              <w:t>module4_3단위요약.xlsx · module4_계획지표재평가.xlsx</w:t>
            </w:r>
          </w:p>
        </w:tc>
        <w:tc>
          <w:tcPr>
            <w:tcW w:type="dxa" w:w="4816"/>
          </w:tcPr>
          <w:p>
            <w:pPr>
              <w:jc w:val="right"/>
            </w:pPr>
            <w:r/>
            <w:r>
              <w:rPr>
                <w:rFonts w:ascii="맑은 고딕" w:hAnsi="맑은 고딕" w:eastAsia="맑은 고딕"/>
                <w:sz w:val="16"/>
              </w:rPr>
              <w:t>전역·구군 집계·등급·우선순위</w:t>
            </w:r>
          </w:p>
        </w:tc>
      </w:tr>
    </w:tbl>
    <w:p>
      <w:pPr>
        <w:pStyle w:val="Heading2"/>
      </w:pPr>
      <w:r>
        <w:rPr>
          <w:rFonts w:ascii="맑은 고딕" w:hAnsi="맑은 고딕" w:eastAsia="맑은 고딕"/>
        </w:rPr>
        <w:t>2. 녹지의 정의와 유형 표준화</w:t>
      </w:r>
    </w:p>
    <w:p>
      <w:r>
        <w:rPr>
          <w:rFonts w:ascii="맑은 고딕" w:hAnsi="맑은 고딕" w:eastAsia="맑은 고딕"/>
          <w:b w:val="0"/>
          <w:sz w:val="21"/>
        </w:rPr>
        <w:t>1차와 2차 도시생태현황도는 분류 축·단계·명칭이 서로 달라 직접 비교가 불가능하다. 이를 해소하기 위해 공간중첩 기반의 유형 대응표를 구축하고, 2019년은 U소분류, 2024년은 유형중분류를 각각 14개의 ‘통합비교유형’으로 재라벨하여 동일 해상도로 비교하였다. 본 분석에서 ‘녹지’는 통합비교유형의 산림·초지/조성녹지·수계/습지로 정의하였으며, 이는 연결성의 코어(핵심 서식·이동 거점)이자 접근성의 목적지가 된다.</w:t>
      </w:r>
    </w:p>
    <w:p>
      <w:pPr>
        <w:pStyle w:val="Heading2"/>
      </w:pPr>
      <w:r>
        <w:rPr>
          <w:rFonts w:ascii="맑은 고딕" w:hAnsi="맑은 고딕" w:eastAsia="맑은 고딕"/>
        </w:rPr>
        <w:t>3. 연결성 평가지표 — 회로이론</w:t>
      </w:r>
    </w:p>
    <w:p>
      <w:r>
        <w:rPr>
          <w:rFonts w:ascii="맑은 고딕" w:hAnsi="맑은 고딕" w:eastAsia="맑은 고딕"/>
          <w:b w:val="0"/>
          <w:sz w:val="21"/>
        </w:rPr>
        <w:t>연결성은 회로이론(circuit theory)을 적용하여 평가하였다. 회로이론은 경관을 전기 회로로 치환하여, 두 녹지 코어 사이를 흐르는 ‘전류’로 생태적 이동의 용이성과 경로의 중요도를 표현하는 방법이다. 산출 절차는 다음과 같다.</w:t>
      </w:r>
    </w:p>
    <w:p>
      <w:r>
        <w:rPr>
          <w:rFonts w:ascii="맑은 고딕" w:hAnsi="맑은 고딕" w:eastAsia="맑은 고딕"/>
          <w:b w:val="0"/>
          <w:sz w:val="21"/>
        </w:rPr>
        <w:t>① (저항면 구성) 100m 격자의 각 셀에 토지유형별 이동저항 값을 부여한다(산림 1, 조성녹지 2, 수계 3, 농경지 8, 나지 25, 시가지 40~70, 도로 100 등; config로 조정 가능). 저항이 낮을수록 이동이 쉽다. ② (코어 설정) 일정 규모 이상의 녹지 패치를 코어로 설정한다. ③ (회로 해석) 코어 쌍마다 단위 전류(1A)를 흘려, 격자의 라플라시안 선형계를 풀어 셀별 ‘전류밀도’와 코어 간 ‘유효저항(R_eff)’을 계산한다. 전류밀도가 높은 곳은 이동이 집중되는 코리더·핀치포인트이며, 유효저항이 낮을수록 코어들이 잘 연결되어 있음을 뜻한다.</w:t>
      </w:r>
    </w:p>
    <w:p>
      <w:r>
        <w:rPr>
          <w:rFonts w:ascii="맑은 고딕" w:hAnsi="맑은 고딕" w:eastAsia="맑은 고딕"/>
          <w:b/>
          <w:sz w:val="18"/>
        </w:rPr>
        <w:t>표 4-M1. 토지유형별 이동저항 값(연결성 저항면)</w:t>
      </w:r>
    </w:p>
    <w:tbl>
      <w:tblPr>
        <w:tblStyle w:val="LightGrid-Accent1"/>
        <w:tblW w:type="auto" w:w="0"/>
        <w:tblLook w:firstColumn="1" w:firstRow="1" w:lastColumn="0" w:lastRow="0" w:noHBand="0" w:noVBand="1" w:val="04A0"/>
      </w:tblPr>
      <w:tblGrid>
        <w:gridCol w:w="3211"/>
        <w:gridCol w:w="3211"/>
        <w:gridCol w:w="3211"/>
      </w:tblGrid>
      <w:tr>
        <w:tc>
          <w:tcPr>
            <w:tcW w:type="dxa" w:w="3211"/>
          </w:tcPr>
          <w:p>
            <w:pPr>
              <w:jc w:val="center"/>
            </w:pPr>
            <w:r/>
            <w:r>
              <w:rPr>
                <w:rFonts w:ascii="맑은 고딕" w:hAnsi="맑은 고딕" w:eastAsia="맑은 고딕"/>
                <w:b/>
                <w:sz w:val="16"/>
              </w:rPr>
              <w:t>토지유형</w:t>
            </w:r>
          </w:p>
        </w:tc>
        <w:tc>
          <w:tcPr>
            <w:tcW w:type="dxa" w:w="3211"/>
          </w:tcPr>
          <w:p>
            <w:pPr>
              <w:jc w:val="center"/>
            </w:pPr>
            <w:r/>
            <w:r>
              <w:rPr>
                <w:rFonts w:ascii="맑은 고딕" w:hAnsi="맑은 고딕" w:eastAsia="맑은 고딕"/>
                <w:b/>
                <w:sz w:val="16"/>
              </w:rPr>
              <w:t>이동저항</w:t>
            </w:r>
          </w:p>
        </w:tc>
        <w:tc>
          <w:tcPr>
            <w:tcW w:type="dxa" w:w="3211"/>
          </w:tcPr>
          <w:p>
            <w:pPr>
              <w:jc w:val="center"/>
            </w:pPr>
            <w:r/>
            <w:r>
              <w:rPr>
                <w:rFonts w:ascii="맑은 고딕" w:hAnsi="맑은 고딕" w:eastAsia="맑은 고딕"/>
                <w:b/>
                <w:sz w:val="16"/>
              </w:rPr>
              <w:t>비고</w:t>
            </w:r>
          </w:p>
        </w:tc>
      </w:tr>
      <w:tr>
        <w:tc>
          <w:tcPr>
            <w:tcW w:type="dxa" w:w="3211"/>
          </w:tcPr>
          <w:p>
            <w:pPr>
              <w:jc w:val="left"/>
            </w:pPr>
            <w:r/>
            <w:r>
              <w:rPr>
                <w:rFonts w:ascii="맑은 고딕" w:hAnsi="맑은 고딕" w:eastAsia="맑은 고딕"/>
                <w:sz w:val="16"/>
              </w:rPr>
              <w:t>산림</w:t>
            </w:r>
          </w:p>
        </w:tc>
        <w:tc>
          <w:tcPr>
            <w:tcW w:type="dxa" w:w="3211"/>
          </w:tcPr>
          <w:p>
            <w:pPr>
              <w:jc w:val="right"/>
            </w:pPr>
            <w:r/>
            <w:r>
              <w:rPr>
                <w:rFonts w:ascii="맑은 고딕" w:hAnsi="맑은 고딕" w:eastAsia="맑은 고딕"/>
                <w:sz w:val="16"/>
              </w:rPr>
              <w:t>1</w:t>
            </w:r>
          </w:p>
        </w:tc>
        <w:tc>
          <w:tcPr>
            <w:tcW w:type="dxa" w:w="3211"/>
          </w:tcPr>
          <w:p>
            <w:pPr>
              <w:jc w:val="right"/>
            </w:pPr>
            <w:r/>
            <w:r>
              <w:rPr>
                <w:rFonts w:ascii="맑은 고딕" w:hAnsi="맑은 고딕" w:eastAsia="맑은 고딕"/>
                <w:sz w:val="16"/>
              </w:rPr>
              <w:t>녹지코어-이동최적</w:t>
            </w:r>
          </w:p>
        </w:tc>
      </w:tr>
      <w:tr>
        <w:tc>
          <w:tcPr>
            <w:tcW w:type="dxa" w:w="3211"/>
          </w:tcPr>
          <w:p>
            <w:pPr>
              <w:jc w:val="left"/>
            </w:pPr>
            <w:r/>
            <w:r>
              <w:rPr>
                <w:rFonts w:ascii="맑은 고딕" w:hAnsi="맑은 고딕" w:eastAsia="맑은 고딕"/>
                <w:sz w:val="16"/>
              </w:rPr>
              <w:t>수계·습지</w:t>
            </w:r>
          </w:p>
        </w:tc>
        <w:tc>
          <w:tcPr>
            <w:tcW w:type="dxa" w:w="3211"/>
          </w:tcPr>
          <w:p>
            <w:pPr>
              <w:jc w:val="right"/>
            </w:pPr>
            <w:r/>
            <w:r>
              <w:rPr>
                <w:rFonts w:ascii="맑은 고딕" w:hAnsi="맑은 고딕" w:eastAsia="맑은 고딕"/>
                <w:sz w:val="16"/>
              </w:rPr>
              <w:t>3</w:t>
            </w:r>
          </w:p>
        </w:tc>
        <w:tc>
          <w:tcPr>
            <w:tcW w:type="dxa" w:w="3211"/>
          </w:tcPr>
          <w:p>
            <w:pPr>
              <w:jc w:val="right"/>
            </w:pPr>
            <w:r/>
            <w:r>
              <w:rPr>
                <w:rFonts w:ascii="맑은 고딕" w:hAnsi="맑은 고딕" w:eastAsia="맑은 고딕"/>
                <w:sz w:val="16"/>
              </w:rPr>
              <w:t>녹지코어이나 육상이동엔 다소 저항</w:t>
            </w:r>
          </w:p>
        </w:tc>
      </w:tr>
      <w:tr>
        <w:tc>
          <w:tcPr>
            <w:tcW w:type="dxa" w:w="3211"/>
          </w:tcPr>
          <w:p>
            <w:pPr>
              <w:jc w:val="left"/>
            </w:pPr>
            <w:r/>
            <w:r>
              <w:rPr>
                <w:rFonts w:ascii="맑은 고딕" w:hAnsi="맑은 고딕" w:eastAsia="맑은 고딕"/>
                <w:sz w:val="16"/>
              </w:rPr>
              <w:t>초지·조성녹지</w:t>
            </w:r>
          </w:p>
        </w:tc>
        <w:tc>
          <w:tcPr>
            <w:tcW w:type="dxa" w:w="3211"/>
          </w:tcPr>
          <w:p>
            <w:pPr>
              <w:jc w:val="right"/>
            </w:pPr>
            <w:r/>
            <w:r>
              <w:rPr>
                <w:rFonts w:ascii="맑은 고딕" w:hAnsi="맑은 고딕" w:eastAsia="맑은 고딕"/>
                <w:sz w:val="16"/>
              </w:rPr>
              <w:t>2</w:t>
            </w:r>
          </w:p>
        </w:tc>
        <w:tc>
          <w:tcPr>
            <w:tcW w:type="dxa" w:w="3211"/>
          </w:tcPr>
          <w:p>
            <w:pPr>
              <w:jc w:val="right"/>
            </w:pPr>
            <w:r/>
            <w:r>
              <w:rPr>
                <w:rFonts w:ascii="맑은 고딕" w:hAnsi="맑은 고딕" w:eastAsia="맑은 고딕"/>
                <w:sz w:val="16"/>
              </w:rPr>
              <w:t>녹지코어-준자연</w:t>
            </w:r>
          </w:p>
        </w:tc>
      </w:tr>
      <w:tr>
        <w:tc>
          <w:tcPr>
            <w:tcW w:type="dxa" w:w="3211"/>
          </w:tcPr>
          <w:p>
            <w:pPr>
              <w:jc w:val="left"/>
            </w:pPr>
            <w:r/>
            <w:r>
              <w:rPr>
                <w:rFonts w:ascii="맑은 고딕" w:hAnsi="맑은 고딕" w:eastAsia="맑은 고딕"/>
                <w:sz w:val="16"/>
              </w:rPr>
              <w:t>농경지</w:t>
            </w:r>
          </w:p>
        </w:tc>
        <w:tc>
          <w:tcPr>
            <w:tcW w:type="dxa" w:w="3211"/>
          </w:tcPr>
          <w:p>
            <w:pPr>
              <w:jc w:val="right"/>
            </w:pPr>
            <w:r/>
            <w:r>
              <w:rPr>
                <w:rFonts w:ascii="맑은 고딕" w:hAnsi="맑은 고딕" w:eastAsia="맑은 고딕"/>
                <w:sz w:val="16"/>
              </w:rPr>
              <w:t>8</w:t>
            </w:r>
          </w:p>
        </w:tc>
        <w:tc>
          <w:tcPr>
            <w:tcW w:type="dxa" w:w="3211"/>
          </w:tcPr>
          <w:p>
            <w:pPr>
              <w:jc w:val="right"/>
            </w:pPr>
            <w:r/>
            <w:r>
              <w:rPr>
                <w:rFonts w:ascii="맑은 고딕" w:hAnsi="맑은 고딕" w:eastAsia="맑은 고딕"/>
                <w:sz w:val="16"/>
              </w:rPr>
              <w:t>반투과(개방지)</w:t>
            </w:r>
          </w:p>
        </w:tc>
      </w:tr>
      <w:tr>
        <w:tc>
          <w:tcPr>
            <w:tcW w:type="dxa" w:w="3211"/>
          </w:tcPr>
          <w:p>
            <w:pPr>
              <w:jc w:val="left"/>
            </w:pPr>
            <w:r/>
            <w:r>
              <w:rPr>
                <w:rFonts w:ascii="맑은 고딕" w:hAnsi="맑은 고딕" w:eastAsia="맑은 고딕"/>
                <w:sz w:val="16"/>
              </w:rPr>
              <w:t>묘지</w:t>
            </w:r>
          </w:p>
        </w:tc>
        <w:tc>
          <w:tcPr>
            <w:tcW w:type="dxa" w:w="3211"/>
          </w:tcPr>
          <w:p>
            <w:pPr>
              <w:jc w:val="right"/>
            </w:pPr>
            <w:r/>
            <w:r>
              <w:rPr>
                <w:rFonts w:ascii="맑은 고딕" w:hAnsi="맑은 고딕" w:eastAsia="맑은 고딕"/>
                <w:sz w:val="16"/>
              </w:rPr>
              <w:t>12</w:t>
            </w:r>
          </w:p>
        </w:tc>
        <w:tc>
          <w:tcPr>
            <w:tcW w:type="dxa" w:w="3211"/>
          </w:tcPr>
          <w:p>
            <w:pPr>
              <w:jc w:val="right"/>
            </w:pPr>
            <w:r/>
            <w:r>
              <w:rPr>
                <w:rFonts w:ascii="맑은 고딕" w:hAnsi="맑은 고딕" w:eastAsia="맑은 고딕"/>
                <w:sz w:val="16"/>
              </w:rPr>
              <w:t>반개방</w:t>
            </w:r>
          </w:p>
        </w:tc>
      </w:tr>
      <w:tr>
        <w:tc>
          <w:tcPr>
            <w:tcW w:type="dxa" w:w="3211"/>
          </w:tcPr>
          <w:p>
            <w:pPr>
              <w:jc w:val="left"/>
            </w:pPr>
            <w:r/>
            <w:r>
              <w:rPr>
                <w:rFonts w:ascii="맑은 고딕" w:hAnsi="맑은 고딕" w:eastAsia="맑은 고딕"/>
                <w:sz w:val="16"/>
              </w:rPr>
              <w:t>나지·유휴지</w:t>
            </w:r>
          </w:p>
        </w:tc>
        <w:tc>
          <w:tcPr>
            <w:tcW w:type="dxa" w:w="3211"/>
          </w:tcPr>
          <w:p>
            <w:pPr>
              <w:jc w:val="right"/>
            </w:pPr>
            <w:r/>
            <w:r>
              <w:rPr>
                <w:rFonts w:ascii="맑은 고딕" w:hAnsi="맑은 고딕" w:eastAsia="맑은 고딕"/>
                <w:sz w:val="16"/>
              </w:rPr>
              <w:t>25</w:t>
            </w:r>
          </w:p>
        </w:tc>
        <w:tc>
          <w:tcPr>
            <w:tcW w:type="dxa" w:w="3211"/>
          </w:tcPr>
          <w:p>
            <w:pPr>
              <w:jc w:val="right"/>
            </w:pPr>
            <w:r/>
            <w:r>
              <w:rPr>
                <w:rFonts w:ascii="맑은 고딕" w:hAnsi="맑은 고딕" w:eastAsia="맑은 고딕"/>
                <w:sz w:val="16"/>
              </w:rPr>
              <w:t>개방·교란지</w:t>
            </w:r>
          </w:p>
        </w:tc>
      </w:tr>
      <w:tr>
        <w:tc>
          <w:tcPr>
            <w:tcW w:type="dxa" w:w="3211"/>
          </w:tcPr>
          <w:p>
            <w:pPr>
              <w:jc w:val="left"/>
            </w:pPr>
            <w:r/>
            <w:r>
              <w:rPr>
                <w:rFonts w:ascii="맑은 고딕" w:hAnsi="맑은 고딕" w:eastAsia="맑은 고딕"/>
                <w:sz w:val="16"/>
              </w:rPr>
              <w:t>공동주택지</w:t>
            </w:r>
          </w:p>
        </w:tc>
        <w:tc>
          <w:tcPr>
            <w:tcW w:type="dxa" w:w="3211"/>
          </w:tcPr>
          <w:p>
            <w:pPr>
              <w:jc w:val="right"/>
            </w:pPr>
            <w:r/>
            <w:r>
              <w:rPr>
                <w:rFonts w:ascii="맑은 고딕" w:hAnsi="맑은 고딕" w:eastAsia="맑은 고딕"/>
                <w:sz w:val="16"/>
              </w:rPr>
              <w:t>50</w:t>
            </w:r>
          </w:p>
        </w:tc>
        <w:tc>
          <w:tcPr>
            <w:tcW w:type="dxa" w:w="3211"/>
          </w:tcPr>
          <w:p>
            <w:pPr>
              <w:jc w:val="right"/>
            </w:pPr>
            <w:r/>
            <w:r>
              <w:rPr>
                <w:rFonts w:ascii="맑은 고딕" w:hAnsi="맑은 고딕" w:eastAsia="맑은 고딕"/>
                <w:sz w:val="16"/>
              </w:rPr>
              <w:t>시가화</w:t>
            </w:r>
          </w:p>
        </w:tc>
      </w:tr>
      <w:tr>
        <w:tc>
          <w:tcPr>
            <w:tcW w:type="dxa" w:w="3211"/>
          </w:tcPr>
          <w:p>
            <w:pPr>
              <w:jc w:val="left"/>
            </w:pPr>
            <w:r/>
            <w:r>
              <w:rPr>
                <w:rFonts w:ascii="맑은 고딕" w:hAnsi="맑은 고딕" w:eastAsia="맑은 고딕"/>
                <w:sz w:val="16"/>
              </w:rPr>
              <w:t>단독주택지</w:t>
            </w:r>
          </w:p>
        </w:tc>
        <w:tc>
          <w:tcPr>
            <w:tcW w:type="dxa" w:w="3211"/>
          </w:tcPr>
          <w:p>
            <w:pPr>
              <w:jc w:val="right"/>
            </w:pPr>
            <w:r/>
            <w:r>
              <w:rPr>
                <w:rFonts w:ascii="맑은 고딕" w:hAnsi="맑은 고딕" w:eastAsia="맑은 고딕"/>
                <w:sz w:val="16"/>
              </w:rPr>
              <w:t>45</w:t>
            </w:r>
          </w:p>
        </w:tc>
        <w:tc>
          <w:tcPr>
            <w:tcW w:type="dxa" w:w="3211"/>
          </w:tcPr>
          <w:p>
            <w:pPr>
              <w:jc w:val="right"/>
            </w:pPr>
            <w:r/>
            <w:r>
              <w:rPr>
                <w:rFonts w:ascii="맑은 고딕" w:hAnsi="맑은 고딕" w:eastAsia="맑은 고딕"/>
                <w:sz w:val="16"/>
              </w:rPr>
              <w:t>시가화</w:t>
            </w:r>
          </w:p>
        </w:tc>
      </w:tr>
      <w:tr>
        <w:tc>
          <w:tcPr>
            <w:tcW w:type="dxa" w:w="3211"/>
          </w:tcPr>
          <w:p>
            <w:pPr>
              <w:jc w:val="left"/>
            </w:pPr>
            <w:r/>
            <w:r>
              <w:rPr>
                <w:rFonts w:ascii="맑은 고딕" w:hAnsi="맑은 고딕" w:eastAsia="맑은 고딕"/>
                <w:sz w:val="16"/>
              </w:rPr>
              <w:t>주거상업혼합지</w:t>
            </w:r>
          </w:p>
        </w:tc>
        <w:tc>
          <w:tcPr>
            <w:tcW w:type="dxa" w:w="3211"/>
          </w:tcPr>
          <w:p>
            <w:pPr>
              <w:jc w:val="right"/>
            </w:pPr>
            <w:r/>
            <w:r>
              <w:rPr>
                <w:rFonts w:ascii="맑은 고딕" w:hAnsi="맑은 고딕" w:eastAsia="맑은 고딕"/>
                <w:sz w:val="16"/>
              </w:rPr>
              <w:t>65</w:t>
            </w:r>
          </w:p>
        </w:tc>
        <w:tc>
          <w:tcPr>
            <w:tcW w:type="dxa" w:w="3211"/>
          </w:tcPr>
          <w:p>
            <w:pPr>
              <w:jc w:val="right"/>
            </w:pPr>
            <w:r/>
            <w:r>
              <w:rPr>
                <w:rFonts w:ascii="맑은 고딕" w:hAnsi="맑은 고딕" w:eastAsia="맑은 고딕"/>
                <w:sz w:val="16"/>
              </w:rPr>
              <w:t>시가화(밀집)</w:t>
            </w:r>
          </w:p>
        </w:tc>
      </w:tr>
      <w:tr>
        <w:tc>
          <w:tcPr>
            <w:tcW w:type="dxa" w:w="3211"/>
          </w:tcPr>
          <w:p>
            <w:pPr>
              <w:jc w:val="left"/>
            </w:pPr>
            <w:r/>
            <w:r>
              <w:rPr>
                <w:rFonts w:ascii="맑은 고딕" w:hAnsi="맑은 고딕" w:eastAsia="맑은 고딕"/>
                <w:sz w:val="16"/>
              </w:rPr>
              <w:t>상업업무지</w:t>
            </w:r>
          </w:p>
        </w:tc>
        <w:tc>
          <w:tcPr>
            <w:tcW w:type="dxa" w:w="3211"/>
          </w:tcPr>
          <w:p>
            <w:pPr>
              <w:jc w:val="right"/>
            </w:pPr>
            <w:r/>
            <w:r>
              <w:rPr>
                <w:rFonts w:ascii="맑은 고딕" w:hAnsi="맑은 고딕" w:eastAsia="맑은 고딕"/>
                <w:sz w:val="16"/>
              </w:rPr>
              <w:t>70</w:t>
            </w:r>
          </w:p>
        </w:tc>
        <w:tc>
          <w:tcPr>
            <w:tcW w:type="dxa" w:w="3211"/>
          </w:tcPr>
          <w:p>
            <w:pPr>
              <w:jc w:val="right"/>
            </w:pPr>
            <w:r/>
            <w:r>
              <w:rPr>
                <w:rFonts w:ascii="맑은 고딕" w:hAnsi="맑은 고딕" w:eastAsia="맑은 고딕"/>
                <w:sz w:val="16"/>
              </w:rPr>
              <w:t>시가화(밀집)</w:t>
            </w:r>
          </w:p>
        </w:tc>
      </w:tr>
      <w:tr>
        <w:tc>
          <w:tcPr>
            <w:tcW w:type="dxa" w:w="3211"/>
          </w:tcPr>
          <w:p>
            <w:pPr>
              <w:jc w:val="left"/>
            </w:pPr>
            <w:r/>
            <w:r>
              <w:rPr>
                <w:rFonts w:ascii="맑은 고딕" w:hAnsi="맑은 고딕" w:eastAsia="맑은 고딕"/>
                <w:sz w:val="16"/>
              </w:rPr>
              <w:t>공업지</w:t>
            </w:r>
          </w:p>
        </w:tc>
        <w:tc>
          <w:tcPr>
            <w:tcW w:type="dxa" w:w="3211"/>
          </w:tcPr>
          <w:p>
            <w:pPr>
              <w:jc w:val="right"/>
            </w:pPr>
            <w:r/>
            <w:r>
              <w:rPr>
                <w:rFonts w:ascii="맑은 고딕" w:hAnsi="맑은 고딕" w:eastAsia="맑은 고딕"/>
                <w:sz w:val="16"/>
              </w:rPr>
              <w:t>60</w:t>
            </w:r>
          </w:p>
        </w:tc>
        <w:tc>
          <w:tcPr>
            <w:tcW w:type="dxa" w:w="3211"/>
          </w:tcPr>
          <w:p>
            <w:pPr>
              <w:jc w:val="right"/>
            </w:pPr>
            <w:r/>
            <w:r>
              <w:rPr>
                <w:rFonts w:ascii="맑은 고딕" w:hAnsi="맑은 고딕" w:eastAsia="맑은 고딕"/>
                <w:sz w:val="16"/>
              </w:rPr>
              <w:t>시가화</w:t>
            </w:r>
          </w:p>
        </w:tc>
      </w:tr>
      <w:tr>
        <w:tc>
          <w:tcPr>
            <w:tcW w:type="dxa" w:w="3211"/>
          </w:tcPr>
          <w:p>
            <w:pPr>
              <w:jc w:val="left"/>
            </w:pPr>
            <w:r/>
            <w:r>
              <w:rPr>
                <w:rFonts w:ascii="맑은 고딕" w:hAnsi="맑은 고딕" w:eastAsia="맑은 고딕"/>
                <w:sz w:val="16"/>
              </w:rPr>
              <w:t>공공용도지</w:t>
            </w:r>
          </w:p>
        </w:tc>
        <w:tc>
          <w:tcPr>
            <w:tcW w:type="dxa" w:w="3211"/>
          </w:tcPr>
          <w:p>
            <w:pPr>
              <w:jc w:val="right"/>
            </w:pPr>
            <w:r/>
            <w:r>
              <w:rPr>
                <w:rFonts w:ascii="맑은 고딕" w:hAnsi="맑은 고딕" w:eastAsia="맑은 고딕"/>
                <w:sz w:val="16"/>
              </w:rPr>
              <w:t>40</w:t>
            </w:r>
          </w:p>
        </w:tc>
        <w:tc>
          <w:tcPr>
            <w:tcW w:type="dxa" w:w="3211"/>
          </w:tcPr>
          <w:p>
            <w:pPr>
              <w:jc w:val="right"/>
            </w:pPr>
            <w:r/>
            <w:r>
              <w:rPr>
                <w:rFonts w:ascii="맑은 고딕" w:hAnsi="맑은 고딕" w:eastAsia="맑은 고딕"/>
                <w:sz w:val="16"/>
              </w:rPr>
              <w:t>시가화(일부 오픈스페이스)</w:t>
            </w:r>
          </w:p>
        </w:tc>
      </w:tr>
      <w:tr>
        <w:tc>
          <w:tcPr>
            <w:tcW w:type="dxa" w:w="3211"/>
          </w:tcPr>
          <w:p>
            <w:pPr>
              <w:jc w:val="left"/>
            </w:pPr>
            <w:r/>
            <w:r>
              <w:rPr>
                <w:rFonts w:ascii="맑은 고딕" w:hAnsi="맑은 고딕" w:eastAsia="맑은 고딕"/>
                <w:sz w:val="16"/>
              </w:rPr>
              <w:t>특수지역</w:t>
            </w:r>
          </w:p>
        </w:tc>
        <w:tc>
          <w:tcPr>
            <w:tcW w:type="dxa" w:w="3211"/>
          </w:tcPr>
          <w:p>
            <w:pPr>
              <w:jc w:val="right"/>
            </w:pPr>
            <w:r/>
            <w:r>
              <w:rPr>
                <w:rFonts w:ascii="맑은 고딕" w:hAnsi="맑은 고딕" w:eastAsia="맑은 고딕"/>
                <w:sz w:val="16"/>
              </w:rPr>
              <w:t>80</w:t>
            </w:r>
          </w:p>
        </w:tc>
        <w:tc>
          <w:tcPr>
            <w:tcW w:type="dxa" w:w="3211"/>
          </w:tcPr>
          <w:p>
            <w:pPr>
              <w:jc w:val="right"/>
            </w:pPr>
            <w:r/>
            <w:r>
              <w:rPr>
                <w:rFonts w:ascii="맑은 고딕" w:hAnsi="맑은 고딕" w:eastAsia="맑은 고딕"/>
                <w:sz w:val="16"/>
              </w:rPr>
              <w:t>접근제약</w:t>
            </w:r>
          </w:p>
        </w:tc>
      </w:tr>
      <w:tr>
        <w:tc>
          <w:tcPr>
            <w:tcW w:type="dxa" w:w="3211"/>
          </w:tcPr>
          <w:p>
            <w:pPr>
              <w:jc w:val="left"/>
            </w:pPr>
            <w:r/>
            <w:r>
              <w:rPr>
                <w:rFonts w:ascii="맑은 고딕" w:hAnsi="맑은 고딕" w:eastAsia="맑은 고딕"/>
                <w:sz w:val="16"/>
              </w:rPr>
              <w:t>교통시설지</w:t>
            </w:r>
          </w:p>
        </w:tc>
        <w:tc>
          <w:tcPr>
            <w:tcW w:type="dxa" w:w="3211"/>
          </w:tcPr>
          <w:p>
            <w:pPr>
              <w:jc w:val="right"/>
            </w:pPr>
            <w:r/>
            <w:r>
              <w:rPr>
                <w:rFonts w:ascii="맑은 고딕" w:hAnsi="맑은 고딕" w:eastAsia="맑은 고딕"/>
                <w:sz w:val="16"/>
              </w:rPr>
              <w:t>100</w:t>
            </w:r>
          </w:p>
        </w:tc>
        <w:tc>
          <w:tcPr>
            <w:tcW w:type="dxa" w:w="3211"/>
          </w:tcPr>
          <w:p>
            <w:pPr>
              <w:jc w:val="right"/>
            </w:pPr>
            <w:r/>
            <w:r>
              <w:rPr>
                <w:rFonts w:ascii="맑은 고딕" w:hAnsi="맑은 고딕" w:eastAsia="맑은 고딕"/>
                <w:sz w:val="16"/>
              </w:rPr>
              <w:t>이동장벽(도로·철도)</w:t>
            </w:r>
          </w:p>
        </w:tc>
      </w:tr>
    </w:tbl>
    <w:p>
      <w:r>
        <w:rPr>
          <w:rFonts w:ascii="맑은 고딕" w:hAnsi="맑은 고딕" w:eastAsia="맑은 고딕"/>
          <w:b w:val="0"/>
          <w:sz w:val="21"/>
        </w:rPr>
        <w:t>산출된 전류밀도는 절대값 자체로는 소통이 어려우므로, 백분위 순위로 환산한 ‘연결성지수(0~100)’와 5개 등급(1 핵심 연결축 ~ 5 연결 단절)으로 변환하여 계획 용어에 대응시켰다. 유효저항은 도시 전체의 연결성 수준(질)을 나타내는 단일 지표로, 시점 간 변화 판단에 사용한다. 등급 구간은 대구 실측 전류밀도의 백분위를 기준으로 설정하였다(표 4-M2). 다만 큰 산림 내부는 코어 사이 통과전류가 낮아 저등급으로 나타날 수 있으므로, 계획 적용 시에는 녹지 여부를 함께 고려하여 ‘시가지 내 연결 단절’과 ‘녹지코어 내부’를 구분해 해석하였다.</w:t>
      </w:r>
    </w:p>
    <w:p>
      <w:r>
        <w:rPr>
          <w:rFonts w:ascii="맑은 고딕" w:hAnsi="맑은 고딕" w:eastAsia="맑은 고딕"/>
          <w:b/>
          <w:sz w:val="18"/>
        </w:rPr>
        <w:t>표 4-M2. 연결성 5등급과 계획 용어 대응</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pPr>
              <w:jc w:val="center"/>
            </w:pPr>
            <w:r/>
            <w:r>
              <w:rPr>
                <w:rFonts w:ascii="맑은 고딕" w:hAnsi="맑은 고딕" w:eastAsia="맑은 고딕"/>
                <w:b/>
                <w:sz w:val="17"/>
              </w:rPr>
              <w:t>등급</w:t>
            </w:r>
          </w:p>
        </w:tc>
        <w:tc>
          <w:tcPr>
            <w:tcW w:type="dxa" w:w="2408"/>
          </w:tcPr>
          <w:p>
            <w:pPr>
              <w:jc w:val="center"/>
            </w:pPr>
            <w:r/>
            <w:r>
              <w:rPr>
                <w:rFonts w:ascii="맑은 고딕" w:hAnsi="맑은 고딕" w:eastAsia="맑은 고딕"/>
                <w:b/>
                <w:sz w:val="17"/>
              </w:rPr>
              <w:t>전류밀도 백분위</w:t>
            </w:r>
          </w:p>
        </w:tc>
        <w:tc>
          <w:tcPr>
            <w:tcW w:type="dxa" w:w="2408"/>
          </w:tcPr>
          <w:p>
            <w:pPr>
              <w:jc w:val="center"/>
            </w:pPr>
            <w:r/>
            <w:r>
              <w:rPr>
                <w:rFonts w:ascii="맑은 고딕" w:hAnsi="맑은 고딕" w:eastAsia="맑은 고딕"/>
                <w:b/>
                <w:sz w:val="17"/>
              </w:rPr>
              <w:t>계획 용어</w:t>
            </w:r>
          </w:p>
        </w:tc>
        <w:tc>
          <w:tcPr>
            <w:tcW w:type="dxa" w:w="2408"/>
          </w:tcPr>
          <w:p>
            <w:pPr>
              <w:jc w:val="center"/>
            </w:pPr>
            <w:r/>
            <w:r>
              <w:rPr>
                <w:rFonts w:ascii="맑은 고딕" w:hAnsi="맑은 고딕" w:eastAsia="맑은 고딕"/>
                <w:b/>
                <w:sz w:val="17"/>
              </w:rPr>
              <w:t>계획 취급</w:t>
            </w:r>
          </w:p>
        </w:tc>
      </w:tr>
      <w:tr>
        <w:tc>
          <w:tcPr>
            <w:tcW w:type="dxa" w:w="2408"/>
          </w:tcPr>
          <w:p>
            <w:pPr>
              <w:jc w:val="left"/>
            </w:pPr>
            <w:r/>
            <w:r>
              <w:rPr>
                <w:rFonts w:ascii="맑은 고딕" w:hAnsi="맑은 고딕" w:eastAsia="맑은 고딕"/>
                <w:sz w:val="17"/>
              </w:rPr>
              <w:t>1 핵심 연결축</w:t>
            </w:r>
          </w:p>
        </w:tc>
        <w:tc>
          <w:tcPr>
            <w:tcW w:type="dxa" w:w="2408"/>
          </w:tcPr>
          <w:p>
            <w:pPr>
              <w:jc w:val="right"/>
            </w:pPr>
            <w:r/>
            <w:r>
              <w:rPr>
                <w:rFonts w:ascii="맑은 고딕" w:hAnsi="맑은 고딕" w:eastAsia="맑은 고딕"/>
                <w:sz w:val="17"/>
              </w:rPr>
              <w:t>상위5%</w:t>
            </w:r>
          </w:p>
        </w:tc>
        <w:tc>
          <w:tcPr>
            <w:tcW w:type="dxa" w:w="2408"/>
          </w:tcPr>
          <w:p>
            <w:pPr>
              <w:jc w:val="right"/>
            </w:pPr>
            <w:r/>
            <w:r>
              <w:rPr>
                <w:rFonts w:ascii="맑은 고딕" w:hAnsi="맑은 고딕" w:eastAsia="맑은 고딕"/>
                <w:sz w:val="17"/>
              </w:rPr>
              <w:t>광역 생태코리더</w:t>
            </w:r>
          </w:p>
        </w:tc>
        <w:tc>
          <w:tcPr>
            <w:tcW w:type="dxa" w:w="2408"/>
          </w:tcPr>
          <w:p>
            <w:pPr>
              <w:jc w:val="right"/>
            </w:pPr>
            <w:r/>
            <w:r>
              <w:rPr>
                <w:rFonts w:ascii="맑은 고딕" w:hAnsi="맑은 고딕" w:eastAsia="맑은 고딕"/>
                <w:sz w:val="17"/>
              </w:rPr>
              <w:t>절대보전·축폭확보</w:t>
            </w:r>
          </w:p>
        </w:tc>
      </w:tr>
      <w:tr>
        <w:tc>
          <w:tcPr>
            <w:tcW w:type="dxa" w:w="2408"/>
          </w:tcPr>
          <w:p>
            <w:pPr>
              <w:jc w:val="left"/>
            </w:pPr>
            <w:r/>
            <w:r>
              <w:rPr>
                <w:rFonts w:ascii="맑은 고딕" w:hAnsi="맑은 고딕" w:eastAsia="맑은 고딕"/>
                <w:sz w:val="17"/>
              </w:rPr>
              <w:t>2 주요 연결</w:t>
            </w:r>
          </w:p>
        </w:tc>
        <w:tc>
          <w:tcPr>
            <w:tcW w:type="dxa" w:w="2408"/>
          </w:tcPr>
          <w:p>
            <w:pPr>
              <w:jc w:val="right"/>
            </w:pPr>
            <w:r/>
            <w:r>
              <w:rPr>
                <w:rFonts w:ascii="맑은 고딕" w:hAnsi="맑은 고딕" w:eastAsia="맑은 고딕"/>
                <w:sz w:val="17"/>
              </w:rPr>
              <w:t>5~20%</w:t>
            </w:r>
          </w:p>
        </w:tc>
        <w:tc>
          <w:tcPr>
            <w:tcW w:type="dxa" w:w="2408"/>
          </w:tcPr>
          <w:p>
            <w:pPr>
              <w:jc w:val="right"/>
            </w:pPr>
            <w:r/>
            <w:r>
              <w:rPr>
                <w:rFonts w:ascii="맑은 고딕" w:hAnsi="맑은 고딕" w:eastAsia="맑은 고딕"/>
                <w:sz w:val="17"/>
              </w:rPr>
              <w:t>주요 녹지축</w:t>
            </w:r>
          </w:p>
        </w:tc>
        <w:tc>
          <w:tcPr>
            <w:tcW w:type="dxa" w:w="2408"/>
          </w:tcPr>
          <w:p>
            <w:pPr>
              <w:jc w:val="right"/>
            </w:pPr>
            <w:r/>
            <w:r>
              <w:rPr>
                <w:rFonts w:ascii="맑은 고딕" w:hAnsi="맑은 고딕" w:eastAsia="맑은 고딕"/>
                <w:sz w:val="17"/>
              </w:rPr>
              <w:t>보전·완충</w:t>
            </w:r>
          </w:p>
        </w:tc>
      </w:tr>
      <w:tr>
        <w:tc>
          <w:tcPr>
            <w:tcW w:type="dxa" w:w="2408"/>
          </w:tcPr>
          <w:p>
            <w:pPr>
              <w:jc w:val="left"/>
            </w:pPr>
            <w:r/>
            <w:r>
              <w:rPr>
                <w:rFonts w:ascii="맑은 고딕" w:hAnsi="맑은 고딕" w:eastAsia="맑은 고딕"/>
                <w:sz w:val="17"/>
              </w:rPr>
              <w:t>3 일반 연결</w:t>
            </w:r>
          </w:p>
        </w:tc>
        <w:tc>
          <w:tcPr>
            <w:tcW w:type="dxa" w:w="2408"/>
          </w:tcPr>
          <w:p>
            <w:pPr>
              <w:jc w:val="right"/>
            </w:pPr>
            <w:r/>
            <w:r>
              <w:rPr>
                <w:rFonts w:ascii="맑은 고딕" w:hAnsi="맑은 고딕" w:eastAsia="맑은 고딕"/>
                <w:sz w:val="17"/>
              </w:rPr>
              <w:t>20~50%</w:t>
            </w:r>
          </w:p>
        </w:tc>
        <w:tc>
          <w:tcPr>
            <w:tcW w:type="dxa" w:w="2408"/>
          </w:tcPr>
          <w:p>
            <w:pPr>
              <w:jc w:val="right"/>
            </w:pPr>
            <w:r/>
            <w:r>
              <w:rPr>
                <w:rFonts w:ascii="맑은 고딕" w:hAnsi="맑은 고딕" w:eastAsia="맑은 고딕"/>
                <w:sz w:val="17"/>
              </w:rPr>
              <w:t>보조 연결</w:t>
            </w:r>
          </w:p>
        </w:tc>
        <w:tc>
          <w:tcPr>
            <w:tcW w:type="dxa" w:w="2408"/>
          </w:tcPr>
          <w:p>
            <w:pPr>
              <w:jc w:val="right"/>
            </w:pPr>
            <w:r/>
            <w:r>
              <w:rPr>
                <w:rFonts w:ascii="맑은 고딕" w:hAnsi="맑은 고딕" w:eastAsia="맑은 고딕"/>
                <w:sz w:val="17"/>
              </w:rPr>
              <w:t>유지·관리</w:t>
            </w:r>
          </w:p>
        </w:tc>
      </w:tr>
      <w:tr>
        <w:tc>
          <w:tcPr>
            <w:tcW w:type="dxa" w:w="2408"/>
          </w:tcPr>
          <w:p>
            <w:pPr>
              <w:jc w:val="left"/>
            </w:pPr>
            <w:r/>
            <w:r>
              <w:rPr>
                <w:rFonts w:ascii="맑은 고딕" w:hAnsi="맑은 고딕" w:eastAsia="맑은 고딕"/>
                <w:sz w:val="17"/>
              </w:rPr>
              <w:t>4 연결 취약</w:t>
            </w:r>
          </w:p>
        </w:tc>
        <w:tc>
          <w:tcPr>
            <w:tcW w:type="dxa" w:w="2408"/>
          </w:tcPr>
          <w:p>
            <w:pPr>
              <w:jc w:val="right"/>
            </w:pPr>
            <w:r/>
            <w:r>
              <w:rPr>
                <w:rFonts w:ascii="맑은 고딕" w:hAnsi="맑은 고딕" w:eastAsia="맑은 고딕"/>
                <w:sz w:val="17"/>
              </w:rPr>
              <w:t>하위30~50%</w:t>
            </w:r>
          </w:p>
        </w:tc>
        <w:tc>
          <w:tcPr>
            <w:tcW w:type="dxa" w:w="2408"/>
          </w:tcPr>
          <w:p>
            <w:pPr>
              <w:jc w:val="right"/>
            </w:pPr>
            <w:r/>
            <w:r>
              <w:rPr>
                <w:rFonts w:ascii="맑은 고딕" w:hAnsi="맑은 고딕" w:eastAsia="맑은 고딕"/>
                <w:sz w:val="17"/>
              </w:rPr>
              <w:t>잠재 단절</w:t>
            </w:r>
          </w:p>
        </w:tc>
        <w:tc>
          <w:tcPr>
            <w:tcW w:type="dxa" w:w="2408"/>
          </w:tcPr>
          <w:p>
            <w:pPr>
              <w:jc w:val="right"/>
            </w:pPr>
            <w:r/>
            <w:r>
              <w:rPr>
                <w:rFonts w:ascii="맑은 고딕" w:hAnsi="맑은 고딕" w:eastAsia="맑은 고딕"/>
                <w:sz w:val="17"/>
              </w:rPr>
              <w:t>징검돌녹지 보완</w:t>
            </w:r>
          </w:p>
        </w:tc>
      </w:tr>
      <w:tr>
        <w:tc>
          <w:tcPr>
            <w:tcW w:type="dxa" w:w="2408"/>
          </w:tcPr>
          <w:p>
            <w:pPr>
              <w:jc w:val="left"/>
            </w:pPr>
            <w:r/>
            <w:r>
              <w:rPr>
                <w:rFonts w:ascii="맑은 고딕" w:hAnsi="맑은 고딕" w:eastAsia="맑은 고딕"/>
                <w:sz w:val="17"/>
              </w:rPr>
              <w:t>5 연결 단절</w:t>
            </w:r>
          </w:p>
        </w:tc>
        <w:tc>
          <w:tcPr>
            <w:tcW w:type="dxa" w:w="2408"/>
          </w:tcPr>
          <w:p>
            <w:pPr>
              <w:jc w:val="right"/>
            </w:pPr>
            <w:r/>
            <w:r>
              <w:rPr>
                <w:rFonts w:ascii="맑은 고딕" w:hAnsi="맑은 고딕" w:eastAsia="맑은 고딕"/>
                <w:sz w:val="17"/>
              </w:rPr>
              <w:t>하위30%</w:t>
            </w:r>
          </w:p>
        </w:tc>
        <w:tc>
          <w:tcPr>
            <w:tcW w:type="dxa" w:w="2408"/>
          </w:tcPr>
          <w:p>
            <w:pPr>
              <w:jc w:val="right"/>
            </w:pPr>
            <w:r/>
            <w:r>
              <w:rPr>
                <w:rFonts w:ascii="맑은 고딕" w:hAnsi="맑은 고딕" w:eastAsia="맑은 고딕"/>
                <w:sz w:val="17"/>
              </w:rPr>
              <w:t>연결 단절지</w:t>
            </w:r>
          </w:p>
        </w:tc>
        <w:tc>
          <w:tcPr>
            <w:tcW w:type="dxa" w:w="2408"/>
          </w:tcPr>
          <w:p>
            <w:pPr>
              <w:jc w:val="right"/>
            </w:pPr>
            <w:r/>
            <w:r>
              <w:rPr>
                <w:rFonts w:ascii="맑은 고딕" w:hAnsi="맑은 고딕" w:eastAsia="맑은 고딕"/>
                <w:sz w:val="17"/>
              </w:rPr>
              <w:t>복원·신규연결</w:t>
            </w:r>
          </w:p>
        </w:tc>
      </w:tr>
    </w:tbl>
    <w:p>
      <w:pPr>
        <w:pStyle w:val="Heading2"/>
      </w:pPr>
      <w:r>
        <w:rPr>
          <w:rFonts w:ascii="맑은 고딕" w:hAnsi="맑은 고딕" w:eastAsia="맑은 고딕"/>
        </w:rPr>
        <w:t>4. 접근성 평가지표 — 도로망 도보시간</w:t>
      </w:r>
    </w:p>
    <w:p>
      <w:r>
        <w:rPr>
          <w:rFonts w:ascii="맑은 고딕" w:hAnsi="맑은 고딕" w:eastAsia="맑은 고딕"/>
          <w:b w:val="0"/>
          <w:sz w:val="21"/>
        </w:rPr>
        <w:t>접근성은 실제 도로망을 따라 걸어서 가장 가까운 녹지에 도달하는 시간(분)으로 평가하였다. 직선거리가 아닌 실제 보행 경로를 반영한다는 점이 특징이다. 절차는 다음과 같다. ① 공식 도로구간을 교차점에서 노딩하여 보행 네트워크(도보속도 4.5㎞/h)를 구성한다. ② 녹지(1ha 이상)의 진입점을 도로 노드로 설정한다. ③ 모든 진입점에서 다중출발 최단경로를 계산하여 각 도로 노드의 ‘최근접 녹지 도달시간’을 구한다. ④ 100m 인구격자의 각 셀을 최근접 도로 노드에 연결하여, 셀별 도보시간을 산출하고 인구로 가중한다.</w:t>
      </w:r>
    </w:p>
    <w:p>
      <w:r>
        <w:rPr>
          <w:rFonts w:ascii="맑은 고딕" w:hAnsi="맑은 고딕" w:eastAsia="맑은 고딕"/>
          <w:b w:val="0"/>
          <w:sz w:val="21"/>
        </w:rPr>
        <w:t>접근성은 도보시간(분) 자체가 직관적이므로 4개 등급으로 구분하고(표 4-M3), 대표 계획지표로 ‘도보 10분 내 녹지 도달 인구비율’과 ‘녹지소외 인구비율(15분 초과)’을 사용하였다. 기준선은 국토부 생활SOC의 보행 10분 생활권, 근린공원 유치거리 500m, 3-30-300 녹지원칙(300m) 등 국내외 통용 기준을 종합하여 설정하였다.</w:t>
      </w:r>
    </w:p>
    <w:p>
      <w:r>
        <w:rPr>
          <w:rFonts w:ascii="맑은 고딕" w:hAnsi="맑은 고딕" w:eastAsia="맑은 고딕"/>
          <w:b/>
          <w:sz w:val="18"/>
        </w:rPr>
        <w:t>표 4-M3. 접근성 4등급과 계획 용어 대응</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pPr>
              <w:jc w:val="center"/>
            </w:pPr>
            <w:r/>
            <w:r>
              <w:rPr>
                <w:rFonts w:ascii="맑은 고딕" w:hAnsi="맑은 고딕" w:eastAsia="맑은 고딕"/>
                <w:b/>
                <w:sz w:val="17"/>
              </w:rPr>
              <w:t>등급</w:t>
            </w:r>
          </w:p>
        </w:tc>
        <w:tc>
          <w:tcPr>
            <w:tcW w:type="dxa" w:w="2408"/>
          </w:tcPr>
          <w:p>
            <w:pPr>
              <w:jc w:val="center"/>
            </w:pPr>
            <w:r/>
            <w:r>
              <w:rPr>
                <w:rFonts w:ascii="맑은 고딕" w:hAnsi="맑은 고딕" w:eastAsia="맑은 고딕"/>
                <w:b/>
                <w:sz w:val="17"/>
              </w:rPr>
              <w:t>도보시간</w:t>
            </w:r>
          </w:p>
        </w:tc>
        <w:tc>
          <w:tcPr>
            <w:tcW w:type="dxa" w:w="2408"/>
          </w:tcPr>
          <w:p>
            <w:pPr>
              <w:jc w:val="center"/>
            </w:pPr>
            <w:r/>
            <w:r>
              <w:rPr>
                <w:rFonts w:ascii="맑은 고딕" w:hAnsi="맑은 고딕" w:eastAsia="맑은 고딕"/>
                <w:b/>
                <w:sz w:val="17"/>
              </w:rPr>
              <w:t>계획 용어</w:t>
            </w:r>
          </w:p>
        </w:tc>
        <w:tc>
          <w:tcPr>
            <w:tcW w:type="dxa" w:w="2408"/>
          </w:tcPr>
          <w:p>
            <w:pPr>
              <w:jc w:val="center"/>
            </w:pPr>
            <w:r/>
            <w:r>
              <w:rPr>
                <w:rFonts w:ascii="맑은 고딕" w:hAnsi="맑은 고딕" w:eastAsia="맑은 고딕"/>
                <w:b/>
                <w:sz w:val="17"/>
              </w:rPr>
              <w:t>대구 인구비율(2024)</w:t>
            </w:r>
          </w:p>
        </w:tc>
      </w:tr>
      <w:tr>
        <w:tc>
          <w:tcPr>
            <w:tcW w:type="dxa" w:w="2408"/>
          </w:tcPr>
          <w:p>
            <w:pPr>
              <w:jc w:val="left"/>
            </w:pPr>
            <w:r/>
            <w:r>
              <w:rPr>
                <w:rFonts w:ascii="맑은 고딕" w:hAnsi="맑은 고딕" w:eastAsia="맑은 고딕"/>
                <w:sz w:val="17"/>
              </w:rPr>
              <w:t>Ⅰ 우수</w:t>
            </w:r>
          </w:p>
        </w:tc>
        <w:tc>
          <w:tcPr>
            <w:tcW w:type="dxa" w:w="2408"/>
          </w:tcPr>
          <w:p>
            <w:pPr>
              <w:jc w:val="right"/>
            </w:pPr>
            <w:r/>
            <w:r>
              <w:rPr>
                <w:rFonts w:ascii="맑은 고딕" w:hAnsi="맑은 고딕" w:eastAsia="맑은 고딕"/>
                <w:sz w:val="17"/>
              </w:rPr>
              <w:t>≤5분(약350m)</w:t>
            </w:r>
          </w:p>
        </w:tc>
        <w:tc>
          <w:tcPr>
            <w:tcW w:type="dxa" w:w="2408"/>
          </w:tcPr>
          <w:p>
            <w:pPr>
              <w:jc w:val="right"/>
            </w:pPr>
            <w:r/>
            <w:r>
              <w:rPr>
                <w:rFonts w:ascii="맑은 고딕" w:hAnsi="맑은 고딕" w:eastAsia="맑은 고딕"/>
                <w:sz w:val="17"/>
              </w:rPr>
              <w:t>녹지 인접 생활권</w:t>
            </w:r>
          </w:p>
        </w:tc>
        <w:tc>
          <w:tcPr>
            <w:tcW w:type="dxa" w:w="2408"/>
          </w:tcPr>
          <w:p>
            <w:pPr>
              <w:jc w:val="right"/>
            </w:pPr>
            <w:r/>
            <w:r>
              <w:rPr>
                <w:rFonts w:ascii="맑은 고딕" w:hAnsi="맑은 고딕" w:eastAsia="맑은 고딕"/>
                <w:sz w:val="17"/>
              </w:rPr>
              <w:t>49.5%</w:t>
            </w:r>
          </w:p>
        </w:tc>
      </w:tr>
      <w:tr>
        <w:tc>
          <w:tcPr>
            <w:tcW w:type="dxa" w:w="2408"/>
          </w:tcPr>
          <w:p>
            <w:pPr>
              <w:jc w:val="left"/>
            </w:pPr>
            <w:r/>
            <w:r>
              <w:rPr>
                <w:rFonts w:ascii="맑은 고딕" w:hAnsi="맑은 고딕" w:eastAsia="맑은 고딕"/>
                <w:sz w:val="17"/>
              </w:rPr>
              <w:t>Ⅱ 양호</w:t>
            </w:r>
          </w:p>
        </w:tc>
        <w:tc>
          <w:tcPr>
            <w:tcW w:type="dxa" w:w="2408"/>
          </w:tcPr>
          <w:p>
            <w:pPr>
              <w:jc w:val="right"/>
            </w:pPr>
            <w:r/>
            <w:r>
              <w:rPr>
                <w:rFonts w:ascii="맑은 고딕" w:hAnsi="맑은 고딕" w:eastAsia="맑은 고딕"/>
                <w:sz w:val="17"/>
              </w:rPr>
              <w:t>5~10분(약700m)</w:t>
            </w:r>
          </w:p>
        </w:tc>
        <w:tc>
          <w:tcPr>
            <w:tcW w:type="dxa" w:w="2408"/>
          </w:tcPr>
          <w:p>
            <w:pPr>
              <w:jc w:val="right"/>
            </w:pPr>
            <w:r/>
            <w:r>
              <w:rPr>
                <w:rFonts w:ascii="맑은 고딕" w:hAnsi="맑은 고딕" w:eastAsia="맑은 고딕"/>
                <w:sz w:val="17"/>
              </w:rPr>
              <w:t>도보권 녹지 생활권</w:t>
            </w:r>
          </w:p>
        </w:tc>
        <w:tc>
          <w:tcPr>
            <w:tcW w:type="dxa" w:w="2408"/>
          </w:tcPr>
          <w:p>
            <w:pPr>
              <w:jc w:val="right"/>
            </w:pPr>
            <w:r/>
            <w:r>
              <w:rPr>
                <w:rFonts w:ascii="맑은 고딕" w:hAnsi="맑은 고딕" w:eastAsia="맑은 고딕"/>
                <w:sz w:val="17"/>
              </w:rPr>
              <w:t>31.8%</w:t>
            </w:r>
          </w:p>
        </w:tc>
      </w:tr>
      <w:tr>
        <w:tc>
          <w:tcPr>
            <w:tcW w:type="dxa" w:w="2408"/>
          </w:tcPr>
          <w:p>
            <w:pPr>
              <w:jc w:val="left"/>
            </w:pPr>
            <w:r/>
            <w:r>
              <w:rPr>
                <w:rFonts w:ascii="맑은 고딕" w:hAnsi="맑은 고딕" w:eastAsia="맑은 고딕"/>
                <w:sz w:val="17"/>
              </w:rPr>
              <w:t>Ⅲ 보통</w:t>
            </w:r>
          </w:p>
        </w:tc>
        <w:tc>
          <w:tcPr>
            <w:tcW w:type="dxa" w:w="2408"/>
          </w:tcPr>
          <w:p>
            <w:pPr>
              <w:jc w:val="right"/>
            </w:pPr>
            <w:r/>
            <w:r>
              <w:rPr>
                <w:rFonts w:ascii="맑은 고딕" w:hAnsi="맑은 고딕" w:eastAsia="맑은 고딕"/>
                <w:sz w:val="17"/>
              </w:rPr>
              <w:t>10~15분</w:t>
            </w:r>
          </w:p>
        </w:tc>
        <w:tc>
          <w:tcPr>
            <w:tcW w:type="dxa" w:w="2408"/>
          </w:tcPr>
          <w:p>
            <w:pPr>
              <w:jc w:val="right"/>
            </w:pPr>
            <w:r/>
            <w:r>
              <w:rPr>
                <w:rFonts w:ascii="맑은 고딕" w:hAnsi="맑은 고딕" w:eastAsia="맑은 고딕"/>
                <w:sz w:val="17"/>
              </w:rPr>
              <w:t>준도보권</w:t>
            </w:r>
          </w:p>
        </w:tc>
        <w:tc>
          <w:tcPr>
            <w:tcW w:type="dxa" w:w="2408"/>
          </w:tcPr>
          <w:p>
            <w:pPr>
              <w:jc w:val="right"/>
            </w:pPr>
            <w:r/>
            <w:r>
              <w:rPr>
                <w:rFonts w:ascii="맑은 고딕" w:hAnsi="맑은 고딕" w:eastAsia="맑은 고딕"/>
                <w:sz w:val="17"/>
              </w:rPr>
              <w:t>14.5%</w:t>
            </w:r>
          </w:p>
        </w:tc>
      </w:tr>
      <w:tr>
        <w:tc>
          <w:tcPr>
            <w:tcW w:type="dxa" w:w="2408"/>
          </w:tcPr>
          <w:p>
            <w:pPr>
              <w:jc w:val="left"/>
            </w:pPr>
            <w:r/>
            <w:r>
              <w:rPr>
                <w:rFonts w:ascii="맑은 고딕" w:hAnsi="맑은 고딕" w:eastAsia="맑은 고딕"/>
                <w:sz w:val="17"/>
              </w:rPr>
              <w:t>Ⅳ 취약(소외)</w:t>
            </w:r>
          </w:p>
        </w:tc>
        <w:tc>
          <w:tcPr>
            <w:tcW w:type="dxa" w:w="2408"/>
          </w:tcPr>
          <w:p>
            <w:pPr>
              <w:jc w:val="right"/>
            </w:pPr>
            <w:r/>
            <w:r>
              <w:rPr>
                <w:rFonts w:ascii="맑은 고딕" w:hAnsi="맑은 고딕" w:eastAsia="맑은 고딕"/>
                <w:sz w:val="17"/>
              </w:rPr>
              <w:t>15분 초과</w:t>
            </w:r>
          </w:p>
        </w:tc>
        <w:tc>
          <w:tcPr>
            <w:tcW w:type="dxa" w:w="2408"/>
          </w:tcPr>
          <w:p>
            <w:pPr>
              <w:jc w:val="right"/>
            </w:pPr>
            <w:r/>
            <w:r>
              <w:rPr>
                <w:rFonts w:ascii="맑은 고딕" w:hAnsi="맑은 고딕" w:eastAsia="맑은 고딕"/>
                <w:sz w:val="17"/>
              </w:rPr>
              <w:t>녹지소외지역</w:t>
            </w:r>
          </w:p>
        </w:tc>
        <w:tc>
          <w:tcPr>
            <w:tcW w:type="dxa" w:w="2408"/>
          </w:tcPr>
          <w:p>
            <w:pPr>
              <w:jc w:val="right"/>
            </w:pPr>
            <w:r/>
            <w:r>
              <w:rPr>
                <w:rFonts w:ascii="맑은 고딕" w:hAnsi="맑은 고딕" w:eastAsia="맑은 고딕"/>
                <w:sz w:val="17"/>
              </w:rPr>
              <w:t>4.2%</w:t>
            </w:r>
          </w:p>
        </w:tc>
      </w:tr>
    </w:tbl>
    <w:p>
      <w:pPr>
        <w:pStyle w:val="Heading2"/>
      </w:pPr>
      <w:r>
        <w:rPr>
          <w:rFonts w:ascii="맑은 고딕" w:hAnsi="맑은 고딕" w:eastAsia="맑은 고딕"/>
        </w:rPr>
        <w:t>5. 지표의 접목 — 녹지 추가 우선지 도출</w:t>
      </w:r>
    </w:p>
    <w:p>
      <w:r>
        <w:rPr>
          <w:rFonts w:ascii="맑은 고딕" w:hAnsi="맑은 고딕" w:eastAsia="맑은 고딕"/>
          <w:b w:val="0"/>
          <w:sz w:val="21"/>
        </w:rPr>
        <w:t>두 지표는 상호보완적이다. 접근성은 ‘공급·형평(사람 관점)’을, 연결성은 ‘구조·생태(네트워크 관점)’를 본다. 이를 접목하면 자치구·생활권별 처방이 도출된다. 접근성과 연결성을 각각 높음/낮음으로 교차하면, 접근성·연결성이 모두 낮은 지역은 신규 공급과 연결 복원을 동시에 요하는 최우선 지역이 된다.</w:t>
      </w:r>
    </w:p>
    <w:p>
      <w:r>
        <w:rPr>
          <w:rFonts w:ascii="맑은 고딕" w:hAnsi="맑은 고딕" w:eastAsia="맑은 고딕"/>
          <w:b w:val="0"/>
          <w:sz w:val="21"/>
        </w:rPr>
        <w:t>‘녹지 추가 우선지’는 다음과 같이 도출하였다. 먼저 접근성 소외(도보 10분 초과) 거주격자를 추출하고, 비녹지 셀별로 반경 약 350m 내 소외 인구량을 합산하여 ‘신규 녹지의 수혜 잠재력’을 계산한다. 여기에 연결성 취약대(등급 4~5)일 경우 가점을 주어, 공급과 연결의 이중 효과가 큰 지점을 상위 우선지로 선정한다. 즉 ‘사람이 녹지에 닿지 못하고(접근성), 녹지망도 끊긴(연결성)’ 곳을 신규 녹지 최우선 후보로 도출하는 방식이다.</w:t>
      </w:r>
    </w:p>
    <w:p>
      <w:pPr>
        <w:pStyle w:val="Heading1"/>
      </w:pPr>
      <w:r>
        <w:rPr>
          <w:rFonts w:ascii="맑은 고딕" w:hAnsi="맑은 고딕" w:eastAsia="맑은 고딕"/>
        </w:rPr>
        <w:t>제3절  분석 결과</w:t>
      </w:r>
    </w:p>
    <w:p>
      <w:pPr>
        <w:pStyle w:val="Heading2"/>
      </w:pPr>
      <w:r>
        <w:rPr>
          <w:rFonts w:ascii="맑은 고딕" w:hAnsi="맑은 고딕" w:eastAsia="맑은 고딕"/>
        </w:rPr>
        <w:t>1. 전역 결과 — 대구 녹지네트워크 진단</w:t>
      </w:r>
    </w:p>
    <w:p>
      <w:r>
        <w:rPr>
          <w:rFonts w:ascii="맑은 고딕" w:hAnsi="맑은 고딕" w:eastAsia="맑은 고딕"/>
          <w:b w:val="0"/>
          <w:sz w:val="21"/>
        </w:rPr>
        <w:t>대구 전역의 연결성과 접근성을 산출한 결과, 두 지표는 서로 다른 방향의 신호를 보였다. 연결성은 2019→2024년 악화되었다. 코어 간 유효저항(R_eff)이 18.56에서 22.34로 약 20% 상승하였는데, 이는 녹지의 파편화로 코어들 사이의 생태적 이어짐이 약해졌음을 뜻한다. 반면 접근성은 소폭 개선되어, 도보 10분 내 녹지 도달 인구비율이 80.1%에서 81.3%로, 녹지소외(15분 초과) 인구비율이 5.6%에서 4.2%로 나아졌다. 소규모 생활권 녹지의 증가가 국지적 접근을 높인 반면, 대형 녹지코어를 잇는 축은 오히려 단절이 심화된 것이다.</w:t>
      </w:r>
    </w:p>
    <w:p>
      <w:r>
        <w:rPr>
          <w:rFonts w:ascii="맑은 고딕" w:hAnsi="맑은 고딕" w:eastAsia="맑은 고딕"/>
          <w:b/>
          <w:sz w:val="18"/>
        </w:rPr>
        <w:t>표 4-1. 대구 전역 연결성·접근성 재평가 (계획지표 기준)</w:t>
      </w:r>
    </w:p>
    <w:tbl>
      <w:tblPr>
        <w:tblStyle w:val="LightGrid-Accent1"/>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pPr>
              <w:jc w:val="center"/>
            </w:pPr>
            <w:r/>
            <w:r>
              <w:rPr>
                <w:rFonts w:ascii="맑은 고딕" w:hAnsi="맑은 고딕" w:eastAsia="맑은 고딕"/>
                <w:b/>
                <w:sz w:val="17"/>
              </w:rPr>
              <w:t>연도</w:t>
            </w:r>
          </w:p>
        </w:tc>
        <w:tc>
          <w:tcPr>
            <w:tcW w:type="dxa" w:w="1376"/>
          </w:tcPr>
          <w:p>
            <w:pPr>
              <w:jc w:val="center"/>
            </w:pPr>
            <w:r/>
            <w:r>
              <w:rPr>
                <w:rFonts w:ascii="맑은 고딕" w:hAnsi="맑은 고딕" w:eastAsia="맑은 고딕"/>
                <w:b/>
                <w:sz w:val="17"/>
              </w:rPr>
              <w:t>10분도달인구%</w:t>
            </w:r>
          </w:p>
        </w:tc>
        <w:tc>
          <w:tcPr>
            <w:tcW w:type="dxa" w:w="1376"/>
          </w:tcPr>
          <w:p>
            <w:pPr>
              <w:jc w:val="center"/>
            </w:pPr>
            <w:r/>
            <w:r>
              <w:rPr>
                <w:rFonts w:ascii="맑은 고딕" w:hAnsi="맑은 고딕" w:eastAsia="맑은 고딕"/>
                <w:b/>
                <w:sz w:val="17"/>
              </w:rPr>
              <w:t>녹지소외인구%(&gt;15분)</w:t>
            </w:r>
          </w:p>
        </w:tc>
        <w:tc>
          <w:tcPr>
            <w:tcW w:type="dxa" w:w="1376"/>
          </w:tcPr>
          <w:p>
            <w:pPr>
              <w:jc w:val="center"/>
            </w:pPr>
            <w:r/>
            <w:r>
              <w:rPr>
                <w:rFonts w:ascii="맑은 고딕" w:hAnsi="맑은 고딕" w:eastAsia="맑은 고딕"/>
                <w:b/>
                <w:sz w:val="17"/>
              </w:rPr>
              <w:t>평균도보분</w:t>
            </w:r>
          </w:p>
        </w:tc>
        <w:tc>
          <w:tcPr>
            <w:tcW w:type="dxa" w:w="1376"/>
          </w:tcPr>
          <w:p>
            <w:pPr>
              <w:jc w:val="center"/>
            </w:pPr>
            <w:r/>
            <w:r>
              <w:rPr>
                <w:rFonts w:ascii="맑은 고딕" w:hAnsi="맑은 고딕" w:eastAsia="맑은 고딕"/>
                <w:b/>
                <w:sz w:val="17"/>
              </w:rPr>
              <w:t>핵심+주요연결축_면적ha</w:t>
            </w:r>
          </w:p>
        </w:tc>
        <w:tc>
          <w:tcPr>
            <w:tcW w:type="dxa" w:w="1376"/>
          </w:tcPr>
          <w:p>
            <w:pPr>
              <w:jc w:val="center"/>
            </w:pPr>
            <w:r/>
            <w:r>
              <w:rPr>
                <w:rFonts w:ascii="맑은 고딕" w:hAnsi="맑은 고딕" w:eastAsia="맑은 고딕"/>
                <w:b/>
                <w:sz w:val="17"/>
              </w:rPr>
              <w:t>연결단절_면적ha</w:t>
            </w:r>
          </w:p>
        </w:tc>
        <w:tc>
          <w:tcPr>
            <w:tcW w:type="dxa" w:w="1376"/>
          </w:tcPr>
          <w:p>
            <w:pPr>
              <w:jc w:val="center"/>
            </w:pPr>
            <w:r/>
            <w:r>
              <w:rPr>
                <w:rFonts w:ascii="맑은 고딕" w:hAnsi="맑은 고딕" w:eastAsia="맑은 고딕"/>
                <w:b/>
                <w:sz w:val="17"/>
              </w:rPr>
              <w:t>평균연결성지수</w:t>
            </w:r>
          </w:p>
        </w:tc>
      </w:tr>
      <w:tr>
        <w:tc>
          <w:tcPr>
            <w:tcW w:type="dxa" w:w="1376"/>
          </w:tcPr>
          <w:p>
            <w:pPr>
              <w:jc w:val="left"/>
            </w:pPr>
            <w:r/>
            <w:r>
              <w:rPr>
                <w:rFonts w:ascii="맑은 고딕" w:hAnsi="맑은 고딕" w:eastAsia="맑은 고딕"/>
                <w:sz w:val="17"/>
              </w:rPr>
              <w:t>2,019.0</w:t>
            </w:r>
          </w:p>
        </w:tc>
        <w:tc>
          <w:tcPr>
            <w:tcW w:type="dxa" w:w="1376"/>
          </w:tcPr>
          <w:p>
            <w:pPr>
              <w:jc w:val="right"/>
            </w:pPr>
            <w:r/>
            <w:r>
              <w:rPr>
                <w:rFonts w:ascii="맑은 고딕" w:hAnsi="맑은 고딕" w:eastAsia="맑은 고딕"/>
                <w:sz w:val="17"/>
              </w:rPr>
              <w:t>80.1</w:t>
            </w:r>
          </w:p>
        </w:tc>
        <w:tc>
          <w:tcPr>
            <w:tcW w:type="dxa" w:w="1376"/>
          </w:tcPr>
          <w:p>
            <w:pPr>
              <w:jc w:val="right"/>
            </w:pPr>
            <w:r/>
            <w:r>
              <w:rPr>
                <w:rFonts w:ascii="맑은 고딕" w:hAnsi="맑은 고딕" w:eastAsia="맑은 고딕"/>
                <w:sz w:val="17"/>
              </w:rPr>
              <w:t>5.6</w:t>
            </w:r>
          </w:p>
        </w:tc>
        <w:tc>
          <w:tcPr>
            <w:tcW w:type="dxa" w:w="1376"/>
          </w:tcPr>
          <w:p>
            <w:pPr>
              <w:jc w:val="right"/>
            </w:pPr>
            <w:r/>
            <w:r>
              <w:rPr>
                <w:rFonts w:ascii="맑은 고딕" w:hAnsi="맑은 고딕" w:eastAsia="맑은 고딕"/>
                <w:sz w:val="17"/>
              </w:rPr>
              <w:t>6.2</w:t>
            </w:r>
          </w:p>
        </w:tc>
        <w:tc>
          <w:tcPr>
            <w:tcW w:type="dxa" w:w="1376"/>
          </w:tcPr>
          <w:p>
            <w:pPr>
              <w:jc w:val="right"/>
            </w:pPr>
            <w:r/>
            <w:r>
              <w:rPr>
                <w:rFonts w:ascii="맑은 고딕" w:hAnsi="맑은 고딕" w:eastAsia="맑은 고딕"/>
                <w:sz w:val="17"/>
              </w:rPr>
              <w:t>11,831.0</w:t>
            </w:r>
          </w:p>
        </w:tc>
        <w:tc>
          <w:tcPr>
            <w:tcW w:type="dxa" w:w="1376"/>
          </w:tcPr>
          <w:p>
            <w:pPr>
              <w:jc w:val="right"/>
            </w:pPr>
            <w:r/>
            <w:r>
              <w:rPr>
                <w:rFonts w:ascii="맑은 고딕" w:hAnsi="맑은 고딕" w:eastAsia="맑은 고딕"/>
                <w:sz w:val="17"/>
              </w:rPr>
              <w:t>17,872.0</w:t>
            </w:r>
          </w:p>
        </w:tc>
        <w:tc>
          <w:tcPr>
            <w:tcW w:type="dxa" w:w="1376"/>
          </w:tcPr>
          <w:p>
            <w:pPr>
              <w:jc w:val="right"/>
            </w:pPr>
            <w:r/>
            <w:r>
              <w:rPr>
                <w:rFonts w:ascii="맑은 고딕" w:hAnsi="맑은 고딕" w:eastAsia="맑은 고딕"/>
                <w:sz w:val="17"/>
              </w:rPr>
              <w:t>45.5</w:t>
            </w:r>
          </w:p>
        </w:tc>
      </w:tr>
      <w:tr>
        <w:tc>
          <w:tcPr>
            <w:tcW w:type="dxa" w:w="1376"/>
          </w:tcPr>
          <w:p>
            <w:pPr>
              <w:jc w:val="left"/>
            </w:pPr>
            <w:r/>
            <w:r>
              <w:rPr>
                <w:rFonts w:ascii="맑은 고딕" w:hAnsi="맑은 고딕" w:eastAsia="맑은 고딕"/>
                <w:sz w:val="17"/>
              </w:rPr>
              <w:t>2,024.0</w:t>
            </w:r>
          </w:p>
        </w:tc>
        <w:tc>
          <w:tcPr>
            <w:tcW w:type="dxa" w:w="1376"/>
          </w:tcPr>
          <w:p>
            <w:pPr>
              <w:jc w:val="right"/>
            </w:pPr>
            <w:r/>
            <w:r>
              <w:rPr>
                <w:rFonts w:ascii="맑은 고딕" w:hAnsi="맑은 고딕" w:eastAsia="맑은 고딕"/>
                <w:sz w:val="17"/>
              </w:rPr>
              <w:t>81.3</w:t>
            </w:r>
          </w:p>
        </w:tc>
        <w:tc>
          <w:tcPr>
            <w:tcW w:type="dxa" w:w="1376"/>
          </w:tcPr>
          <w:p>
            <w:pPr>
              <w:jc w:val="right"/>
            </w:pPr>
            <w:r/>
            <w:r>
              <w:rPr>
                <w:rFonts w:ascii="맑은 고딕" w:hAnsi="맑은 고딕" w:eastAsia="맑은 고딕"/>
                <w:sz w:val="17"/>
              </w:rPr>
              <w:t>4.2</w:t>
            </w:r>
          </w:p>
        </w:tc>
        <w:tc>
          <w:tcPr>
            <w:tcW w:type="dxa" w:w="1376"/>
          </w:tcPr>
          <w:p>
            <w:pPr>
              <w:jc w:val="right"/>
            </w:pPr>
            <w:r/>
            <w:r>
              <w:rPr>
                <w:rFonts w:ascii="맑은 고딕" w:hAnsi="맑은 고딕" w:eastAsia="맑은 고딕"/>
                <w:sz w:val="17"/>
              </w:rPr>
              <w:t>6.0</w:t>
            </w:r>
          </w:p>
        </w:tc>
        <w:tc>
          <w:tcPr>
            <w:tcW w:type="dxa" w:w="1376"/>
          </w:tcPr>
          <w:p>
            <w:pPr>
              <w:jc w:val="right"/>
            </w:pPr>
            <w:r/>
            <w:r>
              <w:rPr>
                <w:rFonts w:ascii="맑은 고딕" w:hAnsi="맑은 고딕" w:eastAsia="맑은 고딕"/>
                <w:sz w:val="17"/>
              </w:rPr>
              <w:t>17,587.0</w:t>
            </w:r>
          </w:p>
        </w:tc>
        <w:tc>
          <w:tcPr>
            <w:tcW w:type="dxa" w:w="1376"/>
          </w:tcPr>
          <w:p>
            <w:pPr>
              <w:jc w:val="right"/>
            </w:pPr>
            <w:r/>
            <w:r>
              <w:rPr>
                <w:rFonts w:ascii="맑은 고딕" w:hAnsi="맑은 고딕" w:eastAsia="맑은 고딕"/>
                <w:sz w:val="17"/>
              </w:rPr>
              <w:t>13,984.0</w:t>
            </w:r>
          </w:p>
        </w:tc>
        <w:tc>
          <w:tcPr>
            <w:tcW w:type="dxa" w:w="1376"/>
          </w:tcPr>
          <w:p>
            <w:pPr>
              <w:jc w:val="right"/>
            </w:pPr>
            <w:r/>
            <w:r>
              <w:rPr>
                <w:rFonts w:ascii="맑은 고딕" w:hAnsi="맑은 고딕" w:eastAsia="맑은 고딕"/>
                <w:sz w:val="17"/>
              </w:rPr>
              <w:t>50.0</w:t>
            </w:r>
          </w:p>
        </w:tc>
      </w:tr>
    </w:tbl>
    <w:p>
      <w:pPr>
        <w:jc w:val="center"/>
      </w:pPr>
      <w:r>
        <w:drawing>
          <wp:inline xmlns:a="http://schemas.openxmlformats.org/drawingml/2006/main" xmlns:pic="http://schemas.openxmlformats.org/drawingml/2006/picture">
            <wp:extent cx="5580000" cy="4960000"/>
            <wp:docPr id="2" name="Picture 2"/>
            <wp:cNvGraphicFramePr>
              <a:graphicFrameLocks noChangeAspect="1"/>
            </wp:cNvGraphicFramePr>
            <a:graphic>
              <a:graphicData uri="http://schemas.openxmlformats.org/drawingml/2006/picture">
                <pic:pic>
                  <pic:nvPicPr>
                    <pic:cNvPr id="0" name="module4_대구_연결성_차이.png"/>
                    <pic:cNvPicPr/>
                  </pic:nvPicPr>
                  <pic:blipFill>
                    <a:blip r:embed="rId10"/>
                    <a:stretch>
                      <a:fillRect/>
                    </a:stretch>
                  </pic:blipFill>
                  <pic:spPr>
                    <a:xfrm>
                      <a:off x="0" y="0"/>
                      <a:ext cx="5580000" cy="4960000"/>
                    </a:xfrm>
                    <a:prstGeom prst="rect"/>
                  </pic:spPr>
                </pic:pic>
              </a:graphicData>
            </a:graphic>
          </wp:inline>
        </w:drawing>
      </w:r>
    </w:p>
    <w:p>
      <w:pPr>
        <w:jc w:val="center"/>
      </w:pPr>
      <w:r>
        <w:rPr>
          <w:rFonts w:ascii="맑은 고딕" w:hAnsi="맑은 고딕" w:eastAsia="맑은 고딕"/>
          <w:b w:val="0"/>
          <w:sz w:val="18"/>
        </w:rPr>
        <w:t>그림 4-1. 대구 연결성 변화(2024−2019). 파랑=증가, 빨강=감소</w:t>
      </w:r>
    </w:p>
    <w:p>
      <w:pPr>
        <w:jc w:val="center"/>
      </w:pPr>
      <w:r>
        <w:drawing>
          <wp:inline xmlns:a="http://schemas.openxmlformats.org/drawingml/2006/main" xmlns:pic="http://schemas.openxmlformats.org/drawingml/2006/picture">
            <wp:extent cx="5580000" cy="4960000"/>
            <wp:docPr id="3" name="Picture 3"/>
            <wp:cNvGraphicFramePr>
              <a:graphicFrameLocks noChangeAspect="1"/>
            </wp:cNvGraphicFramePr>
            <a:graphic>
              <a:graphicData uri="http://schemas.openxmlformats.org/drawingml/2006/picture">
                <pic:pic>
                  <pic:nvPicPr>
                    <pic:cNvPr id="0" name="module4_대구_접근성_차이.png"/>
                    <pic:cNvPicPr/>
                  </pic:nvPicPr>
                  <pic:blipFill>
                    <a:blip r:embed="rId11"/>
                    <a:stretch>
                      <a:fillRect/>
                    </a:stretch>
                  </pic:blipFill>
                  <pic:spPr>
                    <a:xfrm>
                      <a:off x="0" y="0"/>
                      <a:ext cx="5580000" cy="4960000"/>
                    </a:xfrm>
                    <a:prstGeom prst="rect"/>
                  </pic:spPr>
                </pic:pic>
              </a:graphicData>
            </a:graphic>
          </wp:inline>
        </w:drawing>
      </w:r>
    </w:p>
    <w:p>
      <w:pPr>
        <w:jc w:val="center"/>
      </w:pPr>
      <w:r>
        <w:rPr>
          <w:rFonts w:ascii="맑은 고딕" w:hAnsi="맑은 고딕" w:eastAsia="맑은 고딕"/>
          <w:b w:val="0"/>
          <w:sz w:val="18"/>
        </w:rPr>
        <w:t>그림 4-2. 대구 접근성 변화(2024−2019). 파랑=개선(단축), 빨강=악화</w:t>
      </w:r>
    </w:p>
    <w:p>
      <w:r>
        <w:rPr>
          <w:rFonts w:ascii="맑은 고딕" w:hAnsi="맑은 고딕" w:eastAsia="맑은 고딕"/>
          <w:b w:val="0"/>
          <w:sz w:val="21"/>
        </w:rPr>
        <w:t>공간적으로, 연결성 증가(파랑)는 남부 비슬산 권역에, 감소(빨강)는 북부 팔공산 산지에 집중되었다. 이는 ‘가까운 녹지는 다소 늘었으나 큰 녹지축의 이어짐은 나빠진’ 도시녹지 파편화의 전형적 양상으로, 총량 지표만으로는 포착되지 않는 구조적 문제를 두 지표가 드러냄을 보여준다.</w:t>
      </w:r>
    </w:p>
    <w:p>
      <w:pPr>
        <w:pStyle w:val="Heading2"/>
      </w:pPr>
      <w:r>
        <w:rPr>
          <w:rFonts w:ascii="맑은 고딕" w:hAnsi="맑은 고딕" w:eastAsia="맑은 고딕"/>
        </w:rPr>
        <w:t>2. 구·군 결과</w:t>
      </w:r>
    </w:p>
    <w:p>
      <w:r>
        <w:rPr>
          <w:rFonts w:ascii="맑은 고딕" w:hAnsi="맑은 고딕" w:eastAsia="맑은 고딕"/>
          <w:b w:val="0"/>
          <w:sz w:val="21"/>
        </w:rPr>
        <w:t>자치구별로 보면 연결성과 접근성의 편차가 뚜렷하다. 접근성은 도심 고밀지역인 중구(도보 10분 도달 46.8%, 소외 28.8%)와 서구(63.4%)가 가장 취약하였고, 수성구·북구·달성군은 90% 이상으로 양호하였다. 다만 서구는 5년간 도달인구 비율이 크게 개선(54.2%→63.4%)되어 개선 여지가 확인되었다. 연결성(평균 연결성지수)은 남부·서부에서 높고 도심(중구 31.3)에서 가장 낮았다.</w:t>
      </w:r>
    </w:p>
    <w:p>
      <w:r>
        <w:rPr>
          <w:rFonts w:ascii="맑은 고딕" w:hAnsi="맑은 고딕" w:eastAsia="맑은 고딕"/>
          <w:b/>
          <w:sz w:val="18"/>
        </w:rPr>
        <w:t>표 4-2. 구·군별 접근성 등급 (도보 10분 도달% · 녹지소외%)</w:t>
      </w:r>
    </w:p>
    <w:tbl>
      <w:tblPr>
        <w:tblStyle w:val="LightGrid-Accent1"/>
        <w:tblW w:type="auto" w:w="0"/>
        <w:tblLook w:firstColumn="1" w:firstRow="1" w:lastColumn="0" w:lastRow="0" w:noHBand="0" w:noVBand="1" w:val="04A0"/>
      </w:tblPr>
      <w:tblGrid>
        <w:gridCol w:w="1605"/>
        <w:gridCol w:w="1605"/>
        <w:gridCol w:w="1605"/>
        <w:gridCol w:w="1605"/>
        <w:gridCol w:w="1605"/>
        <w:gridCol w:w="1605"/>
      </w:tblGrid>
      <w:tr>
        <w:tc>
          <w:tcPr>
            <w:tcW w:type="dxa" w:w="1605"/>
          </w:tcPr>
          <w:p>
            <w:pPr>
              <w:jc w:val="center"/>
            </w:pPr>
            <w:r/>
            <w:r>
              <w:rPr>
                <w:rFonts w:ascii="맑은 고딕" w:hAnsi="맑은 고딕" w:eastAsia="맑은 고딕"/>
                <w:b/>
                <w:sz w:val="17"/>
              </w:rPr>
              <w:t>구군</w:t>
            </w:r>
          </w:p>
        </w:tc>
        <w:tc>
          <w:tcPr>
            <w:tcW w:type="dxa" w:w="1605"/>
          </w:tcPr>
          <w:p>
            <w:pPr>
              <w:jc w:val="center"/>
            </w:pPr>
            <w:r/>
            <w:r>
              <w:rPr>
                <w:rFonts w:ascii="맑은 고딕" w:hAnsi="맑은 고딕" w:eastAsia="맑은 고딕"/>
                <w:b/>
                <w:sz w:val="17"/>
              </w:rPr>
              <w:t>인구</w:t>
            </w:r>
          </w:p>
        </w:tc>
        <w:tc>
          <w:tcPr>
            <w:tcW w:type="dxa" w:w="1605"/>
          </w:tcPr>
          <w:p>
            <w:pPr>
              <w:jc w:val="center"/>
            </w:pPr>
            <w:r/>
            <w:r>
              <w:rPr>
                <w:rFonts w:ascii="맑은 고딕" w:hAnsi="맑은 고딕" w:eastAsia="맑은 고딕"/>
                <w:b/>
                <w:sz w:val="17"/>
              </w:rPr>
              <w:t>10분도달%_2019</w:t>
            </w:r>
          </w:p>
        </w:tc>
        <w:tc>
          <w:tcPr>
            <w:tcW w:type="dxa" w:w="1605"/>
          </w:tcPr>
          <w:p>
            <w:pPr>
              <w:jc w:val="center"/>
            </w:pPr>
            <w:r/>
            <w:r>
              <w:rPr>
                <w:rFonts w:ascii="맑은 고딕" w:hAnsi="맑은 고딕" w:eastAsia="맑은 고딕"/>
                <w:b/>
                <w:sz w:val="17"/>
              </w:rPr>
              <w:t>소외%_2019</w:t>
            </w:r>
          </w:p>
        </w:tc>
        <w:tc>
          <w:tcPr>
            <w:tcW w:type="dxa" w:w="1605"/>
          </w:tcPr>
          <w:p>
            <w:pPr>
              <w:jc w:val="center"/>
            </w:pPr>
            <w:r/>
            <w:r>
              <w:rPr>
                <w:rFonts w:ascii="맑은 고딕" w:hAnsi="맑은 고딕" w:eastAsia="맑은 고딕"/>
                <w:b/>
                <w:sz w:val="17"/>
              </w:rPr>
              <w:t>10분도달%_2024</w:t>
            </w:r>
          </w:p>
        </w:tc>
        <w:tc>
          <w:tcPr>
            <w:tcW w:type="dxa" w:w="1605"/>
          </w:tcPr>
          <w:p>
            <w:pPr>
              <w:jc w:val="center"/>
            </w:pPr>
            <w:r/>
            <w:r>
              <w:rPr>
                <w:rFonts w:ascii="맑은 고딕" w:hAnsi="맑은 고딕" w:eastAsia="맑은 고딕"/>
                <w:b/>
                <w:sz w:val="17"/>
              </w:rPr>
              <w:t>소외%_2024</w:t>
            </w:r>
          </w:p>
        </w:tc>
      </w:tr>
      <w:tr>
        <w:tc>
          <w:tcPr>
            <w:tcW w:type="dxa" w:w="1605"/>
          </w:tcPr>
          <w:p>
            <w:pPr>
              <w:jc w:val="left"/>
            </w:pPr>
            <w:r/>
            <w:r>
              <w:rPr>
                <w:rFonts w:ascii="맑은 고딕" w:hAnsi="맑은 고딕" w:eastAsia="맑은 고딕"/>
                <w:sz w:val="17"/>
              </w:rPr>
              <w:t>중구</w:t>
            </w:r>
          </w:p>
        </w:tc>
        <w:tc>
          <w:tcPr>
            <w:tcW w:type="dxa" w:w="1605"/>
          </w:tcPr>
          <w:p>
            <w:pPr>
              <w:jc w:val="right"/>
            </w:pPr>
            <w:r/>
            <w:r>
              <w:rPr>
                <w:rFonts w:ascii="맑은 고딕" w:hAnsi="맑은 고딕" w:eastAsia="맑은 고딕"/>
                <w:sz w:val="17"/>
              </w:rPr>
              <w:t>78,552</w:t>
            </w:r>
          </w:p>
        </w:tc>
        <w:tc>
          <w:tcPr>
            <w:tcW w:type="dxa" w:w="1605"/>
          </w:tcPr>
          <w:p>
            <w:pPr>
              <w:jc w:val="right"/>
            </w:pPr>
            <w:r/>
            <w:r>
              <w:rPr>
                <w:rFonts w:ascii="맑은 고딕" w:hAnsi="맑은 고딕" w:eastAsia="맑은 고딕"/>
                <w:sz w:val="17"/>
              </w:rPr>
              <w:t>47.0</w:t>
            </w:r>
          </w:p>
        </w:tc>
        <w:tc>
          <w:tcPr>
            <w:tcW w:type="dxa" w:w="1605"/>
          </w:tcPr>
          <w:p>
            <w:pPr>
              <w:jc w:val="right"/>
            </w:pPr>
            <w:r/>
            <w:r>
              <w:rPr>
                <w:rFonts w:ascii="맑은 고딕" w:hAnsi="맑은 고딕" w:eastAsia="맑은 고딕"/>
                <w:sz w:val="17"/>
              </w:rPr>
              <w:t>32.8</w:t>
            </w:r>
          </w:p>
        </w:tc>
        <w:tc>
          <w:tcPr>
            <w:tcW w:type="dxa" w:w="1605"/>
          </w:tcPr>
          <w:p>
            <w:pPr>
              <w:jc w:val="right"/>
            </w:pPr>
            <w:r/>
            <w:r>
              <w:rPr>
                <w:rFonts w:ascii="맑은 고딕" w:hAnsi="맑은 고딕" w:eastAsia="맑은 고딕"/>
                <w:sz w:val="17"/>
              </w:rPr>
              <w:t>46.8</w:t>
            </w:r>
          </w:p>
        </w:tc>
        <w:tc>
          <w:tcPr>
            <w:tcW w:type="dxa" w:w="1605"/>
          </w:tcPr>
          <w:p>
            <w:pPr>
              <w:jc w:val="right"/>
            </w:pPr>
            <w:r/>
            <w:r>
              <w:rPr>
                <w:rFonts w:ascii="맑은 고딕" w:hAnsi="맑은 고딕" w:eastAsia="맑은 고딕"/>
                <w:sz w:val="17"/>
              </w:rPr>
              <w:t>28.8</w:t>
            </w:r>
          </w:p>
        </w:tc>
      </w:tr>
      <w:tr>
        <w:tc>
          <w:tcPr>
            <w:tcW w:type="dxa" w:w="1605"/>
          </w:tcPr>
          <w:p>
            <w:pPr>
              <w:jc w:val="left"/>
            </w:pPr>
            <w:r/>
            <w:r>
              <w:rPr>
                <w:rFonts w:ascii="맑은 고딕" w:hAnsi="맑은 고딕" w:eastAsia="맑은 고딕"/>
                <w:sz w:val="17"/>
              </w:rPr>
              <w:t>서구</w:t>
            </w:r>
          </w:p>
        </w:tc>
        <w:tc>
          <w:tcPr>
            <w:tcW w:type="dxa" w:w="1605"/>
          </w:tcPr>
          <w:p>
            <w:pPr>
              <w:jc w:val="right"/>
            </w:pPr>
            <w:r/>
            <w:r>
              <w:rPr>
                <w:rFonts w:ascii="맑은 고딕" w:hAnsi="맑은 고딕" w:eastAsia="맑은 고딕"/>
                <w:sz w:val="17"/>
              </w:rPr>
              <w:t>181,821</w:t>
            </w:r>
          </w:p>
        </w:tc>
        <w:tc>
          <w:tcPr>
            <w:tcW w:type="dxa" w:w="1605"/>
          </w:tcPr>
          <w:p>
            <w:pPr>
              <w:jc w:val="right"/>
            </w:pPr>
            <w:r/>
            <w:r>
              <w:rPr>
                <w:rFonts w:ascii="맑은 고딕" w:hAnsi="맑은 고딕" w:eastAsia="맑은 고딕"/>
                <w:sz w:val="17"/>
              </w:rPr>
              <w:t>54.2</w:t>
            </w:r>
          </w:p>
        </w:tc>
        <w:tc>
          <w:tcPr>
            <w:tcW w:type="dxa" w:w="1605"/>
          </w:tcPr>
          <w:p>
            <w:pPr>
              <w:jc w:val="right"/>
            </w:pPr>
            <w:r/>
            <w:r>
              <w:rPr>
                <w:rFonts w:ascii="맑은 고딕" w:hAnsi="맑은 고딕" w:eastAsia="맑은 고딕"/>
                <w:sz w:val="17"/>
              </w:rPr>
              <w:t>18.5</w:t>
            </w:r>
          </w:p>
        </w:tc>
        <w:tc>
          <w:tcPr>
            <w:tcW w:type="dxa" w:w="1605"/>
          </w:tcPr>
          <w:p>
            <w:pPr>
              <w:jc w:val="right"/>
            </w:pPr>
            <w:r/>
            <w:r>
              <w:rPr>
                <w:rFonts w:ascii="맑은 고딕" w:hAnsi="맑은 고딕" w:eastAsia="맑은 고딕"/>
                <w:sz w:val="17"/>
              </w:rPr>
              <w:t>63.4</w:t>
            </w:r>
          </w:p>
        </w:tc>
        <w:tc>
          <w:tcPr>
            <w:tcW w:type="dxa" w:w="1605"/>
          </w:tcPr>
          <w:p>
            <w:pPr>
              <w:jc w:val="right"/>
            </w:pPr>
            <w:r/>
            <w:r>
              <w:rPr>
                <w:rFonts w:ascii="맑은 고딕" w:hAnsi="맑은 고딕" w:eastAsia="맑은 고딕"/>
                <w:sz w:val="17"/>
              </w:rPr>
              <w:t>7.4</w:t>
            </w:r>
          </w:p>
        </w:tc>
      </w:tr>
      <w:tr>
        <w:tc>
          <w:tcPr>
            <w:tcW w:type="dxa" w:w="1605"/>
          </w:tcPr>
          <w:p>
            <w:pPr>
              <w:jc w:val="left"/>
            </w:pPr>
            <w:r/>
            <w:r>
              <w:rPr>
                <w:rFonts w:ascii="맑은 고딕" w:hAnsi="맑은 고딕" w:eastAsia="맑은 고딕"/>
                <w:sz w:val="17"/>
              </w:rPr>
              <w:t>남구</w:t>
            </w:r>
          </w:p>
        </w:tc>
        <w:tc>
          <w:tcPr>
            <w:tcW w:type="dxa" w:w="1605"/>
          </w:tcPr>
          <w:p>
            <w:pPr>
              <w:jc w:val="right"/>
            </w:pPr>
            <w:r/>
            <w:r>
              <w:rPr>
                <w:rFonts w:ascii="맑은 고딕" w:hAnsi="맑은 고딕" w:eastAsia="맑은 고딕"/>
                <w:sz w:val="17"/>
              </w:rPr>
              <w:t>149,390</w:t>
            </w:r>
          </w:p>
        </w:tc>
        <w:tc>
          <w:tcPr>
            <w:tcW w:type="dxa" w:w="1605"/>
          </w:tcPr>
          <w:p>
            <w:pPr>
              <w:jc w:val="right"/>
            </w:pPr>
            <w:r/>
            <w:r>
              <w:rPr>
                <w:rFonts w:ascii="맑은 고딕" w:hAnsi="맑은 고딕" w:eastAsia="맑은 고딕"/>
                <w:sz w:val="17"/>
              </w:rPr>
              <w:t>67.6</w:t>
            </w:r>
          </w:p>
        </w:tc>
        <w:tc>
          <w:tcPr>
            <w:tcW w:type="dxa" w:w="1605"/>
          </w:tcPr>
          <w:p>
            <w:pPr>
              <w:jc w:val="right"/>
            </w:pPr>
            <w:r/>
            <w:r>
              <w:rPr>
                <w:rFonts w:ascii="맑은 고딕" w:hAnsi="맑은 고딕" w:eastAsia="맑은 고딕"/>
                <w:sz w:val="17"/>
              </w:rPr>
              <w:t>10.5</w:t>
            </w:r>
          </w:p>
        </w:tc>
        <w:tc>
          <w:tcPr>
            <w:tcW w:type="dxa" w:w="1605"/>
          </w:tcPr>
          <w:p>
            <w:pPr>
              <w:jc w:val="right"/>
            </w:pPr>
            <w:r/>
            <w:r>
              <w:rPr>
                <w:rFonts w:ascii="맑은 고딕" w:hAnsi="맑은 고딕" w:eastAsia="맑은 고딕"/>
                <w:sz w:val="17"/>
              </w:rPr>
              <w:t>66.5</w:t>
            </w:r>
          </w:p>
        </w:tc>
        <w:tc>
          <w:tcPr>
            <w:tcW w:type="dxa" w:w="1605"/>
          </w:tcPr>
          <w:p>
            <w:pPr>
              <w:jc w:val="right"/>
            </w:pPr>
            <w:r/>
            <w:r>
              <w:rPr>
                <w:rFonts w:ascii="맑은 고딕" w:hAnsi="맑은 고딕" w:eastAsia="맑은 고딕"/>
                <w:sz w:val="17"/>
              </w:rPr>
              <w:t>11.1</w:t>
            </w:r>
          </w:p>
        </w:tc>
      </w:tr>
      <w:tr>
        <w:tc>
          <w:tcPr>
            <w:tcW w:type="dxa" w:w="1605"/>
          </w:tcPr>
          <w:p>
            <w:pPr>
              <w:jc w:val="left"/>
            </w:pPr>
            <w:r/>
            <w:r>
              <w:rPr>
                <w:rFonts w:ascii="맑은 고딕" w:hAnsi="맑은 고딕" w:eastAsia="맑은 고딕"/>
                <w:sz w:val="17"/>
              </w:rPr>
              <w:t>달서구</w:t>
            </w:r>
          </w:p>
        </w:tc>
        <w:tc>
          <w:tcPr>
            <w:tcW w:type="dxa" w:w="1605"/>
          </w:tcPr>
          <w:p>
            <w:pPr>
              <w:jc w:val="right"/>
            </w:pPr>
            <w:r/>
            <w:r>
              <w:rPr>
                <w:rFonts w:ascii="맑은 고딕" w:hAnsi="맑은 고딕" w:eastAsia="맑은 고딕"/>
                <w:sz w:val="17"/>
              </w:rPr>
              <w:t>566,186</w:t>
            </w:r>
          </w:p>
        </w:tc>
        <w:tc>
          <w:tcPr>
            <w:tcW w:type="dxa" w:w="1605"/>
          </w:tcPr>
          <w:p>
            <w:pPr>
              <w:jc w:val="right"/>
            </w:pPr>
            <w:r/>
            <w:r>
              <w:rPr>
                <w:rFonts w:ascii="맑은 고딕" w:hAnsi="맑은 고딕" w:eastAsia="맑은 고딕"/>
                <w:sz w:val="17"/>
              </w:rPr>
              <w:t>74.0</w:t>
            </w:r>
          </w:p>
        </w:tc>
        <w:tc>
          <w:tcPr>
            <w:tcW w:type="dxa" w:w="1605"/>
          </w:tcPr>
          <w:p>
            <w:pPr>
              <w:jc w:val="right"/>
            </w:pPr>
            <w:r/>
            <w:r>
              <w:rPr>
                <w:rFonts w:ascii="맑은 고딕" w:hAnsi="맑은 고딕" w:eastAsia="맑은 고딕"/>
                <w:sz w:val="17"/>
              </w:rPr>
              <w:t>6.3</w:t>
            </w:r>
          </w:p>
        </w:tc>
        <w:tc>
          <w:tcPr>
            <w:tcW w:type="dxa" w:w="1605"/>
          </w:tcPr>
          <w:p>
            <w:pPr>
              <w:jc w:val="right"/>
            </w:pPr>
            <w:r/>
            <w:r>
              <w:rPr>
                <w:rFonts w:ascii="맑은 고딕" w:hAnsi="맑은 고딕" w:eastAsia="맑은 고딕"/>
                <w:sz w:val="17"/>
              </w:rPr>
              <w:t>76.7</w:t>
            </w:r>
          </w:p>
        </w:tc>
        <w:tc>
          <w:tcPr>
            <w:tcW w:type="dxa" w:w="1605"/>
          </w:tcPr>
          <w:p>
            <w:pPr>
              <w:jc w:val="right"/>
            </w:pPr>
            <w:r/>
            <w:r>
              <w:rPr>
                <w:rFonts w:ascii="맑은 고딕" w:hAnsi="맑은 고딕" w:eastAsia="맑은 고딕"/>
                <w:sz w:val="17"/>
              </w:rPr>
              <w:t>4.8</w:t>
            </w:r>
          </w:p>
        </w:tc>
      </w:tr>
      <w:tr>
        <w:tc>
          <w:tcPr>
            <w:tcW w:type="dxa" w:w="1605"/>
          </w:tcPr>
          <w:p>
            <w:pPr>
              <w:jc w:val="left"/>
            </w:pPr>
            <w:r/>
            <w:r>
              <w:rPr>
                <w:rFonts w:ascii="맑은 고딕" w:hAnsi="맑은 고딕" w:eastAsia="맑은 고딕"/>
                <w:sz w:val="17"/>
              </w:rPr>
              <w:t>동구</w:t>
            </w:r>
          </w:p>
        </w:tc>
        <w:tc>
          <w:tcPr>
            <w:tcW w:type="dxa" w:w="1605"/>
          </w:tcPr>
          <w:p>
            <w:pPr>
              <w:jc w:val="right"/>
            </w:pPr>
            <w:r/>
            <w:r>
              <w:rPr>
                <w:rFonts w:ascii="맑은 고딕" w:hAnsi="맑은 고딕" w:eastAsia="맑은 고딕"/>
                <w:sz w:val="17"/>
              </w:rPr>
              <w:t>342,928</w:t>
            </w:r>
          </w:p>
        </w:tc>
        <w:tc>
          <w:tcPr>
            <w:tcW w:type="dxa" w:w="1605"/>
          </w:tcPr>
          <w:p>
            <w:pPr>
              <w:jc w:val="right"/>
            </w:pPr>
            <w:r/>
            <w:r>
              <w:rPr>
                <w:rFonts w:ascii="맑은 고딕" w:hAnsi="맑은 고딕" w:eastAsia="맑은 고딕"/>
                <w:sz w:val="17"/>
              </w:rPr>
              <w:t>80.6</w:t>
            </w:r>
          </w:p>
        </w:tc>
        <w:tc>
          <w:tcPr>
            <w:tcW w:type="dxa" w:w="1605"/>
          </w:tcPr>
          <w:p>
            <w:pPr>
              <w:jc w:val="right"/>
            </w:pPr>
            <w:r/>
            <w:r>
              <w:rPr>
                <w:rFonts w:ascii="맑은 고딕" w:hAnsi="맑은 고딕" w:eastAsia="맑은 고딕"/>
                <w:sz w:val="17"/>
              </w:rPr>
              <w:t>5.0</w:t>
            </w:r>
          </w:p>
        </w:tc>
        <w:tc>
          <w:tcPr>
            <w:tcW w:type="dxa" w:w="1605"/>
          </w:tcPr>
          <w:p>
            <w:pPr>
              <w:jc w:val="right"/>
            </w:pPr>
            <w:r/>
            <w:r>
              <w:rPr>
                <w:rFonts w:ascii="맑은 고딕" w:hAnsi="맑은 고딕" w:eastAsia="맑은 고딕"/>
                <w:sz w:val="17"/>
              </w:rPr>
              <w:t>81.4</w:t>
            </w:r>
          </w:p>
        </w:tc>
        <w:tc>
          <w:tcPr>
            <w:tcW w:type="dxa" w:w="1605"/>
          </w:tcPr>
          <w:p>
            <w:pPr>
              <w:jc w:val="right"/>
            </w:pPr>
            <w:r/>
            <w:r>
              <w:rPr>
                <w:rFonts w:ascii="맑은 고딕" w:hAnsi="맑은 고딕" w:eastAsia="맑은 고딕"/>
                <w:sz w:val="17"/>
              </w:rPr>
              <w:t>4.8</w:t>
            </w:r>
          </w:p>
        </w:tc>
      </w:tr>
      <w:tr>
        <w:tc>
          <w:tcPr>
            <w:tcW w:type="dxa" w:w="1605"/>
          </w:tcPr>
          <w:p>
            <w:pPr>
              <w:jc w:val="left"/>
            </w:pPr>
            <w:r/>
            <w:r>
              <w:rPr>
                <w:rFonts w:ascii="맑은 고딕" w:hAnsi="맑은 고딕" w:eastAsia="맑은 고딕"/>
                <w:sz w:val="17"/>
              </w:rPr>
              <w:t>수성구</w:t>
            </w:r>
          </w:p>
        </w:tc>
        <w:tc>
          <w:tcPr>
            <w:tcW w:type="dxa" w:w="1605"/>
          </w:tcPr>
          <w:p>
            <w:pPr>
              <w:jc w:val="right"/>
            </w:pPr>
            <w:r/>
            <w:r>
              <w:rPr>
                <w:rFonts w:ascii="맑은 고딕" w:hAnsi="맑은 고딕" w:eastAsia="맑은 고딕"/>
                <w:sz w:val="17"/>
              </w:rPr>
              <w:t>427,008</w:t>
            </w:r>
          </w:p>
        </w:tc>
        <w:tc>
          <w:tcPr>
            <w:tcW w:type="dxa" w:w="1605"/>
          </w:tcPr>
          <w:p>
            <w:pPr>
              <w:jc w:val="right"/>
            </w:pPr>
            <w:r/>
            <w:r>
              <w:rPr>
                <w:rFonts w:ascii="맑은 고딕" w:hAnsi="맑은 고딕" w:eastAsia="맑은 고딕"/>
                <w:sz w:val="17"/>
              </w:rPr>
              <w:t>90.0</w:t>
            </w:r>
          </w:p>
        </w:tc>
        <w:tc>
          <w:tcPr>
            <w:tcW w:type="dxa" w:w="1605"/>
          </w:tcPr>
          <w:p>
            <w:pPr>
              <w:jc w:val="right"/>
            </w:pPr>
            <w:r/>
            <w:r>
              <w:rPr>
                <w:rFonts w:ascii="맑은 고딕" w:hAnsi="맑은 고딕" w:eastAsia="맑은 고딕"/>
                <w:sz w:val="17"/>
              </w:rPr>
              <w:t>0.9</w:t>
            </w:r>
          </w:p>
        </w:tc>
        <w:tc>
          <w:tcPr>
            <w:tcW w:type="dxa" w:w="1605"/>
          </w:tcPr>
          <w:p>
            <w:pPr>
              <w:jc w:val="right"/>
            </w:pPr>
            <w:r/>
            <w:r>
              <w:rPr>
                <w:rFonts w:ascii="맑은 고딕" w:hAnsi="맑은 고딕" w:eastAsia="맑은 고딕"/>
                <w:sz w:val="17"/>
              </w:rPr>
              <w:t>89.9</w:t>
            </w:r>
          </w:p>
        </w:tc>
        <w:tc>
          <w:tcPr>
            <w:tcW w:type="dxa" w:w="1605"/>
          </w:tcPr>
          <w:p>
            <w:pPr>
              <w:jc w:val="right"/>
            </w:pPr>
            <w:r/>
            <w:r>
              <w:rPr>
                <w:rFonts w:ascii="맑은 고딕" w:hAnsi="맑은 고딕" w:eastAsia="맑은 고딕"/>
                <w:sz w:val="17"/>
              </w:rPr>
              <w:t>0.5</w:t>
            </w:r>
          </w:p>
        </w:tc>
      </w:tr>
      <w:tr>
        <w:tc>
          <w:tcPr>
            <w:tcW w:type="dxa" w:w="1605"/>
          </w:tcPr>
          <w:p>
            <w:pPr>
              <w:jc w:val="left"/>
            </w:pPr>
            <w:r/>
            <w:r>
              <w:rPr>
                <w:rFonts w:ascii="맑은 고딕" w:hAnsi="맑은 고딕" w:eastAsia="맑은 고딕"/>
                <w:sz w:val="17"/>
              </w:rPr>
              <w:t>북구</w:t>
            </w:r>
          </w:p>
        </w:tc>
        <w:tc>
          <w:tcPr>
            <w:tcW w:type="dxa" w:w="1605"/>
          </w:tcPr>
          <w:p>
            <w:pPr>
              <w:jc w:val="right"/>
            </w:pPr>
            <w:r/>
            <w:r>
              <w:rPr>
                <w:rFonts w:ascii="맑은 고딕" w:hAnsi="맑은 고딕" w:eastAsia="맑은 고딕"/>
                <w:sz w:val="17"/>
              </w:rPr>
              <w:t>435,568</w:t>
            </w:r>
          </w:p>
        </w:tc>
        <w:tc>
          <w:tcPr>
            <w:tcW w:type="dxa" w:w="1605"/>
          </w:tcPr>
          <w:p>
            <w:pPr>
              <w:jc w:val="right"/>
            </w:pPr>
            <w:r/>
            <w:r>
              <w:rPr>
                <w:rFonts w:ascii="맑은 고딕" w:hAnsi="맑은 고딕" w:eastAsia="맑은 고딕"/>
                <w:sz w:val="17"/>
              </w:rPr>
              <w:t>92.9</w:t>
            </w:r>
          </w:p>
        </w:tc>
        <w:tc>
          <w:tcPr>
            <w:tcW w:type="dxa" w:w="1605"/>
          </w:tcPr>
          <w:p>
            <w:pPr>
              <w:jc w:val="right"/>
            </w:pPr>
            <w:r/>
            <w:r>
              <w:rPr>
                <w:rFonts w:ascii="맑은 고딕" w:hAnsi="맑은 고딕" w:eastAsia="맑은 고딕"/>
                <w:sz w:val="17"/>
              </w:rPr>
              <w:t>0.5</w:t>
            </w:r>
          </w:p>
        </w:tc>
        <w:tc>
          <w:tcPr>
            <w:tcW w:type="dxa" w:w="1605"/>
          </w:tcPr>
          <w:p>
            <w:pPr>
              <w:jc w:val="right"/>
            </w:pPr>
            <w:r/>
            <w:r>
              <w:rPr>
                <w:rFonts w:ascii="맑은 고딕" w:hAnsi="맑은 고딕" w:eastAsia="맑은 고딕"/>
                <w:sz w:val="17"/>
              </w:rPr>
              <w:t>90.5</w:t>
            </w:r>
          </w:p>
        </w:tc>
        <w:tc>
          <w:tcPr>
            <w:tcW w:type="dxa" w:w="1605"/>
          </w:tcPr>
          <w:p>
            <w:pPr>
              <w:jc w:val="right"/>
            </w:pPr>
            <w:r/>
            <w:r>
              <w:rPr>
                <w:rFonts w:ascii="맑은 고딕" w:hAnsi="맑은 고딕" w:eastAsia="맑은 고딕"/>
                <w:sz w:val="17"/>
              </w:rPr>
              <w:t>0.7</w:t>
            </w:r>
          </w:p>
        </w:tc>
      </w:tr>
      <w:tr>
        <w:tc>
          <w:tcPr>
            <w:tcW w:type="dxa" w:w="1605"/>
          </w:tcPr>
          <w:p>
            <w:pPr>
              <w:jc w:val="left"/>
            </w:pPr>
            <w:r/>
            <w:r>
              <w:rPr>
                <w:rFonts w:ascii="맑은 고딕" w:hAnsi="맑은 고딕" w:eastAsia="맑은 고딕"/>
                <w:sz w:val="17"/>
              </w:rPr>
              <w:t>달성군</w:t>
            </w:r>
          </w:p>
        </w:tc>
        <w:tc>
          <w:tcPr>
            <w:tcW w:type="dxa" w:w="1605"/>
          </w:tcPr>
          <w:p>
            <w:pPr>
              <w:jc w:val="right"/>
            </w:pPr>
            <w:r/>
            <w:r>
              <w:rPr>
                <w:rFonts w:ascii="맑은 고딕" w:hAnsi="맑은 고딕" w:eastAsia="맑은 고딕"/>
                <w:sz w:val="17"/>
              </w:rPr>
              <w:t>246,111</w:t>
            </w:r>
          </w:p>
        </w:tc>
        <w:tc>
          <w:tcPr>
            <w:tcW w:type="dxa" w:w="1605"/>
          </w:tcPr>
          <w:p>
            <w:pPr>
              <w:jc w:val="right"/>
            </w:pPr>
            <w:r/>
            <w:r>
              <w:rPr>
                <w:rFonts w:ascii="맑은 고딕" w:hAnsi="맑은 고딕" w:eastAsia="맑은 고딕"/>
                <w:sz w:val="17"/>
              </w:rPr>
              <w:t>90.7</w:t>
            </w:r>
          </w:p>
        </w:tc>
        <w:tc>
          <w:tcPr>
            <w:tcW w:type="dxa" w:w="1605"/>
          </w:tcPr>
          <w:p>
            <w:pPr>
              <w:jc w:val="right"/>
            </w:pPr>
            <w:r/>
            <w:r>
              <w:rPr>
                <w:rFonts w:ascii="맑은 고딕" w:hAnsi="맑은 고딕" w:eastAsia="맑은 고딕"/>
                <w:sz w:val="17"/>
              </w:rPr>
              <w:t>0.8</w:t>
            </w:r>
          </w:p>
        </w:tc>
        <w:tc>
          <w:tcPr>
            <w:tcW w:type="dxa" w:w="1605"/>
          </w:tcPr>
          <w:p>
            <w:pPr>
              <w:jc w:val="right"/>
            </w:pPr>
            <w:r/>
            <w:r>
              <w:rPr>
                <w:rFonts w:ascii="맑은 고딕" w:hAnsi="맑은 고딕" w:eastAsia="맑은 고딕"/>
                <w:sz w:val="17"/>
              </w:rPr>
              <w:t>93.6</w:t>
            </w:r>
          </w:p>
        </w:tc>
        <w:tc>
          <w:tcPr>
            <w:tcW w:type="dxa" w:w="1605"/>
          </w:tcPr>
          <w:p>
            <w:pPr>
              <w:jc w:val="right"/>
            </w:pPr>
            <w:r/>
            <w:r>
              <w:rPr>
                <w:rFonts w:ascii="맑은 고딕" w:hAnsi="맑은 고딕" w:eastAsia="맑은 고딕"/>
                <w:sz w:val="17"/>
              </w:rPr>
              <w:t>0.4</w:t>
            </w:r>
          </w:p>
        </w:tc>
      </w:tr>
    </w:tbl>
    <w:p>
      <w:r>
        <w:rPr>
          <w:rFonts w:ascii="맑은 고딕" w:hAnsi="맑은 고딕" w:eastAsia="맑은 고딕"/>
          <w:b/>
          <w:sz w:val="18"/>
        </w:rPr>
        <w:t>표 4-3. 구·군별 연결성 등급 (핵심+주요 연결축 면적% · 평균 연결성지수)</w:t>
      </w:r>
    </w:p>
    <w:tbl>
      <w:tblPr>
        <w:tblStyle w:val="LightGrid-Accent1"/>
        <w:tblW w:type="auto" w:w="0"/>
        <w:tblLook w:firstColumn="1" w:firstRow="1" w:lastColumn="0" w:lastRow="0" w:noHBand="0" w:noVBand="1" w:val="04A0"/>
      </w:tblPr>
      <w:tblGrid>
        <w:gridCol w:w="1926"/>
        <w:gridCol w:w="1926"/>
        <w:gridCol w:w="1926"/>
        <w:gridCol w:w="1926"/>
        <w:gridCol w:w="1926"/>
      </w:tblGrid>
      <w:tr>
        <w:tc>
          <w:tcPr>
            <w:tcW w:type="dxa" w:w="1926"/>
          </w:tcPr>
          <w:p>
            <w:pPr>
              <w:jc w:val="center"/>
            </w:pPr>
            <w:r/>
            <w:r>
              <w:rPr>
                <w:rFonts w:ascii="맑은 고딕" w:hAnsi="맑은 고딕" w:eastAsia="맑은 고딕"/>
                <w:b/>
                <w:sz w:val="17"/>
              </w:rPr>
              <w:t>구군</w:t>
            </w:r>
          </w:p>
        </w:tc>
        <w:tc>
          <w:tcPr>
            <w:tcW w:type="dxa" w:w="1926"/>
          </w:tcPr>
          <w:p>
            <w:pPr>
              <w:jc w:val="center"/>
            </w:pPr>
            <w:r/>
            <w:r>
              <w:rPr>
                <w:rFonts w:ascii="맑은 고딕" w:hAnsi="맑은 고딕" w:eastAsia="맑은 고딕"/>
                <w:b/>
                <w:sz w:val="17"/>
              </w:rPr>
              <w:t>핵심+주요축%_2019</w:t>
            </w:r>
          </w:p>
        </w:tc>
        <w:tc>
          <w:tcPr>
            <w:tcW w:type="dxa" w:w="1926"/>
          </w:tcPr>
          <w:p>
            <w:pPr>
              <w:jc w:val="center"/>
            </w:pPr>
            <w:r/>
            <w:r>
              <w:rPr>
                <w:rFonts w:ascii="맑은 고딕" w:hAnsi="맑은 고딕" w:eastAsia="맑은 고딕"/>
                <w:b/>
                <w:sz w:val="17"/>
              </w:rPr>
              <w:t>평균지수_2019</w:t>
            </w:r>
          </w:p>
        </w:tc>
        <w:tc>
          <w:tcPr>
            <w:tcW w:type="dxa" w:w="1926"/>
          </w:tcPr>
          <w:p>
            <w:pPr>
              <w:jc w:val="center"/>
            </w:pPr>
            <w:r/>
            <w:r>
              <w:rPr>
                <w:rFonts w:ascii="맑은 고딕" w:hAnsi="맑은 고딕" w:eastAsia="맑은 고딕"/>
                <w:b/>
                <w:sz w:val="17"/>
              </w:rPr>
              <w:t>핵심+주요축%_2024</w:t>
            </w:r>
          </w:p>
        </w:tc>
        <w:tc>
          <w:tcPr>
            <w:tcW w:type="dxa" w:w="1926"/>
          </w:tcPr>
          <w:p>
            <w:pPr>
              <w:jc w:val="center"/>
            </w:pPr>
            <w:r/>
            <w:r>
              <w:rPr>
                <w:rFonts w:ascii="맑은 고딕" w:hAnsi="맑은 고딕" w:eastAsia="맑은 고딕"/>
                <w:b/>
                <w:sz w:val="17"/>
              </w:rPr>
              <w:t>평균지수_2024</w:t>
            </w:r>
          </w:p>
        </w:tc>
      </w:tr>
      <w:tr>
        <w:tc>
          <w:tcPr>
            <w:tcW w:type="dxa" w:w="1926"/>
          </w:tcPr>
          <w:p>
            <w:pPr>
              <w:jc w:val="left"/>
            </w:pPr>
            <w:r/>
            <w:r>
              <w:rPr>
                <w:rFonts w:ascii="맑은 고딕" w:hAnsi="맑은 고딕" w:eastAsia="맑은 고딕"/>
                <w:sz w:val="17"/>
              </w:rPr>
              <w:t>달서구</w:t>
            </w:r>
          </w:p>
        </w:tc>
        <w:tc>
          <w:tcPr>
            <w:tcW w:type="dxa" w:w="1926"/>
          </w:tcPr>
          <w:p>
            <w:pPr>
              <w:jc w:val="right"/>
            </w:pPr>
            <w:r/>
            <w:r>
              <w:rPr>
                <w:rFonts w:ascii="맑은 고딕" w:hAnsi="맑은 고딕" w:eastAsia="맑은 고딕"/>
                <w:sz w:val="17"/>
              </w:rPr>
              <w:t>9.6</w:t>
            </w:r>
          </w:p>
        </w:tc>
        <w:tc>
          <w:tcPr>
            <w:tcW w:type="dxa" w:w="1926"/>
          </w:tcPr>
          <w:p>
            <w:pPr>
              <w:jc w:val="right"/>
            </w:pPr>
            <w:r/>
            <w:r>
              <w:rPr>
                <w:rFonts w:ascii="맑은 고딕" w:hAnsi="맑은 고딕" w:eastAsia="맑은 고딕"/>
                <w:sz w:val="17"/>
              </w:rPr>
              <w:t>45.1</w:t>
            </w:r>
          </w:p>
        </w:tc>
        <w:tc>
          <w:tcPr>
            <w:tcW w:type="dxa" w:w="1926"/>
          </w:tcPr>
          <w:p>
            <w:pPr>
              <w:jc w:val="right"/>
            </w:pPr>
            <w:r/>
            <w:r>
              <w:rPr>
                <w:rFonts w:ascii="맑은 고딕" w:hAnsi="맑은 고딕" w:eastAsia="맑은 고딕"/>
                <w:sz w:val="17"/>
              </w:rPr>
              <w:t>18.0</w:t>
            </w:r>
          </w:p>
        </w:tc>
        <w:tc>
          <w:tcPr>
            <w:tcW w:type="dxa" w:w="1926"/>
          </w:tcPr>
          <w:p>
            <w:pPr>
              <w:jc w:val="right"/>
            </w:pPr>
            <w:r/>
            <w:r>
              <w:rPr>
                <w:rFonts w:ascii="맑은 고딕" w:hAnsi="맑은 고딕" w:eastAsia="맑은 고딕"/>
                <w:sz w:val="17"/>
              </w:rPr>
              <w:t>55.3</w:t>
            </w:r>
          </w:p>
        </w:tc>
      </w:tr>
      <w:tr>
        <w:tc>
          <w:tcPr>
            <w:tcW w:type="dxa" w:w="1926"/>
          </w:tcPr>
          <w:p>
            <w:pPr>
              <w:jc w:val="left"/>
            </w:pPr>
            <w:r/>
            <w:r>
              <w:rPr>
                <w:rFonts w:ascii="맑은 고딕" w:hAnsi="맑은 고딕" w:eastAsia="맑은 고딕"/>
                <w:sz w:val="17"/>
              </w:rPr>
              <w:t>달성군</w:t>
            </w:r>
          </w:p>
        </w:tc>
        <w:tc>
          <w:tcPr>
            <w:tcW w:type="dxa" w:w="1926"/>
          </w:tcPr>
          <w:p>
            <w:pPr>
              <w:jc w:val="right"/>
            </w:pPr>
            <w:r/>
            <w:r>
              <w:rPr>
                <w:rFonts w:ascii="맑은 고딕" w:hAnsi="맑은 고딕" w:eastAsia="맑은 고딕"/>
                <w:sz w:val="17"/>
              </w:rPr>
              <w:t>13.6</w:t>
            </w:r>
          </w:p>
        </w:tc>
        <w:tc>
          <w:tcPr>
            <w:tcW w:type="dxa" w:w="1926"/>
          </w:tcPr>
          <w:p>
            <w:pPr>
              <w:jc w:val="right"/>
            </w:pPr>
            <w:r/>
            <w:r>
              <w:rPr>
                <w:rFonts w:ascii="맑은 고딕" w:hAnsi="맑은 고딕" w:eastAsia="맑은 고딕"/>
                <w:sz w:val="17"/>
              </w:rPr>
              <w:t>46.5</w:t>
            </w:r>
          </w:p>
        </w:tc>
        <w:tc>
          <w:tcPr>
            <w:tcW w:type="dxa" w:w="1926"/>
          </w:tcPr>
          <w:p>
            <w:pPr>
              <w:jc w:val="right"/>
            </w:pPr>
            <w:r/>
            <w:r>
              <w:rPr>
                <w:rFonts w:ascii="맑은 고딕" w:hAnsi="맑은 고딕" w:eastAsia="맑은 고딕"/>
                <w:sz w:val="17"/>
              </w:rPr>
              <w:t>28.2</w:t>
            </w:r>
          </w:p>
        </w:tc>
        <w:tc>
          <w:tcPr>
            <w:tcW w:type="dxa" w:w="1926"/>
          </w:tcPr>
          <w:p>
            <w:pPr>
              <w:jc w:val="right"/>
            </w:pPr>
            <w:r/>
            <w:r>
              <w:rPr>
                <w:rFonts w:ascii="맑은 고딕" w:hAnsi="맑은 고딕" w:eastAsia="맑은 고딕"/>
                <w:sz w:val="17"/>
              </w:rPr>
              <w:t>55.2</w:t>
            </w:r>
          </w:p>
        </w:tc>
      </w:tr>
      <w:tr>
        <w:tc>
          <w:tcPr>
            <w:tcW w:type="dxa" w:w="1926"/>
          </w:tcPr>
          <w:p>
            <w:pPr>
              <w:jc w:val="left"/>
            </w:pPr>
            <w:r/>
            <w:r>
              <w:rPr>
                <w:rFonts w:ascii="맑은 고딕" w:hAnsi="맑은 고딕" w:eastAsia="맑은 고딕"/>
                <w:sz w:val="17"/>
              </w:rPr>
              <w:t>남구</w:t>
            </w:r>
          </w:p>
        </w:tc>
        <w:tc>
          <w:tcPr>
            <w:tcW w:type="dxa" w:w="1926"/>
          </w:tcPr>
          <w:p>
            <w:pPr>
              <w:jc w:val="right"/>
            </w:pPr>
            <w:r/>
            <w:r>
              <w:rPr>
                <w:rFonts w:ascii="맑은 고딕" w:hAnsi="맑은 고딕" w:eastAsia="맑은 고딕"/>
                <w:sz w:val="17"/>
              </w:rPr>
              <w:t>0.8</w:t>
            </w:r>
          </w:p>
        </w:tc>
        <w:tc>
          <w:tcPr>
            <w:tcW w:type="dxa" w:w="1926"/>
          </w:tcPr>
          <w:p>
            <w:pPr>
              <w:jc w:val="right"/>
            </w:pPr>
            <w:r/>
            <w:r>
              <w:rPr>
                <w:rFonts w:ascii="맑은 고딕" w:hAnsi="맑은 고딕" w:eastAsia="맑은 고딕"/>
                <w:sz w:val="17"/>
              </w:rPr>
              <w:t>30.7</w:t>
            </w:r>
          </w:p>
        </w:tc>
        <w:tc>
          <w:tcPr>
            <w:tcW w:type="dxa" w:w="1926"/>
          </w:tcPr>
          <w:p>
            <w:pPr>
              <w:jc w:val="right"/>
            </w:pPr>
            <w:r/>
            <w:r>
              <w:rPr>
                <w:rFonts w:ascii="맑은 고딕" w:hAnsi="맑은 고딕" w:eastAsia="맑은 고딕"/>
                <w:sz w:val="17"/>
              </w:rPr>
              <w:t>5.5</w:t>
            </w:r>
          </w:p>
        </w:tc>
        <w:tc>
          <w:tcPr>
            <w:tcW w:type="dxa" w:w="1926"/>
          </w:tcPr>
          <w:p>
            <w:pPr>
              <w:jc w:val="right"/>
            </w:pPr>
            <w:r/>
            <w:r>
              <w:rPr>
                <w:rFonts w:ascii="맑은 고딕" w:hAnsi="맑은 고딕" w:eastAsia="맑은 고딕"/>
                <w:sz w:val="17"/>
              </w:rPr>
              <w:t>53.4</w:t>
            </w:r>
          </w:p>
        </w:tc>
      </w:tr>
      <w:tr>
        <w:tc>
          <w:tcPr>
            <w:tcW w:type="dxa" w:w="1926"/>
          </w:tcPr>
          <w:p>
            <w:pPr>
              <w:jc w:val="left"/>
            </w:pPr>
            <w:r/>
            <w:r>
              <w:rPr>
                <w:rFonts w:ascii="맑은 고딕" w:hAnsi="맑은 고딕" w:eastAsia="맑은 고딕"/>
                <w:sz w:val="17"/>
              </w:rPr>
              <w:t>북구</w:t>
            </w:r>
          </w:p>
        </w:tc>
        <w:tc>
          <w:tcPr>
            <w:tcW w:type="dxa" w:w="1926"/>
          </w:tcPr>
          <w:p>
            <w:pPr>
              <w:jc w:val="right"/>
            </w:pPr>
            <w:r/>
            <w:r>
              <w:rPr>
                <w:rFonts w:ascii="맑은 고딕" w:hAnsi="맑은 고딕" w:eastAsia="맑은 고딕"/>
                <w:sz w:val="17"/>
              </w:rPr>
              <w:t>30.5</w:t>
            </w:r>
          </w:p>
        </w:tc>
        <w:tc>
          <w:tcPr>
            <w:tcW w:type="dxa" w:w="1926"/>
          </w:tcPr>
          <w:p>
            <w:pPr>
              <w:jc w:val="right"/>
            </w:pPr>
            <w:r/>
            <w:r>
              <w:rPr>
                <w:rFonts w:ascii="맑은 고딕" w:hAnsi="맑은 고딕" w:eastAsia="맑은 고딕"/>
                <w:sz w:val="17"/>
              </w:rPr>
              <w:t>55.7</w:t>
            </w:r>
          </w:p>
        </w:tc>
        <w:tc>
          <w:tcPr>
            <w:tcW w:type="dxa" w:w="1926"/>
          </w:tcPr>
          <w:p>
            <w:pPr>
              <w:jc w:val="right"/>
            </w:pPr>
            <w:r/>
            <w:r>
              <w:rPr>
                <w:rFonts w:ascii="맑은 고딕" w:hAnsi="맑은 고딕" w:eastAsia="맑은 고딕"/>
                <w:sz w:val="17"/>
              </w:rPr>
              <w:t>24.3</w:t>
            </w:r>
          </w:p>
        </w:tc>
        <w:tc>
          <w:tcPr>
            <w:tcW w:type="dxa" w:w="1926"/>
          </w:tcPr>
          <w:p>
            <w:pPr>
              <w:jc w:val="right"/>
            </w:pPr>
            <w:r/>
            <w:r>
              <w:rPr>
                <w:rFonts w:ascii="맑은 고딕" w:hAnsi="맑은 고딕" w:eastAsia="맑은 고딕"/>
                <w:sz w:val="17"/>
              </w:rPr>
              <w:t>52.7</w:t>
            </w:r>
          </w:p>
        </w:tc>
      </w:tr>
      <w:tr>
        <w:tc>
          <w:tcPr>
            <w:tcW w:type="dxa" w:w="1926"/>
          </w:tcPr>
          <w:p>
            <w:pPr>
              <w:jc w:val="left"/>
            </w:pPr>
            <w:r/>
            <w:r>
              <w:rPr>
                <w:rFonts w:ascii="맑은 고딕" w:hAnsi="맑은 고딕" w:eastAsia="맑은 고딕"/>
                <w:sz w:val="17"/>
              </w:rPr>
              <w:t>수성구</w:t>
            </w:r>
          </w:p>
        </w:tc>
        <w:tc>
          <w:tcPr>
            <w:tcW w:type="dxa" w:w="1926"/>
          </w:tcPr>
          <w:p>
            <w:pPr>
              <w:jc w:val="right"/>
            </w:pPr>
            <w:r/>
            <w:r>
              <w:rPr>
                <w:rFonts w:ascii="맑은 고딕" w:hAnsi="맑은 고딕" w:eastAsia="맑은 고딕"/>
                <w:sz w:val="17"/>
              </w:rPr>
              <w:t>19.1</w:t>
            </w:r>
          </w:p>
        </w:tc>
        <w:tc>
          <w:tcPr>
            <w:tcW w:type="dxa" w:w="1926"/>
          </w:tcPr>
          <w:p>
            <w:pPr>
              <w:jc w:val="right"/>
            </w:pPr>
            <w:r/>
            <w:r>
              <w:rPr>
                <w:rFonts w:ascii="맑은 고딕" w:hAnsi="맑은 고딕" w:eastAsia="맑은 고딕"/>
                <w:sz w:val="17"/>
              </w:rPr>
              <w:t>47.3</w:t>
            </w:r>
          </w:p>
        </w:tc>
        <w:tc>
          <w:tcPr>
            <w:tcW w:type="dxa" w:w="1926"/>
          </w:tcPr>
          <w:p>
            <w:pPr>
              <w:jc w:val="right"/>
            </w:pPr>
            <w:r/>
            <w:r>
              <w:rPr>
                <w:rFonts w:ascii="맑은 고딕" w:hAnsi="맑은 고딕" w:eastAsia="맑은 고딕"/>
                <w:sz w:val="17"/>
              </w:rPr>
              <w:t>19.3</w:t>
            </w:r>
          </w:p>
        </w:tc>
        <w:tc>
          <w:tcPr>
            <w:tcW w:type="dxa" w:w="1926"/>
          </w:tcPr>
          <w:p>
            <w:pPr>
              <w:jc w:val="right"/>
            </w:pPr>
            <w:r/>
            <w:r>
              <w:rPr>
                <w:rFonts w:ascii="맑은 고딕" w:hAnsi="맑은 고딕" w:eastAsia="맑은 고딕"/>
                <w:sz w:val="17"/>
              </w:rPr>
              <w:t>49.7</w:t>
            </w:r>
          </w:p>
        </w:tc>
      </w:tr>
      <w:tr>
        <w:tc>
          <w:tcPr>
            <w:tcW w:type="dxa" w:w="1926"/>
          </w:tcPr>
          <w:p>
            <w:pPr>
              <w:jc w:val="left"/>
            </w:pPr>
            <w:r/>
            <w:r>
              <w:rPr>
                <w:rFonts w:ascii="맑은 고딕" w:hAnsi="맑은 고딕" w:eastAsia="맑은 고딕"/>
                <w:sz w:val="17"/>
              </w:rPr>
              <w:t>서구</w:t>
            </w:r>
          </w:p>
        </w:tc>
        <w:tc>
          <w:tcPr>
            <w:tcW w:type="dxa" w:w="1926"/>
          </w:tcPr>
          <w:p>
            <w:pPr>
              <w:jc w:val="right"/>
            </w:pPr>
            <w:r/>
            <w:r>
              <w:rPr>
                <w:rFonts w:ascii="맑은 고딕" w:hAnsi="맑은 고딕" w:eastAsia="맑은 고딕"/>
                <w:sz w:val="17"/>
              </w:rPr>
              <w:t>11.7</w:t>
            </w:r>
          </w:p>
        </w:tc>
        <w:tc>
          <w:tcPr>
            <w:tcW w:type="dxa" w:w="1926"/>
          </w:tcPr>
          <w:p>
            <w:pPr>
              <w:jc w:val="right"/>
            </w:pPr>
            <w:r/>
            <w:r>
              <w:rPr>
                <w:rFonts w:ascii="맑은 고딕" w:hAnsi="맑은 고딕" w:eastAsia="맑은 고딕"/>
                <w:sz w:val="17"/>
              </w:rPr>
              <w:t>37.8</w:t>
            </w:r>
          </w:p>
        </w:tc>
        <w:tc>
          <w:tcPr>
            <w:tcW w:type="dxa" w:w="1926"/>
          </w:tcPr>
          <w:p>
            <w:pPr>
              <w:jc w:val="right"/>
            </w:pPr>
            <w:r/>
            <w:r>
              <w:rPr>
                <w:rFonts w:ascii="맑은 고딕" w:hAnsi="맑은 고딕" w:eastAsia="맑은 고딕"/>
                <w:sz w:val="17"/>
              </w:rPr>
              <w:t>12.8</w:t>
            </w:r>
          </w:p>
        </w:tc>
        <w:tc>
          <w:tcPr>
            <w:tcW w:type="dxa" w:w="1926"/>
          </w:tcPr>
          <w:p>
            <w:pPr>
              <w:jc w:val="right"/>
            </w:pPr>
            <w:r/>
            <w:r>
              <w:rPr>
                <w:rFonts w:ascii="맑은 고딕" w:hAnsi="맑은 고딕" w:eastAsia="맑은 고딕"/>
                <w:sz w:val="17"/>
              </w:rPr>
              <w:t>48.9</w:t>
            </w:r>
          </w:p>
        </w:tc>
      </w:tr>
      <w:tr>
        <w:tc>
          <w:tcPr>
            <w:tcW w:type="dxa" w:w="1926"/>
          </w:tcPr>
          <w:p>
            <w:pPr>
              <w:jc w:val="left"/>
            </w:pPr>
            <w:r/>
            <w:r>
              <w:rPr>
                <w:rFonts w:ascii="맑은 고딕" w:hAnsi="맑은 고딕" w:eastAsia="맑은 고딕"/>
                <w:sz w:val="17"/>
              </w:rPr>
              <w:t>동구</w:t>
            </w:r>
          </w:p>
        </w:tc>
        <w:tc>
          <w:tcPr>
            <w:tcW w:type="dxa" w:w="1926"/>
          </w:tcPr>
          <w:p>
            <w:pPr>
              <w:jc w:val="right"/>
            </w:pPr>
            <w:r/>
            <w:r>
              <w:rPr>
                <w:rFonts w:ascii="맑은 고딕" w:hAnsi="맑은 고딕" w:eastAsia="맑은 고딕"/>
                <w:sz w:val="17"/>
              </w:rPr>
              <w:t>5.0</w:t>
            </w:r>
          </w:p>
        </w:tc>
        <w:tc>
          <w:tcPr>
            <w:tcW w:type="dxa" w:w="1926"/>
          </w:tcPr>
          <w:p>
            <w:pPr>
              <w:jc w:val="right"/>
            </w:pPr>
            <w:r/>
            <w:r>
              <w:rPr>
                <w:rFonts w:ascii="맑은 고딕" w:hAnsi="맑은 고딕" w:eastAsia="맑은 고딕"/>
                <w:sz w:val="17"/>
              </w:rPr>
              <w:t>40.8</w:t>
            </w:r>
          </w:p>
        </w:tc>
        <w:tc>
          <w:tcPr>
            <w:tcW w:type="dxa" w:w="1926"/>
          </w:tcPr>
          <w:p>
            <w:pPr>
              <w:jc w:val="right"/>
            </w:pPr>
            <w:r/>
            <w:r>
              <w:rPr>
                <w:rFonts w:ascii="맑은 고딕" w:hAnsi="맑은 고딕" w:eastAsia="맑은 고딕"/>
                <w:sz w:val="17"/>
              </w:rPr>
              <w:t>2.6</w:t>
            </w:r>
          </w:p>
        </w:tc>
        <w:tc>
          <w:tcPr>
            <w:tcW w:type="dxa" w:w="1926"/>
          </w:tcPr>
          <w:p>
            <w:pPr>
              <w:jc w:val="right"/>
            </w:pPr>
            <w:r/>
            <w:r>
              <w:rPr>
                <w:rFonts w:ascii="맑은 고딕" w:hAnsi="맑은 고딕" w:eastAsia="맑은 고딕"/>
                <w:sz w:val="17"/>
              </w:rPr>
              <w:t>35.3</w:t>
            </w:r>
          </w:p>
        </w:tc>
      </w:tr>
      <w:tr>
        <w:tc>
          <w:tcPr>
            <w:tcW w:type="dxa" w:w="1926"/>
          </w:tcPr>
          <w:p>
            <w:pPr>
              <w:jc w:val="left"/>
            </w:pPr>
            <w:r/>
            <w:r>
              <w:rPr>
                <w:rFonts w:ascii="맑은 고딕" w:hAnsi="맑은 고딕" w:eastAsia="맑은 고딕"/>
                <w:sz w:val="17"/>
              </w:rPr>
              <w:t>중구</w:t>
            </w:r>
          </w:p>
        </w:tc>
        <w:tc>
          <w:tcPr>
            <w:tcW w:type="dxa" w:w="1926"/>
          </w:tcPr>
          <w:p>
            <w:pPr>
              <w:jc w:val="right"/>
            </w:pPr>
            <w:r/>
            <w:r>
              <w:rPr>
                <w:rFonts w:ascii="맑은 고딕" w:hAnsi="맑은 고딕" w:eastAsia="맑은 고딕"/>
                <w:sz w:val="17"/>
              </w:rPr>
              <w:t>0.0</w:t>
            </w:r>
          </w:p>
        </w:tc>
        <w:tc>
          <w:tcPr>
            <w:tcW w:type="dxa" w:w="1926"/>
          </w:tcPr>
          <w:p>
            <w:pPr>
              <w:jc w:val="right"/>
            </w:pPr>
            <w:r/>
            <w:r>
              <w:rPr>
                <w:rFonts w:ascii="맑은 고딕" w:hAnsi="맑은 고딕" w:eastAsia="맑은 고딕"/>
                <w:sz w:val="17"/>
              </w:rPr>
              <w:t>17.1</w:t>
            </w:r>
          </w:p>
        </w:tc>
        <w:tc>
          <w:tcPr>
            <w:tcW w:type="dxa" w:w="1926"/>
          </w:tcPr>
          <w:p>
            <w:pPr>
              <w:jc w:val="right"/>
            </w:pPr>
            <w:r/>
            <w:r>
              <w:rPr>
                <w:rFonts w:ascii="맑은 고딕" w:hAnsi="맑은 고딕" w:eastAsia="맑은 고딕"/>
                <w:sz w:val="17"/>
              </w:rPr>
              <w:t>0.4</w:t>
            </w:r>
          </w:p>
        </w:tc>
        <w:tc>
          <w:tcPr>
            <w:tcW w:type="dxa" w:w="1926"/>
          </w:tcPr>
          <w:p>
            <w:pPr>
              <w:jc w:val="right"/>
            </w:pPr>
            <w:r/>
            <w:r>
              <w:rPr>
                <w:rFonts w:ascii="맑은 고딕" w:hAnsi="맑은 고딕" w:eastAsia="맑은 고딕"/>
                <w:sz w:val="17"/>
              </w:rPr>
              <w:t>31.3</w:t>
            </w:r>
          </w:p>
        </w:tc>
      </w:tr>
    </w:tbl>
    <w:p>
      <w:r>
        <w:rPr>
          <w:rFonts w:ascii="맑은 고딕" w:hAnsi="맑은 고딕" w:eastAsia="맑은 고딕"/>
          <w:b w:val="0"/>
          <w:sz w:val="21"/>
        </w:rPr>
        <w:t>두 지표를 접목한 자치구별 처방(우선순위 매트릭스)은 다음과 같다. 접근성과 연결성이 모두 도시 중앙값 미만인 중구·서구는 ‘신규 공급과 연결 복원을 동시에 추진해야 할 최우선 자치구’로, 남구·달서구는 ‘공급 확충’, 동구·수성구는 ‘연결 복원’, 북구·달성군은 ‘현 수준 유지·관리’로 분류되었다.</w:t>
      </w:r>
    </w:p>
    <w:p>
      <w:r>
        <w:rPr>
          <w:rFonts w:ascii="맑은 고딕" w:hAnsi="맑은 고딕" w:eastAsia="맑은 고딕"/>
          <w:b/>
          <w:sz w:val="18"/>
        </w:rPr>
        <w:t>표 4-4. 구·군별 통합 우선순위 처방</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pPr>
              <w:jc w:val="center"/>
            </w:pPr>
            <w:r/>
            <w:r>
              <w:rPr>
                <w:rFonts w:ascii="맑은 고딕" w:hAnsi="맑은 고딕" w:eastAsia="맑은 고딕"/>
                <w:b/>
                <w:sz w:val="17"/>
              </w:rPr>
              <w:t>구군</w:t>
            </w:r>
          </w:p>
        </w:tc>
        <w:tc>
          <w:tcPr>
            <w:tcW w:type="dxa" w:w="2408"/>
          </w:tcPr>
          <w:p>
            <w:pPr>
              <w:jc w:val="center"/>
            </w:pPr>
            <w:r/>
            <w:r>
              <w:rPr>
                <w:rFonts w:ascii="맑은 고딕" w:hAnsi="맑은 고딕" w:eastAsia="맑은 고딕"/>
                <w:b/>
                <w:sz w:val="17"/>
              </w:rPr>
              <w:t>10분도달%</w:t>
            </w:r>
          </w:p>
        </w:tc>
        <w:tc>
          <w:tcPr>
            <w:tcW w:type="dxa" w:w="2408"/>
          </w:tcPr>
          <w:p>
            <w:pPr>
              <w:jc w:val="center"/>
            </w:pPr>
            <w:r/>
            <w:r>
              <w:rPr>
                <w:rFonts w:ascii="맑은 고딕" w:hAnsi="맑은 고딕" w:eastAsia="맑은 고딕"/>
                <w:b/>
                <w:sz w:val="17"/>
              </w:rPr>
              <w:t>연결성지수</w:t>
            </w:r>
          </w:p>
        </w:tc>
        <w:tc>
          <w:tcPr>
            <w:tcW w:type="dxa" w:w="2408"/>
          </w:tcPr>
          <w:p>
            <w:pPr>
              <w:jc w:val="center"/>
            </w:pPr>
            <w:r/>
            <w:r>
              <w:rPr>
                <w:rFonts w:ascii="맑은 고딕" w:hAnsi="맑은 고딕" w:eastAsia="맑은 고딕"/>
                <w:b/>
                <w:sz w:val="17"/>
              </w:rPr>
              <w:t>처방</w:t>
            </w:r>
          </w:p>
        </w:tc>
      </w:tr>
      <w:tr>
        <w:tc>
          <w:tcPr>
            <w:tcW w:type="dxa" w:w="2408"/>
          </w:tcPr>
          <w:p>
            <w:pPr>
              <w:jc w:val="left"/>
            </w:pPr>
            <w:r/>
            <w:r>
              <w:rPr>
                <w:rFonts w:ascii="맑은 고딕" w:hAnsi="맑은 고딕" w:eastAsia="맑은 고딕"/>
                <w:sz w:val="17"/>
              </w:rPr>
              <w:t>중구</w:t>
            </w:r>
          </w:p>
        </w:tc>
        <w:tc>
          <w:tcPr>
            <w:tcW w:type="dxa" w:w="2408"/>
          </w:tcPr>
          <w:p>
            <w:pPr>
              <w:jc w:val="right"/>
            </w:pPr>
            <w:r/>
            <w:r>
              <w:rPr>
                <w:rFonts w:ascii="맑은 고딕" w:hAnsi="맑은 고딕" w:eastAsia="맑은 고딕"/>
                <w:sz w:val="17"/>
              </w:rPr>
              <w:t>46.8</w:t>
            </w:r>
          </w:p>
        </w:tc>
        <w:tc>
          <w:tcPr>
            <w:tcW w:type="dxa" w:w="2408"/>
          </w:tcPr>
          <w:p>
            <w:pPr>
              <w:jc w:val="right"/>
            </w:pPr>
            <w:r/>
            <w:r>
              <w:rPr>
                <w:rFonts w:ascii="맑은 고딕" w:hAnsi="맑은 고딕" w:eastAsia="맑은 고딕"/>
                <w:sz w:val="17"/>
              </w:rPr>
              <w:t>31.3</w:t>
            </w:r>
          </w:p>
        </w:tc>
        <w:tc>
          <w:tcPr>
            <w:tcW w:type="dxa" w:w="2408"/>
          </w:tcPr>
          <w:p>
            <w:pPr>
              <w:jc w:val="right"/>
            </w:pPr>
            <w:r/>
            <w:r>
              <w:rPr>
                <w:rFonts w:ascii="맑은 고딕" w:hAnsi="맑은 고딕" w:eastAsia="맑은 고딕"/>
                <w:sz w:val="17"/>
              </w:rPr>
              <w:t>★최우선(공급+연결)</w:t>
            </w:r>
          </w:p>
        </w:tc>
      </w:tr>
      <w:tr>
        <w:tc>
          <w:tcPr>
            <w:tcW w:type="dxa" w:w="2408"/>
          </w:tcPr>
          <w:p>
            <w:pPr>
              <w:jc w:val="left"/>
            </w:pPr>
            <w:r/>
            <w:r>
              <w:rPr>
                <w:rFonts w:ascii="맑은 고딕" w:hAnsi="맑은 고딕" w:eastAsia="맑은 고딕"/>
                <w:sz w:val="17"/>
              </w:rPr>
              <w:t>서구</w:t>
            </w:r>
          </w:p>
        </w:tc>
        <w:tc>
          <w:tcPr>
            <w:tcW w:type="dxa" w:w="2408"/>
          </w:tcPr>
          <w:p>
            <w:pPr>
              <w:jc w:val="right"/>
            </w:pPr>
            <w:r/>
            <w:r>
              <w:rPr>
                <w:rFonts w:ascii="맑은 고딕" w:hAnsi="맑은 고딕" w:eastAsia="맑은 고딕"/>
                <w:sz w:val="17"/>
              </w:rPr>
              <w:t>63.4</w:t>
            </w:r>
          </w:p>
        </w:tc>
        <w:tc>
          <w:tcPr>
            <w:tcW w:type="dxa" w:w="2408"/>
          </w:tcPr>
          <w:p>
            <w:pPr>
              <w:jc w:val="right"/>
            </w:pPr>
            <w:r/>
            <w:r>
              <w:rPr>
                <w:rFonts w:ascii="맑은 고딕" w:hAnsi="맑은 고딕" w:eastAsia="맑은 고딕"/>
                <w:sz w:val="17"/>
              </w:rPr>
              <w:t>48.9</w:t>
            </w:r>
          </w:p>
        </w:tc>
        <w:tc>
          <w:tcPr>
            <w:tcW w:type="dxa" w:w="2408"/>
          </w:tcPr>
          <w:p>
            <w:pPr>
              <w:jc w:val="right"/>
            </w:pPr>
            <w:r/>
            <w:r>
              <w:rPr>
                <w:rFonts w:ascii="맑은 고딕" w:hAnsi="맑은 고딕" w:eastAsia="맑은 고딕"/>
                <w:sz w:val="17"/>
              </w:rPr>
              <w:t>★최우선(공급+연결)</w:t>
            </w:r>
          </w:p>
        </w:tc>
      </w:tr>
      <w:tr>
        <w:tc>
          <w:tcPr>
            <w:tcW w:type="dxa" w:w="2408"/>
          </w:tcPr>
          <w:p>
            <w:pPr>
              <w:jc w:val="left"/>
            </w:pPr>
            <w:r/>
            <w:r>
              <w:rPr>
                <w:rFonts w:ascii="맑은 고딕" w:hAnsi="맑은 고딕" w:eastAsia="맑은 고딕"/>
                <w:sz w:val="17"/>
              </w:rPr>
              <w:t>남구</w:t>
            </w:r>
          </w:p>
        </w:tc>
        <w:tc>
          <w:tcPr>
            <w:tcW w:type="dxa" w:w="2408"/>
          </w:tcPr>
          <w:p>
            <w:pPr>
              <w:jc w:val="right"/>
            </w:pPr>
            <w:r/>
            <w:r>
              <w:rPr>
                <w:rFonts w:ascii="맑은 고딕" w:hAnsi="맑은 고딕" w:eastAsia="맑은 고딕"/>
                <w:sz w:val="17"/>
              </w:rPr>
              <w:t>66.5</w:t>
            </w:r>
          </w:p>
        </w:tc>
        <w:tc>
          <w:tcPr>
            <w:tcW w:type="dxa" w:w="2408"/>
          </w:tcPr>
          <w:p>
            <w:pPr>
              <w:jc w:val="right"/>
            </w:pPr>
            <w:r/>
            <w:r>
              <w:rPr>
                <w:rFonts w:ascii="맑은 고딕" w:hAnsi="맑은 고딕" w:eastAsia="맑은 고딕"/>
                <w:sz w:val="17"/>
              </w:rPr>
              <w:t>53.4</w:t>
            </w:r>
          </w:p>
        </w:tc>
        <w:tc>
          <w:tcPr>
            <w:tcW w:type="dxa" w:w="2408"/>
          </w:tcPr>
          <w:p>
            <w:pPr>
              <w:jc w:val="right"/>
            </w:pPr>
            <w:r/>
            <w:r>
              <w:rPr>
                <w:rFonts w:ascii="맑은 고딕" w:hAnsi="맑은 고딕" w:eastAsia="맑은 고딕"/>
                <w:sz w:val="17"/>
              </w:rPr>
              <w:t>공급 확충</w:t>
            </w:r>
          </w:p>
        </w:tc>
      </w:tr>
      <w:tr>
        <w:tc>
          <w:tcPr>
            <w:tcW w:type="dxa" w:w="2408"/>
          </w:tcPr>
          <w:p>
            <w:pPr>
              <w:jc w:val="left"/>
            </w:pPr>
            <w:r/>
            <w:r>
              <w:rPr>
                <w:rFonts w:ascii="맑은 고딕" w:hAnsi="맑은 고딕" w:eastAsia="맑은 고딕"/>
                <w:sz w:val="17"/>
              </w:rPr>
              <w:t>달서구</w:t>
            </w:r>
          </w:p>
        </w:tc>
        <w:tc>
          <w:tcPr>
            <w:tcW w:type="dxa" w:w="2408"/>
          </w:tcPr>
          <w:p>
            <w:pPr>
              <w:jc w:val="right"/>
            </w:pPr>
            <w:r/>
            <w:r>
              <w:rPr>
                <w:rFonts w:ascii="맑은 고딕" w:hAnsi="맑은 고딕" w:eastAsia="맑은 고딕"/>
                <w:sz w:val="17"/>
              </w:rPr>
              <w:t>76.7</w:t>
            </w:r>
          </w:p>
        </w:tc>
        <w:tc>
          <w:tcPr>
            <w:tcW w:type="dxa" w:w="2408"/>
          </w:tcPr>
          <w:p>
            <w:pPr>
              <w:jc w:val="right"/>
            </w:pPr>
            <w:r/>
            <w:r>
              <w:rPr>
                <w:rFonts w:ascii="맑은 고딕" w:hAnsi="맑은 고딕" w:eastAsia="맑은 고딕"/>
                <w:sz w:val="17"/>
              </w:rPr>
              <w:t>55.3</w:t>
            </w:r>
          </w:p>
        </w:tc>
        <w:tc>
          <w:tcPr>
            <w:tcW w:type="dxa" w:w="2408"/>
          </w:tcPr>
          <w:p>
            <w:pPr>
              <w:jc w:val="right"/>
            </w:pPr>
            <w:r/>
            <w:r>
              <w:rPr>
                <w:rFonts w:ascii="맑은 고딕" w:hAnsi="맑은 고딕" w:eastAsia="맑은 고딕"/>
                <w:sz w:val="17"/>
              </w:rPr>
              <w:t>공급 확충</w:t>
            </w:r>
          </w:p>
        </w:tc>
      </w:tr>
      <w:tr>
        <w:tc>
          <w:tcPr>
            <w:tcW w:type="dxa" w:w="2408"/>
          </w:tcPr>
          <w:p>
            <w:pPr>
              <w:jc w:val="left"/>
            </w:pPr>
            <w:r/>
            <w:r>
              <w:rPr>
                <w:rFonts w:ascii="맑은 고딕" w:hAnsi="맑은 고딕" w:eastAsia="맑은 고딕"/>
                <w:sz w:val="17"/>
              </w:rPr>
              <w:t>동구</w:t>
            </w:r>
          </w:p>
        </w:tc>
        <w:tc>
          <w:tcPr>
            <w:tcW w:type="dxa" w:w="2408"/>
          </w:tcPr>
          <w:p>
            <w:pPr>
              <w:jc w:val="right"/>
            </w:pPr>
            <w:r/>
            <w:r>
              <w:rPr>
                <w:rFonts w:ascii="맑은 고딕" w:hAnsi="맑은 고딕" w:eastAsia="맑은 고딕"/>
                <w:sz w:val="17"/>
              </w:rPr>
              <w:t>81.4</w:t>
            </w:r>
          </w:p>
        </w:tc>
        <w:tc>
          <w:tcPr>
            <w:tcW w:type="dxa" w:w="2408"/>
          </w:tcPr>
          <w:p>
            <w:pPr>
              <w:jc w:val="right"/>
            </w:pPr>
            <w:r/>
            <w:r>
              <w:rPr>
                <w:rFonts w:ascii="맑은 고딕" w:hAnsi="맑은 고딕" w:eastAsia="맑은 고딕"/>
                <w:sz w:val="17"/>
              </w:rPr>
              <w:t>35.3</w:t>
            </w:r>
          </w:p>
        </w:tc>
        <w:tc>
          <w:tcPr>
            <w:tcW w:type="dxa" w:w="2408"/>
          </w:tcPr>
          <w:p>
            <w:pPr>
              <w:jc w:val="right"/>
            </w:pPr>
            <w:r/>
            <w:r>
              <w:rPr>
                <w:rFonts w:ascii="맑은 고딕" w:hAnsi="맑은 고딕" w:eastAsia="맑은 고딕"/>
                <w:sz w:val="17"/>
              </w:rPr>
              <w:t>연결 복원</w:t>
            </w:r>
          </w:p>
        </w:tc>
      </w:tr>
      <w:tr>
        <w:tc>
          <w:tcPr>
            <w:tcW w:type="dxa" w:w="2408"/>
          </w:tcPr>
          <w:p>
            <w:pPr>
              <w:jc w:val="left"/>
            </w:pPr>
            <w:r/>
            <w:r>
              <w:rPr>
                <w:rFonts w:ascii="맑은 고딕" w:hAnsi="맑은 고딕" w:eastAsia="맑은 고딕"/>
                <w:sz w:val="17"/>
              </w:rPr>
              <w:t>수성구</w:t>
            </w:r>
          </w:p>
        </w:tc>
        <w:tc>
          <w:tcPr>
            <w:tcW w:type="dxa" w:w="2408"/>
          </w:tcPr>
          <w:p>
            <w:pPr>
              <w:jc w:val="right"/>
            </w:pPr>
            <w:r/>
            <w:r>
              <w:rPr>
                <w:rFonts w:ascii="맑은 고딕" w:hAnsi="맑은 고딕" w:eastAsia="맑은 고딕"/>
                <w:sz w:val="17"/>
              </w:rPr>
              <w:t>89.9</w:t>
            </w:r>
          </w:p>
        </w:tc>
        <w:tc>
          <w:tcPr>
            <w:tcW w:type="dxa" w:w="2408"/>
          </w:tcPr>
          <w:p>
            <w:pPr>
              <w:jc w:val="right"/>
            </w:pPr>
            <w:r/>
            <w:r>
              <w:rPr>
                <w:rFonts w:ascii="맑은 고딕" w:hAnsi="맑은 고딕" w:eastAsia="맑은 고딕"/>
                <w:sz w:val="17"/>
              </w:rPr>
              <w:t>49.7</w:t>
            </w:r>
          </w:p>
        </w:tc>
        <w:tc>
          <w:tcPr>
            <w:tcW w:type="dxa" w:w="2408"/>
          </w:tcPr>
          <w:p>
            <w:pPr>
              <w:jc w:val="right"/>
            </w:pPr>
            <w:r/>
            <w:r>
              <w:rPr>
                <w:rFonts w:ascii="맑은 고딕" w:hAnsi="맑은 고딕" w:eastAsia="맑은 고딕"/>
                <w:sz w:val="17"/>
              </w:rPr>
              <w:t>연결 복원</w:t>
            </w:r>
          </w:p>
        </w:tc>
      </w:tr>
      <w:tr>
        <w:tc>
          <w:tcPr>
            <w:tcW w:type="dxa" w:w="2408"/>
          </w:tcPr>
          <w:p>
            <w:pPr>
              <w:jc w:val="left"/>
            </w:pPr>
            <w:r/>
            <w:r>
              <w:rPr>
                <w:rFonts w:ascii="맑은 고딕" w:hAnsi="맑은 고딕" w:eastAsia="맑은 고딕"/>
                <w:sz w:val="17"/>
              </w:rPr>
              <w:t>북구</w:t>
            </w:r>
          </w:p>
        </w:tc>
        <w:tc>
          <w:tcPr>
            <w:tcW w:type="dxa" w:w="2408"/>
          </w:tcPr>
          <w:p>
            <w:pPr>
              <w:jc w:val="right"/>
            </w:pPr>
            <w:r/>
            <w:r>
              <w:rPr>
                <w:rFonts w:ascii="맑은 고딕" w:hAnsi="맑은 고딕" w:eastAsia="맑은 고딕"/>
                <w:sz w:val="17"/>
              </w:rPr>
              <w:t>90.5</w:t>
            </w:r>
          </w:p>
        </w:tc>
        <w:tc>
          <w:tcPr>
            <w:tcW w:type="dxa" w:w="2408"/>
          </w:tcPr>
          <w:p>
            <w:pPr>
              <w:jc w:val="right"/>
            </w:pPr>
            <w:r/>
            <w:r>
              <w:rPr>
                <w:rFonts w:ascii="맑은 고딕" w:hAnsi="맑은 고딕" w:eastAsia="맑은 고딕"/>
                <w:sz w:val="17"/>
              </w:rPr>
              <w:t>52.7</w:t>
            </w:r>
          </w:p>
        </w:tc>
        <w:tc>
          <w:tcPr>
            <w:tcW w:type="dxa" w:w="2408"/>
          </w:tcPr>
          <w:p>
            <w:pPr>
              <w:jc w:val="right"/>
            </w:pPr>
            <w:r/>
            <w:r>
              <w:rPr>
                <w:rFonts w:ascii="맑은 고딕" w:hAnsi="맑은 고딕" w:eastAsia="맑은 고딕"/>
                <w:sz w:val="17"/>
              </w:rPr>
              <w:t>유지·관리</w:t>
            </w:r>
          </w:p>
        </w:tc>
      </w:tr>
      <w:tr>
        <w:tc>
          <w:tcPr>
            <w:tcW w:type="dxa" w:w="2408"/>
          </w:tcPr>
          <w:p>
            <w:pPr>
              <w:jc w:val="left"/>
            </w:pPr>
            <w:r/>
            <w:r>
              <w:rPr>
                <w:rFonts w:ascii="맑은 고딕" w:hAnsi="맑은 고딕" w:eastAsia="맑은 고딕"/>
                <w:sz w:val="17"/>
              </w:rPr>
              <w:t>달성군</w:t>
            </w:r>
          </w:p>
        </w:tc>
        <w:tc>
          <w:tcPr>
            <w:tcW w:type="dxa" w:w="2408"/>
          </w:tcPr>
          <w:p>
            <w:pPr>
              <w:jc w:val="right"/>
            </w:pPr>
            <w:r/>
            <w:r>
              <w:rPr>
                <w:rFonts w:ascii="맑은 고딕" w:hAnsi="맑은 고딕" w:eastAsia="맑은 고딕"/>
                <w:sz w:val="17"/>
              </w:rPr>
              <w:t>93.6</w:t>
            </w:r>
          </w:p>
        </w:tc>
        <w:tc>
          <w:tcPr>
            <w:tcW w:type="dxa" w:w="2408"/>
          </w:tcPr>
          <w:p>
            <w:pPr>
              <w:jc w:val="right"/>
            </w:pPr>
            <w:r/>
            <w:r>
              <w:rPr>
                <w:rFonts w:ascii="맑은 고딕" w:hAnsi="맑은 고딕" w:eastAsia="맑은 고딕"/>
                <w:sz w:val="17"/>
              </w:rPr>
              <w:t>55.2</w:t>
            </w:r>
          </w:p>
        </w:tc>
        <w:tc>
          <w:tcPr>
            <w:tcW w:type="dxa" w:w="2408"/>
          </w:tcPr>
          <w:p>
            <w:pPr>
              <w:jc w:val="right"/>
            </w:pPr>
            <w:r/>
            <w:r>
              <w:rPr>
                <w:rFonts w:ascii="맑은 고딕" w:hAnsi="맑은 고딕" w:eastAsia="맑은 고딕"/>
                <w:sz w:val="17"/>
              </w:rPr>
              <w:t>유지·관리</w:t>
            </w:r>
          </w:p>
        </w:tc>
      </w:tr>
    </w:tbl>
    <w:p>
      <w:pPr>
        <w:jc w:val="center"/>
      </w:pPr>
      <w:r>
        <w:drawing>
          <wp:inline xmlns:a="http://schemas.openxmlformats.org/drawingml/2006/main" xmlns:pic="http://schemas.openxmlformats.org/drawingml/2006/picture">
            <wp:extent cx="4320000" cy="3840000"/>
            <wp:docPr id="4" name="Picture 4"/>
            <wp:cNvGraphicFramePr>
              <a:graphicFrameLocks noChangeAspect="1"/>
            </wp:cNvGraphicFramePr>
            <a:graphic>
              <a:graphicData uri="http://schemas.openxmlformats.org/drawingml/2006/picture">
                <pic:pic>
                  <pic:nvPicPr>
                    <pic:cNvPr id="0" name="module4_접근성등급_2024.png"/>
                    <pic:cNvPicPr/>
                  </pic:nvPicPr>
                  <pic:blipFill>
                    <a:blip r:embed="rId12"/>
                    <a:stretch>
                      <a:fillRect/>
                    </a:stretch>
                  </pic:blipFill>
                  <pic:spPr>
                    <a:xfrm>
                      <a:off x="0" y="0"/>
                      <a:ext cx="4320000" cy="3840000"/>
                    </a:xfrm>
                    <a:prstGeom prst="rect"/>
                  </pic:spPr>
                </pic:pic>
              </a:graphicData>
            </a:graphic>
          </wp:inline>
        </w:drawing>
      </w:r>
    </w:p>
    <w:p>
      <w:pPr>
        <w:jc w:val="center"/>
      </w:pPr>
      <w:r>
        <w:rPr>
          <w:rFonts w:ascii="맑은 고딕" w:hAnsi="맑은 고딕" w:eastAsia="맑은 고딕"/>
          <w:b w:val="0"/>
          <w:sz w:val="18"/>
        </w:rPr>
        <w:t>그림 4-3. 대구 녹지 접근성 등급도(2024, 거주격자)</w:t>
      </w:r>
    </w:p>
    <w:p>
      <w:pPr>
        <w:jc w:val="center"/>
      </w:pPr>
      <w:r>
        <w:drawing>
          <wp:inline xmlns:a="http://schemas.openxmlformats.org/drawingml/2006/main" xmlns:pic="http://schemas.openxmlformats.org/drawingml/2006/picture">
            <wp:extent cx="4320000" cy="3840000"/>
            <wp:docPr id="5" name="Picture 5"/>
            <wp:cNvGraphicFramePr>
              <a:graphicFrameLocks noChangeAspect="1"/>
            </wp:cNvGraphicFramePr>
            <a:graphic>
              <a:graphicData uri="http://schemas.openxmlformats.org/drawingml/2006/picture">
                <pic:pic>
                  <pic:nvPicPr>
                    <pic:cNvPr id="0" name="module4_연결성계획도_정제_2024.png"/>
                    <pic:cNvPicPr/>
                  </pic:nvPicPr>
                  <pic:blipFill>
                    <a:blip r:embed="rId13"/>
                    <a:stretch>
                      <a:fillRect/>
                    </a:stretch>
                  </pic:blipFill>
                  <pic:spPr>
                    <a:xfrm>
                      <a:off x="0" y="0"/>
                      <a:ext cx="4320000" cy="3840000"/>
                    </a:xfrm>
                    <a:prstGeom prst="rect"/>
                  </pic:spPr>
                </pic:pic>
              </a:graphicData>
            </a:graphic>
          </wp:inline>
        </w:drawing>
      </w:r>
    </w:p>
    <w:p>
      <w:pPr>
        <w:jc w:val="center"/>
      </w:pPr>
      <w:r>
        <w:rPr>
          <w:rFonts w:ascii="맑은 고딕" w:hAnsi="맑은 고딕" w:eastAsia="맑은 고딕"/>
          <w:b w:val="0"/>
          <w:sz w:val="18"/>
        </w:rPr>
        <w:t>그림 4-4. 대구 녹지 연결성 계획도(2024, 녹지 멤버십 반영)</w:t>
      </w:r>
    </w:p>
    <w:p>
      <w:pPr>
        <w:pStyle w:val="Heading2"/>
      </w:pPr>
      <w:r>
        <w:rPr>
          <w:rFonts w:ascii="맑은 고딕" w:hAnsi="맑은 고딕" w:eastAsia="맑은 고딕"/>
        </w:rPr>
        <w:t>3. 정밀 검토 ① 수성구 (산림-시가지 혼재형)</w:t>
      </w:r>
    </w:p>
    <w:p>
      <w:r>
        <w:rPr>
          <w:rFonts w:ascii="맑은 고딕" w:hAnsi="맑은 고딕" w:eastAsia="맑은 고딕"/>
          <w:b w:val="0"/>
          <w:sz w:val="21"/>
        </w:rPr>
        <w:t>수성구는 동측 산림과 서측 고밀 시가지가 혼재한다. 연결성 파일럿 결과, 주요 녹지코어를 잇는 코리더가 능선을 따라 뚜렷이 형성되어 있으나, 유효저항이 2019년 9.45에서 2024년 12.85로 상승하여 5년간 연결성이 악화되었다. 이는 개발대기지(나지·유휴지) 증가로 코어 사이 흐름이 좁은 핀치포인트에 집중된 결과다. 접근성은 인구가중 평균 5.35→5.16분, 15분 내 도달 97.7→99.2%로 소폭 개선되어, 국지적 공급은 양호하나 연결 구조는 나빠지는 대비를 보였다.</w:t>
      </w:r>
    </w:p>
    <w:p>
      <w:pPr>
        <w:jc w:val="center"/>
      </w:pPr>
      <w:r>
        <w:drawing>
          <wp:inline xmlns:a="http://schemas.openxmlformats.org/drawingml/2006/main" xmlns:pic="http://schemas.openxmlformats.org/drawingml/2006/picture">
            <wp:extent cx="4320000" cy="4320000"/>
            <wp:docPr id="6" name="Picture 6"/>
            <wp:cNvGraphicFramePr>
              <a:graphicFrameLocks noChangeAspect="1"/>
            </wp:cNvGraphicFramePr>
            <a:graphic>
              <a:graphicData uri="http://schemas.openxmlformats.org/drawingml/2006/picture">
                <pic:pic>
                  <pic:nvPicPr>
                    <pic:cNvPr id="0" name="module4C_수성구_2024_전류밀도_경계.png"/>
                    <pic:cNvPicPr/>
                  </pic:nvPicPr>
                  <pic:blipFill>
                    <a:blip r:embed="rId14"/>
                    <a:stretch>
                      <a:fillRect/>
                    </a:stretch>
                  </pic:blipFill>
                  <pic:spPr>
                    <a:xfrm>
                      <a:off x="0" y="0"/>
                      <a:ext cx="4320000" cy="4320000"/>
                    </a:xfrm>
                    <a:prstGeom prst="rect"/>
                  </pic:spPr>
                </pic:pic>
              </a:graphicData>
            </a:graphic>
          </wp:inline>
        </w:drawing>
      </w:r>
    </w:p>
    <w:p>
      <w:pPr>
        <w:jc w:val="center"/>
      </w:pPr>
      <w:r>
        <w:rPr>
          <w:rFonts w:ascii="맑은 고딕" w:hAnsi="맑은 고딕" w:eastAsia="맑은 고딕"/>
          <w:b w:val="0"/>
          <w:sz w:val="18"/>
        </w:rPr>
        <w:t>그림 4-5. 수성구 녹지 연결성(전류밀도, 2024) — 밝은 능선이 코리더·핀치포인트</w:t>
      </w:r>
    </w:p>
    <w:p>
      <w:pPr>
        <w:jc w:val="center"/>
      </w:pPr>
      <w:r>
        <w:drawing>
          <wp:inline xmlns:a="http://schemas.openxmlformats.org/drawingml/2006/main" xmlns:pic="http://schemas.openxmlformats.org/drawingml/2006/picture">
            <wp:extent cx="4320000" cy="4320000"/>
            <wp:docPr id="7" name="Picture 7"/>
            <wp:cNvGraphicFramePr>
              <a:graphicFrameLocks noChangeAspect="1"/>
            </wp:cNvGraphicFramePr>
            <a:graphic>
              <a:graphicData uri="http://schemas.openxmlformats.org/drawingml/2006/picture">
                <pic:pic>
                  <pic:nvPicPr>
                    <pic:cNvPr id="0" name="module4A_수성구_2024_접근시간_경계.png"/>
                    <pic:cNvPicPr/>
                  </pic:nvPicPr>
                  <pic:blipFill>
                    <a:blip r:embed="rId15"/>
                    <a:stretch>
                      <a:fillRect/>
                    </a:stretch>
                  </pic:blipFill>
                  <pic:spPr>
                    <a:xfrm>
                      <a:off x="0" y="0"/>
                      <a:ext cx="4320000" cy="4320000"/>
                    </a:xfrm>
                    <a:prstGeom prst="rect"/>
                  </pic:spPr>
                </pic:pic>
              </a:graphicData>
            </a:graphic>
          </wp:inline>
        </w:drawing>
      </w:r>
    </w:p>
    <w:p>
      <w:pPr>
        <w:jc w:val="center"/>
      </w:pPr>
      <w:r>
        <w:rPr>
          <w:rFonts w:ascii="맑은 고딕" w:hAnsi="맑은 고딕" w:eastAsia="맑은 고딕"/>
          <w:b w:val="0"/>
          <w:sz w:val="18"/>
        </w:rPr>
        <w:t>그림 4-6. 수성구 녹지 접근성(도보시간, 2024) — 흰 공백은 비거주지</w:t>
      </w:r>
    </w:p>
    <w:p>
      <w:r>
        <w:rPr>
          <w:rFonts w:ascii="맑은 고딕" w:hAnsi="맑은 고딕" w:eastAsia="맑은 고딕"/>
          <w:b w:val="0"/>
          <w:sz w:val="21"/>
        </w:rPr>
        <w:t>수성구의 시사점은 ‘연결성과 접근성이 반대 방향으로 움직일 수 있다’는 점이다. 동측 산림이라는 대규모 녹지 자산이 인접 주거지의 접근성을 뒷받침하는 반면, 시가지 내 개발압으로 코어 사이의 좁은 연결목이 잠식되면 접근성 지표가 개선되는 동안에도 연결성은 나빠질 수 있다. 따라서 수성구에서는 접근성 총량의 개선에 안주하지 않고, 핵심 연결축과 핀치포인트를 보전 대상으로 명시하여 개발계획 심의 단계에서 관리하는 것이 중요하다.</w:t>
      </w:r>
    </w:p>
    <w:p>
      <w:pPr>
        <w:pStyle w:val="Heading2"/>
      </w:pPr>
      <w:r>
        <w:rPr>
          <w:rFonts w:ascii="맑은 고딕" w:hAnsi="맑은 고딕" w:eastAsia="맑은 고딕"/>
        </w:rPr>
        <w:t>4. 정밀 검토 ② 중구 (고밀 시가지형)</w:t>
      </w:r>
    </w:p>
    <w:p>
      <w:r>
        <w:rPr>
          <w:rFonts w:ascii="맑은 고딕" w:hAnsi="맑은 고딕" w:eastAsia="맑은 고딕"/>
          <w:b w:val="0"/>
          <w:sz w:val="21"/>
        </w:rPr>
        <w:t>중구는 대구 원도심으로 녹지가 극히 희소하다. 연결성 측면에서 중구는 사실상 ‘연결성 사막’으로, 평균 연결성지수가 8개 자치구 중 최저(31.3)이며 핵심 연결축이 거의 없다. 접근성은 더 심각하여, 도보 10분 내 녹지에 도달하는 인구가 46.8%에 그치고, 녹지소외(15분 초과) 인구가 28.8%에 달한다. 즉 중구의 문제는 ‘연결의 문제’ 이전에 ‘공급 자체의 부재’이며, 두 지표 모두에서 대구 최악을 기록한다.</w:t>
      </w:r>
    </w:p>
    <w:p>
      <w:r>
        <w:rPr>
          <w:rFonts w:ascii="맑은 고딕" w:hAnsi="맑은 고딕" w:eastAsia="맑은 고딕"/>
          <w:b w:val="0"/>
          <w:sz w:val="21"/>
        </w:rPr>
        <w:t>중구의 사례는 총량 지표의 한계를 특히 잘 드러낸다. 원도심은 가용 부지가 절대적으로 부족하여 대규모 공원 신설이 어렵고, 이 때문에 총량 목표만으로는 개선의 실마리를 찾기 어렵다. 그러나 접근성 지표는 ‘어느 생활권의 누가 얼마나 소외되어 있는가’를 인구 단위로 특정해 주므로, 소규모라도 소외 인구가 밀집한 지점에 우선 투입하는 정밀한 처방을 가능하게 한다. 이는 한정된 원도심 재원을 형평 개선 효과가 가장 큰 곳에 배분하는 근거가 된다.</w:t>
      </w:r>
    </w:p>
    <w:p>
      <w:r>
        <w:rPr>
          <w:rFonts w:ascii="맑은 고딕" w:hAnsi="맑은 고딕" w:eastAsia="맑은 고딕"/>
          <w:b w:val="0"/>
          <w:sz w:val="21"/>
        </w:rPr>
        <w:t>중구를 수성구와 동일한 방법으로 정밀 산출한 결과(그림 4-5-1·4-6-1), 연결성 유효저항(R_eff)은 2019년 69.6에서 2024년 75.1로, 수성구(9.5→12.9)나 대구 전역(18.6→22.3)과 비교할 수 없을 만큼 높다. 이는 코어로 삼을 녹지 자체가 거의 없어(코어 3개, 최대 32ha) 녹지망이 사실상 성립하지 않음을 뜻한다. 접근성 역시 인구가중 평균 도보시간이 10.7분으로 수성구(5.2분)의 두 배에 이르며, 지도에서 도심 대부분이 녹지로부터 먼(붉은) 색으로 나타난다. 두 지표 모두 중구가 대구에서 가장 열악하며, 그 성격이 ‘연결 이전에 공급의 부재’임을 일관되게 보여준다.</w:t>
      </w:r>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module4C_중구_2024_전류밀도_경계.png"/>
                    <pic:cNvPicPr/>
                  </pic:nvPicPr>
                  <pic:blipFill>
                    <a:blip r:embed="rId16"/>
                    <a:stretch>
                      <a:fillRect/>
                    </a:stretch>
                  </pic:blipFill>
                  <pic:spPr>
                    <a:xfrm>
                      <a:off x="0" y="0"/>
                      <a:ext cx="4320000" cy="4320000"/>
                    </a:xfrm>
                    <a:prstGeom prst="rect"/>
                  </pic:spPr>
                </pic:pic>
              </a:graphicData>
            </a:graphic>
          </wp:inline>
        </w:drawing>
      </w:r>
    </w:p>
    <w:p>
      <w:pPr>
        <w:jc w:val="center"/>
      </w:pPr>
      <w:r>
        <w:rPr>
          <w:rFonts w:ascii="맑은 고딕" w:hAnsi="맑은 고딕" w:eastAsia="맑은 고딕"/>
          <w:b w:val="0"/>
          <w:sz w:val="18"/>
        </w:rPr>
        <w:t>그림 4-5-1. 중구 녹지 연결성(전류밀도, 2024) — 녹지코어 희소로 연결망 미형성</w:t>
      </w:r>
    </w:p>
    <w:p>
      <w:pPr>
        <w:jc w:val="center"/>
      </w:pPr>
      <w:r>
        <w:drawing>
          <wp:inline xmlns:a="http://schemas.openxmlformats.org/drawingml/2006/main" xmlns:pic="http://schemas.openxmlformats.org/drawingml/2006/picture">
            <wp:extent cx="4320000" cy="4320000"/>
            <wp:docPr id="9" name="Picture 9"/>
            <wp:cNvGraphicFramePr>
              <a:graphicFrameLocks noChangeAspect="1"/>
            </wp:cNvGraphicFramePr>
            <a:graphic>
              <a:graphicData uri="http://schemas.openxmlformats.org/drawingml/2006/picture">
                <pic:pic>
                  <pic:nvPicPr>
                    <pic:cNvPr id="0" name="module4A_중구_2024_접근시간_경계.png"/>
                    <pic:cNvPicPr/>
                  </pic:nvPicPr>
                  <pic:blipFill>
                    <a:blip r:embed="rId17"/>
                    <a:stretch>
                      <a:fillRect/>
                    </a:stretch>
                  </pic:blipFill>
                  <pic:spPr>
                    <a:xfrm>
                      <a:off x="0" y="0"/>
                      <a:ext cx="4320000" cy="4320000"/>
                    </a:xfrm>
                    <a:prstGeom prst="rect"/>
                  </pic:spPr>
                </pic:pic>
              </a:graphicData>
            </a:graphic>
          </wp:inline>
        </w:drawing>
      </w:r>
    </w:p>
    <w:p>
      <w:pPr>
        <w:jc w:val="center"/>
      </w:pPr>
      <w:r>
        <w:rPr>
          <w:rFonts w:ascii="맑은 고딕" w:hAnsi="맑은 고딕" w:eastAsia="맑은 고딕"/>
          <w:b w:val="0"/>
          <w:sz w:val="18"/>
        </w:rPr>
        <w:t>그림 4-6-1. 중구 녹지 접근성(도보시간, 2024) — 도심 대부분이 녹지소외</w:t>
      </w:r>
    </w:p>
    <w:p>
      <w:r>
        <w:rPr>
          <w:rFonts w:ascii="맑은 고딕" w:hAnsi="맑은 고딕" w:eastAsia="맑은 고딕"/>
          <w:b w:val="0"/>
          <w:sz w:val="21"/>
        </w:rPr>
        <w:t>두 지도를 겹쳐 보면 중구의 문제 구조가 분명해진다. 연결성 지도(그림 4-5-1)에서 중구 내부는 전류가 거의 흐르지 않는 저등급(연결 단절)으로 채워져 있는데, 이는 이동의 발판이 될 녹지코어 자체가 없기 때문이다. 접근성 지도(그림 4-6-1)에서는 원도심 남서부가 녹지로부터 15~30분 이상 떨어진 붉은 색으로 나타나, 인구가 밀집한 바로 그 지역이 녹지에서 가장 소외되어 있음을 보여준다. 두 지표가 동일한 지점(남서부 고밀 시가지)을 문제 지역으로 가리킨다는 점에서, 중구는 신규 녹지 투입의 우선순위가 공간적으로 명확한 자치구다.</w:t>
      </w:r>
    </w:p>
    <w:p>
      <w:r>
        <w:rPr>
          <w:rFonts w:ascii="맑은 고딕" w:hAnsi="맑은 고딕" w:eastAsia="맑은 고딕"/>
          <w:b w:val="0"/>
          <w:sz w:val="21"/>
        </w:rPr>
        <w:t>이러한 진단을 바탕으로 중구의 녹지 추가 우선지를 도출하였다(그림 4-6-2). 접근성 소외 인구가 밀집하고 연결성도 취약한 남서부 원도심 일대가 최우선 후보(약 43ha)로 도출되었으며, 이는 소규모 생활권 녹지·포켓공원의 신규 조성과 이를 잇는 녹지축의 형성이 필요한 지점이다. 인근에 활용할 대형 산림코어가 없는 중구의 특성상, 수성구처럼 기존 코어를 활용하는 ‘연결형’이 아니라 새로운 녹지 거점을 창출하는 ‘신규 공급형’ 전략이 요구된다.</w:t>
      </w:r>
    </w:p>
    <w:p>
      <w:pPr>
        <w:jc w:val="center"/>
      </w:pPr>
      <w:r>
        <w:drawing>
          <wp:inline xmlns:a="http://schemas.openxmlformats.org/drawingml/2006/main" xmlns:pic="http://schemas.openxmlformats.org/drawingml/2006/picture">
            <wp:extent cx="4320000" cy="3840000"/>
            <wp:docPr id="10" name="Picture 10"/>
            <wp:cNvGraphicFramePr>
              <a:graphicFrameLocks noChangeAspect="1"/>
            </wp:cNvGraphicFramePr>
            <a:graphic>
              <a:graphicData uri="http://schemas.openxmlformats.org/drawingml/2006/picture">
                <pic:pic>
                  <pic:nvPicPr>
                    <pic:cNvPr id="0" name="module4_녹지추가_중구_2024.png"/>
                    <pic:cNvPicPr/>
                  </pic:nvPicPr>
                  <pic:blipFill>
                    <a:blip r:embed="rId18"/>
                    <a:stretch>
                      <a:fillRect/>
                    </a:stretch>
                  </pic:blipFill>
                  <pic:spPr>
                    <a:xfrm>
                      <a:off x="0" y="0"/>
                      <a:ext cx="4320000" cy="3840000"/>
                    </a:xfrm>
                    <a:prstGeom prst="rect"/>
                  </pic:spPr>
                </pic:pic>
              </a:graphicData>
            </a:graphic>
          </wp:inline>
        </w:drawing>
      </w:r>
    </w:p>
    <w:p>
      <w:pPr>
        <w:jc w:val="center"/>
      </w:pPr>
      <w:r>
        <w:rPr>
          <w:rFonts w:ascii="맑은 고딕" w:hAnsi="맑은 고딕" w:eastAsia="맑은 고딕"/>
          <w:b w:val="0"/>
          <w:sz w:val="18"/>
        </w:rPr>
        <w:t>그림 4-6-2. 중구 녹지 추가 우선지 (접근성 소외 × 연결성 취약) — 남서부 원도심 집중</w:t>
      </w:r>
    </w:p>
    <w:p>
      <w:pPr>
        <w:pStyle w:val="Heading2"/>
      </w:pPr>
      <w:r>
        <w:rPr>
          <w:rFonts w:ascii="맑은 고딕" w:hAnsi="맑은 고딕" w:eastAsia="맑은 고딕"/>
        </w:rPr>
        <w:t>5. 녹지 추가 우선지 도출 (수성구·중구)</w:t>
      </w:r>
    </w:p>
    <w:p>
      <w:r>
        <w:rPr>
          <w:rFonts w:ascii="맑은 고딕" w:hAnsi="맑은 고딕" w:eastAsia="맑은 고딕"/>
          <w:b w:val="0"/>
          <w:sz w:val="21"/>
        </w:rPr>
        <w:t>두 지표를 접목하여 신규 녹지 우선지를 도출한 결과는 표 4-5 및 그림 4-7·4-8과 같다. 접근성 소외 인구는 수성구 43,199명(10.1%), 중구 41,781명(53.2%)으로, 인구가 도심에 밀집한 중구에서 소외의 심각성이 압도적이다. 도출된 녹지 추가 우선지는 수성구 105ha, 중구 43ha이며, 두 자치구 모두 우선지의 대부분(수성구 100%, 중구 86%)이 연결성 취약대와 중첩되어, 신규 녹지가 접근성과 연결성을 동시에 개선할 수 있는 지점임이 확인되었다.</w:t>
      </w:r>
    </w:p>
    <w:p>
      <w:r>
        <w:rPr>
          <w:rFonts w:ascii="맑은 고딕" w:hAnsi="맑은 고딕" w:eastAsia="맑은 고딕"/>
          <w:b/>
          <w:sz w:val="18"/>
        </w:rPr>
        <w:t>표 4-5. 녹지 추가 우선지 도출 결과 (수성구·중구)</w:t>
      </w:r>
    </w:p>
    <w:tbl>
      <w:tblPr>
        <w:tblStyle w:val="LightGrid-Accent1"/>
        <w:tblW w:type="auto" w:w="0"/>
        <w:tblLook w:firstColumn="1" w:firstRow="1" w:lastColumn="0" w:lastRow="0" w:noHBand="0" w:noVBand="1" w:val="04A0"/>
      </w:tblPr>
      <w:tblGrid>
        <w:gridCol w:w="1605"/>
        <w:gridCol w:w="1605"/>
        <w:gridCol w:w="1605"/>
        <w:gridCol w:w="1605"/>
        <w:gridCol w:w="1605"/>
        <w:gridCol w:w="1605"/>
      </w:tblGrid>
      <w:tr>
        <w:tc>
          <w:tcPr>
            <w:tcW w:type="dxa" w:w="1605"/>
          </w:tcPr>
          <w:p>
            <w:pPr>
              <w:jc w:val="center"/>
            </w:pPr>
            <w:r/>
            <w:r>
              <w:rPr>
                <w:rFonts w:ascii="맑은 고딕" w:hAnsi="맑은 고딕" w:eastAsia="맑은 고딕"/>
                <w:b/>
                <w:sz w:val="17"/>
              </w:rPr>
              <w:t>구군</w:t>
            </w:r>
          </w:p>
        </w:tc>
        <w:tc>
          <w:tcPr>
            <w:tcW w:type="dxa" w:w="1605"/>
          </w:tcPr>
          <w:p>
            <w:pPr>
              <w:jc w:val="center"/>
            </w:pPr>
            <w:r/>
            <w:r>
              <w:rPr>
                <w:rFonts w:ascii="맑은 고딕" w:hAnsi="맑은 고딕" w:eastAsia="맑은 고딕"/>
                <w:b/>
                <w:sz w:val="17"/>
              </w:rPr>
              <w:t>총인구</w:t>
            </w:r>
          </w:p>
        </w:tc>
        <w:tc>
          <w:tcPr>
            <w:tcW w:type="dxa" w:w="1605"/>
          </w:tcPr>
          <w:p>
            <w:pPr>
              <w:jc w:val="center"/>
            </w:pPr>
            <w:r/>
            <w:r>
              <w:rPr>
                <w:rFonts w:ascii="맑은 고딕" w:hAnsi="맑은 고딕" w:eastAsia="맑은 고딕"/>
                <w:b/>
                <w:sz w:val="17"/>
              </w:rPr>
              <w:t>소외인구(&gt;10분)</w:t>
            </w:r>
          </w:p>
        </w:tc>
        <w:tc>
          <w:tcPr>
            <w:tcW w:type="dxa" w:w="1605"/>
          </w:tcPr>
          <w:p>
            <w:pPr>
              <w:jc w:val="center"/>
            </w:pPr>
            <w:r/>
            <w:r>
              <w:rPr>
                <w:rFonts w:ascii="맑은 고딕" w:hAnsi="맑은 고딕" w:eastAsia="맑은 고딕"/>
                <w:b/>
                <w:sz w:val="17"/>
              </w:rPr>
              <w:t>소외비율%</w:t>
            </w:r>
          </w:p>
        </w:tc>
        <w:tc>
          <w:tcPr>
            <w:tcW w:type="dxa" w:w="1605"/>
          </w:tcPr>
          <w:p>
            <w:pPr>
              <w:jc w:val="center"/>
            </w:pPr>
            <w:r/>
            <w:r>
              <w:rPr>
                <w:rFonts w:ascii="맑은 고딕" w:hAnsi="맑은 고딕" w:eastAsia="맑은 고딕"/>
                <w:b/>
                <w:sz w:val="17"/>
              </w:rPr>
              <w:t>녹지추가_우선격자_ha</w:t>
            </w:r>
          </w:p>
        </w:tc>
        <w:tc>
          <w:tcPr>
            <w:tcW w:type="dxa" w:w="1605"/>
          </w:tcPr>
          <w:p>
            <w:pPr>
              <w:jc w:val="center"/>
            </w:pPr>
            <w:r/>
            <w:r>
              <w:rPr>
                <w:rFonts w:ascii="맑은 고딕" w:hAnsi="맑은 고딕" w:eastAsia="맑은 고딕"/>
                <w:b/>
                <w:sz w:val="17"/>
              </w:rPr>
              <w:t>우선지_연결취약중첩%</w:t>
            </w:r>
          </w:p>
        </w:tc>
      </w:tr>
      <w:tr>
        <w:tc>
          <w:tcPr>
            <w:tcW w:type="dxa" w:w="1605"/>
          </w:tcPr>
          <w:p>
            <w:pPr>
              <w:jc w:val="left"/>
            </w:pPr>
            <w:r/>
            <w:r>
              <w:rPr>
                <w:rFonts w:ascii="맑은 고딕" w:hAnsi="맑은 고딕" w:eastAsia="맑은 고딕"/>
                <w:sz w:val="17"/>
              </w:rPr>
              <w:t>수성구</w:t>
            </w:r>
          </w:p>
        </w:tc>
        <w:tc>
          <w:tcPr>
            <w:tcW w:type="dxa" w:w="1605"/>
          </w:tcPr>
          <w:p>
            <w:pPr>
              <w:jc w:val="right"/>
            </w:pPr>
            <w:r/>
            <w:r>
              <w:rPr>
                <w:rFonts w:ascii="맑은 고딕" w:hAnsi="맑은 고딕" w:eastAsia="맑은 고딕"/>
                <w:sz w:val="17"/>
              </w:rPr>
              <w:t>427,008</w:t>
            </w:r>
          </w:p>
        </w:tc>
        <w:tc>
          <w:tcPr>
            <w:tcW w:type="dxa" w:w="1605"/>
          </w:tcPr>
          <w:p>
            <w:pPr>
              <w:jc w:val="right"/>
            </w:pPr>
            <w:r/>
            <w:r>
              <w:rPr>
                <w:rFonts w:ascii="맑은 고딕" w:hAnsi="맑은 고딕" w:eastAsia="맑은 고딕"/>
                <w:sz w:val="17"/>
              </w:rPr>
              <w:t>43,199</w:t>
            </w:r>
          </w:p>
        </w:tc>
        <w:tc>
          <w:tcPr>
            <w:tcW w:type="dxa" w:w="1605"/>
          </w:tcPr>
          <w:p>
            <w:pPr>
              <w:jc w:val="right"/>
            </w:pPr>
            <w:r/>
            <w:r>
              <w:rPr>
                <w:rFonts w:ascii="맑은 고딕" w:hAnsi="맑은 고딕" w:eastAsia="맑은 고딕"/>
                <w:sz w:val="17"/>
              </w:rPr>
              <w:t>10.1</w:t>
            </w:r>
          </w:p>
        </w:tc>
        <w:tc>
          <w:tcPr>
            <w:tcW w:type="dxa" w:w="1605"/>
          </w:tcPr>
          <w:p>
            <w:pPr>
              <w:jc w:val="right"/>
            </w:pPr>
            <w:r/>
            <w:r>
              <w:rPr>
                <w:rFonts w:ascii="맑은 고딕" w:hAnsi="맑은 고딕" w:eastAsia="맑은 고딕"/>
                <w:sz w:val="17"/>
              </w:rPr>
              <w:t>105</w:t>
            </w:r>
          </w:p>
        </w:tc>
        <w:tc>
          <w:tcPr>
            <w:tcW w:type="dxa" w:w="1605"/>
          </w:tcPr>
          <w:p>
            <w:pPr>
              <w:jc w:val="right"/>
            </w:pPr>
            <w:r/>
            <w:r>
              <w:rPr>
                <w:rFonts w:ascii="맑은 고딕" w:hAnsi="맑은 고딕" w:eastAsia="맑은 고딕"/>
                <w:sz w:val="17"/>
              </w:rPr>
              <w:t>100.0</w:t>
            </w:r>
          </w:p>
        </w:tc>
      </w:tr>
      <w:tr>
        <w:tc>
          <w:tcPr>
            <w:tcW w:type="dxa" w:w="1605"/>
          </w:tcPr>
          <w:p>
            <w:pPr>
              <w:jc w:val="left"/>
            </w:pPr>
            <w:r/>
            <w:r>
              <w:rPr>
                <w:rFonts w:ascii="맑은 고딕" w:hAnsi="맑은 고딕" w:eastAsia="맑은 고딕"/>
                <w:sz w:val="17"/>
              </w:rPr>
              <w:t>중구</w:t>
            </w:r>
          </w:p>
        </w:tc>
        <w:tc>
          <w:tcPr>
            <w:tcW w:type="dxa" w:w="1605"/>
          </w:tcPr>
          <w:p>
            <w:pPr>
              <w:jc w:val="right"/>
            </w:pPr>
            <w:r/>
            <w:r>
              <w:rPr>
                <w:rFonts w:ascii="맑은 고딕" w:hAnsi="맑은 고딕" w:eastAsia="맑은 고딕"/>
                <w:sz w:val="17"/>
              </w:rPr>
              <w:t>78,552</w:t>
            </w:r>
          </w:p>
        </w:tc>
        <w:tc>
          <w:tcPr>
            <w:tcW w:type="dxa" w:w="1605"/>
          </w:tcPr>
          <w:p>
            <w:pPr>
              <w:jc w:val="right"/>
            </w:pPr>
            <w:r/>
            <w:r>
              <w:rPr>
                <w:rFonts w:ascii="맑은 고딕" w:hAnsi="맑은 고딕" w:eastAsia="맑은 고딕"/>
                <w:sz w:val="17"/>
              </w:rPr>
              <w:t>41,781</w:t>
            </w:r>
          </w:p>
        </w:tc>
        <w:tc>
          <w:tcPr>
            <w:tcW w:type="dxa" w:w="1605"/>
          </w:tcPr>
          <w:p>
            <w:pPr>
              <w:jc w:val="right"/>
            </w:pPr>
            <w:r/>
            <w:r>
              <w:rPr>
                <w:rFonts w:ascii="맑은 고딕" w:hAnsi="맑은 고딕" w:eastAsia="맑은 고딕"/>
                <w:sz w:val="17"/>
              </w:rPr>
              <w:t>53.2</w:t>
            </w:r>
          </w:p>
        </w:tc>
        <w:tc>
          <w:tcPr>
            <w:tcW w:type="dxa" w:w="1605"/>
          </w:tcPr>
          <w:p>
            <w:pPr>
              <w:jc w:val="right"/>
            </w:pPr>
            <w:r/>
            <w:r>
              <w:rPr>
                <w:rFonts w:ascii="맑은 고딕" w:hAnsi="맑은 고딕" w:eastAsia="맑은 고딕"/>
                <w:sz w:val="17"/>
              </w:rPr>
              <w:t>43</w:t>
            </w:r>
          </w:p>
        </w:tc>
        <w:tc>
          <w:tcPr>
            <w:tcW w:type="dxa" w:w="1605"/>
          </w:tcPr>
          <w:p>
            <w:pPr>
              <w:jc w:val="right"/>
            </w:pPr>
            <w:r/>
            <w:r>
              <w:rPr>
                <w:rFonts w:ascii="맑은 고딕" w:hAnsi="맑은 고딕" w:eastAsia="맑은 고딕"/>
                <w:sz w:val="17"/>
              </w:rPr>
              <w:t>86.0</w:t>
            </w:r>
          </w:p>
        </w:tc>
      </w:tr>
    </w:tbl>
    <w:p>
      <w:pPr>
        <w:jc w:val="center"/>
      </w:pPr>
      <w:r>
        <w:drawing>
          <wp:inline xmlns:a="http://schemas.openxmlformats.org/drawingml/2006/main" xmlns:pic="http://schemas.openxmlformats.org/drawingml/2006/picture">
            <wp:extent cx="4320000" cy="3840000"/>
            <wp:docPr id="11" name="Picture 11"/>
            <wp:cNvGraphicFramePr>
              <a:graphicFrameLocks noChangeAspect="1"/>
            </wp:cNvGraphicFramePr>
            <a:graphic>
              <a:graphicData uri="http://schemas.openxmlformats.org/drawingml/2006/picture">
                <pic:pic>
                  <pic:nvPicPr>
                    <pic:cNvPr id="0" name="module4_녹지추가_수성구_2024.png"/>
                    <pic:cNvPicPr/>
                  </pic:nvPicPr>
                  <pic:blipFill>
                    <a:blip r:embed="rId19"/>
                    <a:stretch>
                      <a:fillRect/>
                    </a:stretch>
                  </pic:blipFill>
                  <pic:spPr>
                    <a:xfrm>
                      <a:off x="0" y="0"/>
                      <a:ext cx="4320000" cy="3840000"/>
                    </a:xfrm>
                    <a:prstGeom prst="rect"/>
                  </pic:spPr>
                </pic:pic>
              </a:graphicData>
            </a:graphic>
          </wp:inline>
        </w:drawing>
      </w:r>
    </w:p>
    <w:p>
      <w:pPr>
        <w:jc w:val="center"/>
      </w:pPr>
      <w:r>
        <w:rPr>
          <w:rFonts w:ascii="맑은 고딕" w:hAnsi="맑은 고딕" w:eastAsia="맑은 고딕"/>
          <w:b w:val="0"/>
          <w:sz w:val="18"/>
        </w:rPr>
        <w:t>그림 4-7. 수성구 녹지 추가 우선지 (접근성 소외 × 연결성 취약)</w:t>
      </w:r>
    </w:p>
    <w:p>
      <w:r>
        <w:rPr>
          <w:rFonts w:ascii="맑은 고딕" w:hAnsi="맑은 고딕" w:eastAsia="맑은 고딕"/>
          <w:b w:val="0"/>
          <w:sz w:val="21"/>
        </w:rPr>
        <w:t>수성구의 우선지는 서측 고밀 시가지의 소외 거주지에 형성되었으며, 이는 동측 산림코어와 시가지를 잇는 연결 강화 지점과 겹친다. 따라서 수성구는 ‘기존 산림코어를 활용한 연결형 녹지 확충’이 효과적이다. 반면 중구의 우선지는 원도심 남서부의 고밀 소외지에 집중되며, 인근에 활용할 대형 코어가 없으므로 ‘소규모 생활권 녹지의 신규 조성(포켓공원·자투리녹지·가로녹지)’과 이를 잇는 녹지축의 새로운 형성이 요구된다. 동일한 지표 체계가 자치구 유형에 따라 서로 다른 처방(연결 강화 vs 신규 공급)으로 구체화됨을 보여준다.</w:t>
      </w:r>
    </w:p>
    <w:p>
      <w:pPr>
        <w:jc w:val="center"/>
      </w:pPr>
      <w:r>
        <w:drawing>
          <wp:inline xmlns:a="http://schemas.openxmlformats.org/drawingml/2006/main" xmlns:pic="http://schemas.openxmlformats.org/drawingml/2006/picture">
            <wp:extent cx="4320000" cy="3840000"/>
            <wp:docPr id="12" name="Picture 12"/>
            <wp:cNvGraphicFramePr>
              <a:graphicFrameLocks noChangeAspect="1"/>
            </wp:cNvGraphicFramePr>
            <a:graphic>
              <a:graphicData uri="http://schemas.openxmlformats.org/drawingml/2006/picture">
                <pic:pic>
                  <pic:nvPicPr>
                    <pic:cNvPr id="0" name="module4_코리더_보전복원_2024.png"/>
                    <pic:cNvPicPr/>
                  </pic:nvPicPr>
                  <pic:blipFill>
                    <a:blip r:embed="rId20"/>
                    <a:stretch>
                      <a:fillRect/>
                    </a:stretch>
                  </pic:blipFill>
                  <pic:spPr>
                    <a:xfrm>
                      <a:off x="0" y="0"/>
                      <a:ext cx="4320000" cy="3840000"/>
                    </a:xfrm>
                    <a:prstGeom prst="rect"/>
                  </pic:spPr>
                </pic:pic>
              </a:graphicData>
            </a:graphic>
          </wp:inline>
        </w:drawing>
      </w:r>
    </w:p>
    <w:p>
      <w:pPr>
        <w:jc w:val="center"/>
      </w:pPr>
      <w:r>
        <w:rPr>
          <w:rFonts w:ascii="맑은 고딕" w:hAnsi="맑은 고딕" w:eastAsia="맑은 고딕"/>
          <w:b w:val="0"/>
          <w:sz w:val="18"/>
        </w:rPr>
        <w:t>그림 4-9. 대구 녹지 코리더 보전·복원 액션맵(2024) — 보전축·도시 병목·강화 후보</w:t>
      </w:r>
    </w:p>
    <w:p>
      <w:pPr>
        <w:pStyle w:val="Heading2"/>
      </w:pPr>
      <w:r>
        <w:rPr>
          <w:rFonts w:ascii="맑은 고딕" w:hAnsi="맑은 고딕" w:eastAsia="맑은 고딕"/>
        </w:rPr>
        <w:t>6. 소결</w:t>
      </w:r>
    </w:p>
    <w:p>
      <w:r>
        <w:rPr>
          <w:rFonts w:ascii="맑은 고딕" w:hAnsi="맑은 고딕" w:eastAsia="맑은 고딕"/>
          <w:b w:val="0"/>
          <w:sz w:val="21"/>
        </w:rPr>
        <w:t>제3절의 시범 적용 결과를 종합하면 다음과 같다. 첫째, 회로이론 연결성과 도로망 접근성은 대구 녹지네트워크의 현황과 5년간 변화를 정량적으로 진단하는 데 유효하게 작동하였다. 둘째, 대구 녹지네트워크는 ‘국지적 접근성은 소폭 개선되었으나 대형 녹지축의 연결성은 악화되는’ 파편화가 진행 중이며, 이는 총량 지표로는 드러나지 않는 구조적 문제다. 셋째, 두 지표의 접목은 자치구 유형에 따라 서로 다른 처방(중구=신규 공급, 수성구=연결 강화)으로 구체화되며, ‘녹지 추가 우선지’라는 실행 가능한 사업지 후보를 도출하였다. 특히 중구의 녹지소외 인구 53.2%는 원도심 녹지 확충의 시급성을 정량적으로 보여준다. 넷째, 이러한 결과는 대체 녹지확보·소생활권 녹지 조성 등의 우선순위 기준으로 직접 활용될 수 있다.</w:t>
      </w:r>
    </w:p>
    <w:p>
      <w:pPr>
        <w:pStyle w:val="Heading1"/>
      </w:pPr>
      <w:r>
        <w:rPr>
          <w:rFonts w:ascii="맑은 고딕" w:hAnsi="맑은 고딕" w:eastAsia="맑은 고딕"/>
        </w:rPr>
        <w:t>제4절  정책적 시사점</w:t>
      </w:r>
    </w:p>
    <w:p>
      <w:pPr>
        <w:pStyle w:val="Heading2"/>
      </w:pPr>
      <w:r>
        <w:rPr>
          <w:rFonts w:ascii="맑은 고딕" w:hAnsi="맑은 고딕" w:eastAsia="맑은 고딕"/>
        </w:rPr>
        <w:t>1. 계획지표로서의 활용</w:t>
      </w:r>
    </w:p>
    <w:p>
      <w:r>
        <w:rPr>
          <w:rFonts w:ascii="맑은 고딕" w:hAnsi="맑은 고딕" w:eastAsia="맑은 고딕"/>
          <w:b w:val="0"/>
          <w:sz w:val="21"/>
        </w:rPr>
        <w:t>시범 적용 결과, 회로이론 기반 연결성과 도로망 기반 접근성은 도시 녹지네트워크의 계획지표로서 충분히 작동함이 확인되었다. 특히 도보시간은 그 자체로 직관적이어서 계획 목표치(예: 도보 10분 내 녹지 도달 인구비율 90% 달성)로 바로 활용할 수 있고, 연결성은 전류밀도를 백분위 지수(0~100)와 5등급(핵심 연결축~연결 단절)으로 변환함으로써 계획서와 시민 소통에 사용할 수 있는 언어로 표현되었다. 두 지표는 총량 지표가 포착하지 못하는 ‘구조와 형평’을 드러내어, 공원녹지기본계획의 현황진단·목표설정·성과관리 지표로 제도화할 가치가 있다.</w:t>
      </w:r>
    </w:p>
    <w:p>
      <w:r>
        <w:rPr>
          <w:rFonts w:ascii="맑은 고딕" w:hAnsi="맑은 고딕" w:eastAsia="맑은 고딕"/>
          <w:b w:val="0"/>
          <w:sz w:val="21"/>
        </w:rPr>
        <w:t>활용의 핵심은 ‘반복 측정을 통한 성과관리’다. 동일한 방법으로 새로운 시점의 자료를 투입하면 지표 변화를 지속 점검할 수 있어, 계획→사업→모니터링의 순환 체계를 구축할 수 있다.</w:t>
      </w:r>
    </w:p>
    <w:p>
      <w:pPr>
        <w:pStyle w:val="Heading2"/>
      </w:pPr>
      <w:r>
        <w:rPr>
          <w:rFonts w:ascii="맑은 고딕" w:hAnsi="맑은 고딕" w:eastAsia="맑은 고딕"/>
        </w:rPr>
        <w:t>2. 녹지 추가·복원 우선순위 정책</w:t>
      </w:r>
    </w:p>
    <w:p>
      <w:r>
        <w:rPr>
          <w:rFonts w:ascii="맑은 고딕" w:hAnsi="맑은 고딕" w:eastAsia="맑은 고딕"/>
          <w:b w:val="0"/>
          <w:sz w:val="21"/>
        </w:rPr>
        <w:t>두 지표의 접목은 ‘어디에 녹지를 더해야 하는가’라는 실무 질문에 공간적 근거를 제공한다. 자치구 유형에 따른 차등 전략이 필요하다. 첫째, 중구와 같은 고밀 시가지형은 ‘공급 자체의 부재’가 문제이므로, 녹지소외 인구가 밀집한 지역에 소규모 생활권 녹지(포켓공원·자투리녹지·건축물 연계 녹화)를 신규 조성하고 이를 잇는 녹지축을 새롭게 형성하는 것이 우선이다. 둘째, 수성구와 같은 산림-시가지 혼재형은 ‘연결의 약화’가 문제이므로, 핵심 연결축(코리더)의 보전과 핀치포인트(도시 병목)의 복원, 그리고 기존 산림코어를 활용한 연결형 녹지 확충이 효과적이다.</w:t>
      </w:r>
    </w:p>
    <w:p>
      <w:r>
        <w:rPr>
          <w:rFonts w:ascii="맑은 고딕" w:hAnsi="맑은 고딕" w:eastAsia="맑은 고딕"/>
          <w:b w:val="0"/>
          <w:sz w:val="21"/>
        </w:rPr>
        <w:t>이때 ‘녹지소외 인구비율’과 ‘핵심 연결축·병목 면적’은 사업 우선순위를 정하는 정량 기준이 될 수 있다. 특히 본 분석의 녹지 추가 우선지(수성구 105ha·중구 43ha)처럼, 공급과 연결의 이중 효과가 큰 지점을 우선 투자 대상으로 선정함으로써 한정된 재원의 효율을 높일 수 있다.</w:t>
      </w:r>
    </w:p>
    <w:p>
      <w:pPr>
        <w:pStyle w:val="Heading2"/>
      </w:pPr>
      <w:r>
        <w:rPr>
          <w:rFonts w:ascii="맑은 고딕" w:hAnsi="맑은 고딕" w:eastAsia="맑은 고딕"/>
        </w:rPr>
        <w:t>3. 제도 개선 및 지원 방안</w:t>
      </w:r>
    </w:p>
    <w:p>
      <w:r>
        <w:rPr>
          <w:rFonts w:ascii="맑은 고딕" w:hAnsi="맑은 고딕" w:eastAsia="맑은 고딕"/>
          <w:b w:val="0"/>
          <w:sz w:val="21"/>
        </w:rPr>
        <w:t>이상의 지표가 계획 실무에 정착하기 위해서는 제도적 뒷받침이 필요하다.</w:t>
      </w:r>
    </w:p>
    <w:p>
      <w:r>
        <w:rPr>
          <w:rFonts w:ascii="맑은 고딕" w:hAnsi="맑은 고딕" w:eastAsia="맑은 고딕"/>
          <w:b w:val="0"/>
          <w:sz w:val="21"/>
        </w:rPr>
        <w:t>① (지표의 제도화) 공원녹지기본계획 수립지침에 녹지네트워크 평가지표(접근성 도달인구비율·녹지소외율, 연결성 지수·핵심 연결축)를 현황진단 및 목표설정 항목으로 반영한다. 이를 통해 계획 단계에서 정량 목표를 의무적으로 제시하도록 한다.</w:t>
      </w:r>
    </w:p>
    <w:p>
      <w:r>
        <w:rPr>
          <w:rFonts w:ascii="맑은 고딕" w:hAnsi="맑은 고딕" w:eastAsia="맑은 고딕"/>
          <w:b w:val="0"/>
          <w:sz w:val="21"/>
        </w:rPr>
        <w:t>② (데이터 인프라 지원) 지표 산출에는 도시생태현황도·도로망·인구격자 등 표준 공간자료가 필요하다. 이들 자료의 정기 갱신과 지자체 제공, 그리고 분류체계의 표준화(도시생태현황도 유형 표준화)가 지원되어야 지표의 반복 산출과 지자체 간 비교가 가능하다.</w:t>
      </w:r>
    </w:p>
    <w:p>
      <w:r>
        <w:rPr>
          <w:rFonts w:ascii="맑은 고딕" w:hAnsi="맑은 고딕" w:eastAsia="맑은 고딕"/>
          <w:b w:val="0"/>
          <w:sz w:val="21"/>
        </w:rPr>
        <w:t>③ (대체 녹지확보 기준과의 연계) 개발로 훼손되는 녹지의 대체 확보 시, 단순 면적 총량이 아니라 ‘연결성 기여도’와 ‘접근성 취약지 해소 효과’를 대체지 선정 기준에 반영하도록 제도화한다. 이를 통해 대체 녹지가 네트워크와 형평을 실질적으로 개선하도록 유도한다.</w:t>
      </w:r>
    </w:p>
    <w:p>
      <w:r>
        <w:rPr>
          <w:rFonts w:ascii="맑은 고딕" w:hAnsi="맑은 고딕" w:eastAsia="맑은 고딕"/>
          <w:b w:val="0"/>
          <w:sz w:val="21"/>
        </w:rPr>
        <w:t>④ (기술·재정 지원) 지표 산출을 위한 표준 분석도구(오픈소스 GIS 스크립트)와 산정 가이드라인을 보급하고, 녹지소외지 해소를 위한 소규모 생활권 녹지·그린인프라 사업에 대한 재정 지원 프로그램을 마련한다.</w:t>
      </w:r>
    </w:p>
    <w:p>
      <w:pPr>
        <w:pStyle w:val="Heading2"/>
      </w:pPr>
      <w:r>
        <w:rPr>
          <w:rFonts w:ascii="맑은 고딕" w:hAnsi="맑은 고딕" w:eastAsia="맑은 고딕"/>
        </w:rPr>
        <w:t>4. 분석의 한계와 향후 과제</w:t>
      </w:r>
    </w:p>
    <w:p>
      <w:r>
        <w:rPr>
          <w:rFonts w:ascii="맑은 고딕" w:hAnsi="맑은 고딕" w:eastAsia="맑은 고딕"/>
          <w:b w:val="0"/>
          <w:sz w:val="21"/>
        </w:rPr>
        <w:t>본 시범 적용은 몇 가지 한계를 가진다. 첫째, 연결성의 이동저항 값과 비산림 유형의 계수는 문헌·전문가 판단에 기반한 근사치로, 대상 종(種)이나 지역 특성에 따라 조정이 필요하다. 저항면은 config 파일로 외부화하여 조정·재현이 가능하도록 설계하였다. 둘째, 접근성은 도로망·인구격자를 두 시점에 공통 적용하여 도로·인구의 변화를 통제하였으므로, 시점 간 접근성 변화는 녹지 공급의 변화만을 반영한다. 셋째, 연결성 등급은 도시 전체 분포에 대한 상대값이므로, 지역·시점 간 비교 시 동일한 저항·코어 기준을 유지해야 한다.</w:t>
      </w:r>
    </w:p>
    <w:p>
      <w:r>
        <w:rPr>
          <w:rFonts w:ascii="맑은 고딕" w:hAnsi="맑은 고딕" w:eastAsia="맑은 고딕"/>
          <w:b w:val="0"/>
          <w:sz w:val="21"/>
        </w:rPr>
        <w:t>향후 과제로는 ① 대상 종별 저항계수의 정교화와 현장 검증(생물 이동 실측·전문가 델파이), ② 인구격자의 시점별 갱신을 통한 수요 변화 반영, ③ 접근성의 이동수단 다양화(교통약자·자전거)와 녹지 질(면적·시설)의 가중, ④ 타 도시로의 확대 적용을 통한 지표의 일반화 등을 들 수 있다. 이러한 보완을 거치면 본 지표 체계는 지자체 공원녹지기본계획의 표준 진단·성과관리 도구로 발전할 수 있을 것이다.</w:t>
      </w:r>
    </w:p>
    <w:p>
      <w:r>
        <w:rPr>
          <w:rFonts w:ascii="맑은 고딕" w:hAnsi="맑은 고딕" w:eastAsia="맑은 고딕"/>
          <w:b w:val="0"/>
          <w:sz w:val="21"/>
        </w:rPr>
        <w:t>결론적으로, 본 시범 적용은 회로이론 연결성과 도로망 접근성이 도시 녹지네트워크의 실효적 계획지표가 될 수 있으며, 두 지표의 접목이 ‘녹지 추가 우선지’라는 구체적 계획 의사결정으로 직접 연결됨을 실증하였다. 향후 지표의 제도화와 데이터 인프라 지원이 뒷받침된다면, 총량 중심의 공원녹지 계획을 구조·형평 중심으로 전환하는 기반이 될 것이다.</w:t>
      </w:r>
    </w:p>
    <w:p>
      <w:pPr>
        <w:pStyle w:val="Heading1"/>
      </w:pPr>
      <w:r>
        <w:rPr>
          <w:rFonts w:ascii="맑은 고딕" w:hAnsi="맑은 고딕" w:eastAsia="맑은 고딕"/>
        </w:rPr>
        <w:t>참고문헌</w:t>
      </w:r>
    </w:p>
    <w:p>
      <w:r>
        <w:rPr>
          <w:rFonts w:ascii="맑은 고딕" w:hAnsi="맑은 고딕" w:eastAsia="맑은 고딕"/>
          <w:b w:val="0"/>
          <w:sz w:val="19"/>
        </w:rPr>
        <w:t>1. McRae, B.H., Dickson, B.G., Keitt, T.H., &amp; Shah, V.B. (2008). Using circuit theory to model connectivity in ecology, evolution, and conservation. Ecology, 89(10), 2712–2724.</w:t>
      </w:r>
    </w:p>
    <w:p>
      <w:r>
        <w:rPr>
          <w:rFonts w:ascii="맑은 고딕" w:hAnsi="맑은 고딕" w:eastAsia="맑은 고딕"/>
          <w:b w:val="0"/>
          <w:sz w:val="19"/>
        </w:rPr>
        <w:t>2. McRae, B.H., &amp; Beier, P. (2007). Circuit theory predicts gene flow in plant and animal populations. PNAS, 104(50), 19885–19890.</w:t>
      </w:r>
    </w:p>
    <w:p>
      <w:r>
        <w:rPr>
          <w:rFonts w:ascii="맑은 고딕" w:hAnsi="맑은 고딕" w:eastAsia="맑은 고딕"/>
          <w:b w:val="0"/>
          <w:sz w:val="19"/>
        </w:rPr>
        <w:t>3. Dijkstra, E.W. (1959). A note on two problems in connexion with graphs. Numerische Mathematik, 1, 269–271.</w:t>
      </w:r>
    </w:p>
    <w:p>
      <w:r>
        <w:rPr>
          <w:rFonts w:ascii="맑은 고딕" w:hAnsi="맑은 고딕" w:eastAsia="맑은 고딕"/>
          <w:b w:val="0"/>
          <w:sz w:val="19"/>
        </w:rPr>
        <w:t>4. Konijnendijk, C.C. (2023). Evidence-based guidelines for greener, healthier, more resilient neighbourhoods: Introducing the 3-30-300 rule. Journal of Forestry Research, 34, 821–830.</w:t>
      </w:r>
    </w:p>
    <w:p>
      <w:r>
        <w:rPr>
          <w:rFonts w:ascii="맑은 고딕" w:hAnsi="맑은 고딕" w:eastAsia="맑은 고딕"/>
          <w:b w:val="0"/>
          <w:sz w:val="19"/>
        </w:rPr>
        <w:t>5. Nowak, D.J., Greenfield, E.J., Hoehn, R.E., &amp; Lapoint, E. (2013). Carbon storage and sequestration by trees in urban and community areas of the United States. Environmental Pollution, 178, 229–236.</w:t>
      </w:r>
    </w:p>
    <w:p>
      <w:r>
        <w:rPr>
          <w:rFonts w:ascii="맑은 고딕" w:hAnsi="맑은 고딕" w:eastAsia="맑은 고딕"/>
          <w:b w:val="0"/>
          <w:sz w:val="19"/>
        </w:rPr>
        <w:t>6. World Health Organization (2016). Urban green spaces and health: A review of evidence. WHO Regional Office for Europe.</w:t>
      </w:r>
    </w:p>
    <w:p>
      <w:r>
        <w:rPr>
          <w:rFonts w:ascii="맑은 고딕" w:hAnsi="맑은 고딕" w:eastAsia="맑은 고딕"/>
          <w:b w:val="0"/>
          <w:sz w:val="19"/>
        </w:rPr>
        <w:t>7. 국토교통부 (2019). 생활SOC 3개년 계획(2020–2022).</w:t>
      </w:r>
    </w:p>
    <w:p>
      <w:r>
        <w:rPr>
          <w:rFonts w:ascii="맑은 고딕" w:hAnsi="맑은 고딕" w:eastAsia="맑은 고딕"/>
          <w:b w:val="0"/>
          <w:sz w:val="19"/>
        </w:rPr>
        <w:t>8. 환경부·국립환경과학원 (2023). 도시생태현황지도(비오톱지도) 작성지침.</w:t>
      </w:r>
    </w:p>
    <w:p>
      <w:r>
        <w:rPr>
          <w:rFonts w:ascii="맑은 고딕" w:hAnsi="맑은 고딕" w:eastAsia="맑은 고딕"/>
          <w:b w:val="0"/>
          <w:sz w:val="19"/>
        </w:rPr>
        <w:t>9. 「도시공원 및 녹지 등에 관한 법률」 및 동법 시행규칙.</w:t>
      </w:r>
    </w:p>
    <w:p>
      <w:r>
        <w:rPr>
          <w:rFonts w:ascii="맑은 고딕" w:hAnsi="맑은 고딕" w:eastAsia="맑은 고딕"/>
          <w:b w:val="0"/>
          <w:sz w:val="19"/>
        </w:rPr>
        <w:t>10. Bettencourt, M., &amp; Mekala, A. (2019). OSMnx / NetworkX 기반 도시 보행 네트워크 분석 방법론(오픈소스 도구 활용).</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