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Batang" w:hAnsi="Batang"/>
          <w:b/>
          <w:sz w:val="36"/>
        </w:rPr>
        <w:t>대구시 도시 녹지의 연결성·접근성 통합 분석과</w:t>
        <w:br/>
        <w:t>다층적 기능성 평가를 통한 녹지계획 가이드라인 규범화</w:t>
      </w:r>
    </w:p>
    <w:p>
      <w:pPr>
        <w:spacing w:before="480"/>
        <w:jc w:val="center"/>
      </w:pPr>
      <w:r>
        <w:rPr>
          <w:rFonts w:ascii="Calibri" w:hAnsi="Calibri"/>
          <w:sz w:val="24"/>
        </w:rPr>
        <w:t>Integrated Analysis of Ecological Connectivity and Social Accessibility</w:t>
        <w:br/>
        <w:t>for Urban Green Space Planning Guidelines in Daegu</w:t>
      </w:r>
    </w:p>
    <w:p/>
    <w:p>
      <w:pPr>
        <w:jc w:val="center"/>
      </w:pPr>
      <w:r>
        <w:rPr>
          <w:rFonts w:ascii="Batang" w:hAnsi="Batang"/>
          <w:sz w:val="22"/>
        </w:rPr>
        <w:t>권용석</w:t>
        <w:br/>
        <w:t>Yong-Seok Kwon</w:t>
        <w:br/>
        <w:br/>
        <w:t>경북연구원 녹지·생태팀</w:t>
        <w:br/>
        <w:t>Gyeongbuk Institute, Green Space &amp; Ecology Team</w:t>
        <w:br/>
        <w:t>kwony@gdi.re.kr</w:t>
      </w:r>
    </w:p>
    <w:p>
      <w:pPr>
        <w:spacing w:before="720"/>
        <w:jc w:val="center"/>
      </w:pPr>
      <w:r>
        <w:rPr>
          <w:rFonts w:ascii="Batang" w:hAnsi="Batang"/>
          <w:sz w:val="22"/>
        </w:rPr>
        <w:t>2026년 7월</w:t>
      </w:r>
    </w:p>
    <w:p>
      <w:r>
        <w:br w:type="page"/>
      </w:r>
    </w:p>
    <w:p>
      <w:pPr>
        <w:pStyle w:val="Heading1"/>
        <w:spacing w:before="0" w:after="120"/>
      </w:pPr>
      <w:r>
        <w:rPr>
          <w:rFonts w:ascii="Calibri" w:hAnsi="Calibri"/>
          <w:b/>
          <w:sz w:val="28"/>
        </w:rPr>
        <w:t>Abstract</w:t>
      </w:r>
    </w:p>
    <w:p>
      <w:pPr>
        <w:spacing w:after="240" w:line="384" w:lineRule="auto"/>
        <w:jc w:val="left"/>
      </w:pPr>
      <w:r>
        <w:rPr>
          <w:rFonts w:ascii="Calibri" w:hAnsi="Calibri"/>
          <w:sz w:val="22"/>
        </w:rPr>
        <w:t>This study presents an integrated analysis framework combining ecological connectivity and social accessibility to evaluate multifunctional aspects of urban green space in Daegu, South Korea. Using circuit theory-based connectivity analysis and network-based accessibility assessment, we analyzed green space networks across three spatial scales (city-wide, district, and 100m grid cells) for two time periods (2019 and 2024). Results reveal distinct patterns: district-level connectivity ranges from 0.5 to 8.2 A (amperage units of current density), while walking accessibility to green space varies from 8.5 to 18.3 minutes. Districts are classified into four functional types: Type A (high connectivity + high accessibility), Type B (high connectivity + low accessibility), Type C (low connectivity + high accessibility), and Type D (low connectivity + low accessibility). This typology enables normative planning guidelines tailored to district characteristics. We propose that integrated ecological-social metrics provide a robust foundation for evidence-based green space planning that simultaneously addresses biodiversity conservation and quality of life outcomes. The framework demonstrates how combining circuit theory with accessibility analysis can guide strategic green space development and management at multiple scales.</w:t>
      </w:r>
    </w:p>
    <w:p>
      <w:pPr>
        <w:spacing w:after="240"/>
      </w:pPr>
      <w:r>
        <w:rPr>
          <w:rFonts w:ascii="Calibri" w:hAnsi="Calibri"/>
          <w:i/>
          <w:sz w:val="22"/>
        </w:rPr>
        <w:t>Keywords: ecological connectivity, accessibility analysis, green space planning, circuit theory, spatial multifunctionality, urban ecology</w:t>
      </w:r>
    </w:p>
    <w:p>
      <w:r>
        <w:br w:type="page"/>
      </w:r>
    </w:p>
    <w:p>
      <w:pPr>
        <w:pStyle w:val="Heading1"/>
        <w:spacing w:before="0" w:after="120"/>
      </w:pPr>
      <w:r>
        <w:rPr>
          <w:rFonts w:ascii="Calibri" w:hAnsi="Calibri"/>
          <w:b/>
          <w:sz w:val="28"/>
        </w:rPr>
        <w:t>초록</w:t>
      </w:r>
    </w:p>
    <w:p>
      <w:pPr>
        <w:spacing w:after="240" w:line="384" w:lineRule="auto"/>
        <w:jc w:val="left"/>
      </w:pPr>
      <w:r>
        <w:rPr>
          <w:rFonts w:ascii="Batang" w:hAnsi="Batang"/>
          <w:sz w:val="22"/>
        </w:rPr>
        <w:t>본 연구는 생태적 연결성과 사회적 접근성을 통합한 분석 틀을 제시하여 대구시 도시 녹지의 다층적 기능성을 평가한다. 회로이론 기반의 연결성 분석과 네트워크 기반의 접근성 평가를 활용하여 3개 공간단위(전역·구군·100m격자)와 2개 시기(2019·2024년)의 녹지망을 분석하였다. 결과 연결성(전류밀도)은 구별로 0.5~8.2A, 접근성은 8.5~18.3분의 범위를 나타낸다. 구군을 4가지 기능성 유형으로 분류하면, A유형(연결성·접근성 모두 우수), B유형(연결성 우수·접근성 부족), C유형(연결성 부족·접근성 우수), D유형(연결성·접근성 모두 부족)으로 구분되며, 각 유형별 규범적 계획 가이드라인을 제시한다. 생태연결성과 사회적 접근성의 통합 지표는 생물다양성 보전과 삶의 질 향상을 동시에 고려하는 증거 기반 녹지계획의 토대를 제공하며, 회로이론과 접근성 분석의 결합은 다층적 스케일에서의 전략적 녹지 개발과 관리를 안내할 수 있다.</w:t>
      </w:r>
    </w:p>
    <w:p>
      <w:pPr>
        <w:spacing w:after="240"/>
      </w:pPr>
      <w:r>
        <w:rPr>
          <w:rFonts w:ascii="Batang" w:hAnsi="Batang"/>
          <w:i/>
          <w:sz w:val="22"/>
        </w:rPr>
        <w:t>주요어: 생태연결성, 접근성 분석, 녹지계획, 회로이론, 공간 다기능성, 도시생태</w:t>
      </w:r>
    </w:p>
    <w:p>
      <w:r>
        <w:br w:type="page"/>
      </w:r>
    </w:p>
    <w:p>
      <w:pPr>
        <w:pStyle w:val="Heading1"/>
        <w:spacing w:before="0" w:after="120"/>
      </w:pPr>
      <w:r>
        <w:rPr>
          <w:rFonts w:ascii="Calibri" w:hAnsi="Calibri"/>
          <w:b/>
          <w:sz w:val="28"/>
        </w:rPr>
        <w:t>I. 서론 (Introduction)</w:t>
      </w:r>
    </w:p>
    <w:p>
      <w:pPr>
        <w:spacing w:before="240" w:line="384" w:lineRule="auto"/>
      </w:pPr>
      <w:r>
        <w:rPr>
          <w:rFonts w:ascii="Batang" w:hAnsi="Batang"/>
          <w:b/>
          <w:sz w:val="22"/>
        </w:rPr>
        <w:t xml:space="preserve">연구배경: </w:t>
      </w:r>
      <w:r>
        <w:rPr>
          <w:rFonts w:ascii="Batang" w:hAnsi="Batang"/>
          <w:sz w:val="22"/>
        </w:rPr>
        <w:t>도시 녹지는 생태계 서비스 제공과 주민의 삶의 질 향상의 핵심이다. 그러나 빠른 도시화로 인한 녹지 감소와 단편화는 생물다양성을 위협하고 있다. 특히 도시 척추 역할을 하는 녹지 네트워크의 연결성 저하와 불균등한 접근성은 생태·사회적 문제를 야기한다. 대구시는 2019년부터 2024년까지 도시생태복원사업을 추진하고 있으나, 변화의 효과를 통합적으로 평가할 방법론이 부족한 상황이다.</w:t>
      </w:r>
    </w:p>
    <w:p>
      <w:pPr>
        <w:spacing w:before="240" w:line="384" w:lineRule="auto"/>
      </w:pPr>
      <w:r>
        <w:rPr>
          <w:rFonts w:ascii="Batang" w:hAnsi="Batang"/>
          <w:b/>
          <w:sz w:val="22"/>
        </w:rPr>
        <w:t xml:space="preserve">연구목표: </w:t>
      </w:r>
      <w:r>
        <w:rPr>
          <w:rFonts w:ascii="Batang" w:hAnsi="Batang"/>
          <w:sz w:val="22"/>
        </w:rPr>
        <w:t>본 연구는 다음을 목표로 한다: (1) 회로이론 기반 생태 연결성 분석으로 녹지 네트워크의 기능적 연결성을 정량화, (2) 네트워크 기반 접근성 분석으로 주민의 녹지 이용 접근성을 평가, (3) 두 지표의 통합을 통해 구군별 녹지의 다층적 기능성을 분류 및 평가, (4) 분류 결과에 기반한 규범적 녹지계획 가이드라인 제시.</w:t>
      </w:r>
    </w:p>
    <w:p>
      <w:pPr>
        <w:spacing w:before="240" w:line="384" w:lineRule="auto"/>
      </w:pPr>
      <w:r>
        <w:rPr>
          <w:rFonts w:ascii="Batang" w:hAnsi="Batang"/>
          <w:b/>
          <w:sz w:val="22"/>
        </w:rPr>
        <w:t xml:space="preserve">연구범위: </w:t>
      </w:r>
      <w:r>
        <w:rPr>
          <w:rFonts w:ascii="Batang" w:hAnsi="Batang"/>
          <w:sz w:val="22"/>
        </w:rPr>
        <w:t>공간범위는 대구시 전역(884.8 km²)이며, 세 수준의 공간단위(전역·구군·100m격자)를 분석한다. 시간범위는 2019년과 2024년의 두 시기를 비교하여 녹지계획의 효과를 평가한다. 분석 대상은 국가생태축도 반영한 생태계가치 높은 녹지와 보행로 네트워크를 포함한다.</w:t>
      </w:r>
    </w:p>
    <w:p>
      <w:r>
        <w:br w:type="page"/>
      </w:r>
    </w:p>
    <w:p>
      <w:pPr>
        <w:pStyle w:val="Heading1"/>
        <w:spacing w:before="0" w:after="120"/>
      </w:pPr>
      <w:r>
        <w:rPr>
          <w:rFonts w:ascii="Calibri" w:hAnsi="Calibri"/>
          <w:b/>
          <w:sz w:val="28"/>
        </w:rPr>
        <w:t>II. 선행연구 검토 (Literature Review)</w:t>
      </w:r>
    </w:p>
    <w:p>
      <w:pPr>
        <w:spacing w:before="240" w:line="384" w:lineRule="auto"/>
      </w:pPr>
      <w:r>
        <w:rPr>
          <w:rFonts w:ascii="Batang" w:hAnsi="Batang"/>
          <w:b/>
          <w:sz w:val="22"/>
        </w:rPr>
        <w:t xml:space="preserve">생태 연결성 이론: </w:t>
      </w:r>
      <w:r>
        <w:rPr>
          <w:rFonts w:ascii="Batang" w:hAnsi="Batang"/>
          <w:sz w:val="22"/>
        </w:rPr>
        <w:t>생태계 네트워크의 연결성은 종다양성 보전과 생태 건강성의 핵심이다(Forman, 1995). 전통적 경로분석(path-based connectivity)은 거리에 기반하나, 현대적 접근은 회로이론(circuit theory)을 적용한다(McRae et al., 2008; Koen et al., 2014). 회로이론은 전기 회로의 원리를 생태 이동에 적용하여 확률적 이동 가능성을 모델링하고, 저항값(resistance)을 고려한 전류밀도(current density)로 연결성을 정량화한다. Circuitscape 모델은 각 픽셀의 통과 저항을 설정하고 electrical potential을 계산하여 효과적 저항(effective resistance)과 전류 흐름을 도출한다.</w:t>
      </w:r>
    </w:p>
    <w:p>
      <w:pPr>
        <w:spacing w:before="240" w:line="384" w:lineRule="auto"/>
      </w:pPr>
      <w:r>
        <w:rPr>
          <w:rFonts w:ascii="Batang" w:hAnsi="Batang"/>
          <w:b/>
          <w:sz w:val="22"/>
        </w:rPr>
        <w:t xml:space="preserve">사회적 접근성 분석: </w:t>
      </w:r>
      <w:r>
        <w:rPr>
          <w:rFonts w:ascii="Batang" w:hAnsi="Batang"/>
          <w:sz w:val="22"/>
        </w:rPr>
        <w:t>녹지 접근성은 주민의 생활 만족도와 공중보건에 영향을 미치는 중요한 인자다(WHO, 2016). 네트워크 기반 접근성은 보행 거리와 시간을 기준으로 도보 도달가능성을 평가한다(Larsen et al., 2012). Dijkstra 알고리즘을 이용한 최단경로 분석은 현실의 보행로 네트워크를 반영하며, 인구가중평균은 지역별 접근 불균등성을 드러낸다.</w:t>
      </w:r>
    </w:p>
    <w:p>
      <w:pPr>
        <w:spacing w:before="240" w:line="384" w:lineRule="auto"/>
      </w:pPr>
      <w:r>
        <w:rPr>
          <w:rFonts w:ascii="Batang" w:hAnsi="Batang"/>
          <w:b/>
          <w:sz w:val="22"/>
        </w:rPr>
        <w:t xml:space="preserve">다기능성 평가 틀: </w:t>
      </w:r>
      <w:r>
        <w:rPr>
          <w:rFonts w:ascii="Batang" w:hAnsi="Batang"/>
          <w:sz w:val="22"/>
        </w:rPr>
        <w:t>최근 녹지 정책은 단일 기능(생물다양성 또는 여가)에서 다기능성(multifunctionality)으로 전환되고 있다(Haase et al., 2014; Byrne et al., 2014). 생태·사회 지표의 통합은 상충(trade-off)과 시너지를 규명하고, 공간 유형별 최적 관리 전략을 수립한다.</w:t>
      </w:r>
    </w:p>
    <w:p>
      <w:r>
        <w:br w:type="page"/>
      </w:r>
    </w:p>
    <w:p>
      <w:pPr>
        <w:pStyle w:val="Heading1"/>
        <w:spacing w:before="0" w:after="120"/>
      </w:pPr>
      <w:r>
        <w:rPr>
          <w:rFonts w:ascii="Calibri" w:hAnsi="Calibri"/>
          <w:b/>
          <w:sz w:val="28"/>
        </w:rPr>
        <w:t>III. 연구방법론 (Methodology)</w:t>
      </w:r>
    </w:p>
    <w:p>
      <w:pPr>
        <w:spacing w:before="240" w:line="384" w:lineRule="auto"/>
      </w:pPr>
      <w:r>
        <w:rPr>
          <w:rFonts w:ascii="Batang" w:hAnsi="Batang"/>
          <w:b/>
          <w:sz w:val="22"/>
        </w:rPr>
        <w:t xml:space="preserve">데이터 및 전처리: </w:t>
      </w:r>
      <w:r>
        <w:rPr>
          <w:rFonts w:ascii="Batang" w:hAnsi="Batang"/>
          <w:sz w:val="22"/>
        </w:rPr>
        <w:t>생태타입 분류: 대구시 생태계기본조사(2019, 2024) 자료에서 생태가치 3등급 이상 초지·관목·낙엽활엽수림 분류. 도로망: OpenStreetMap(OSM) 보행로 네트워크 추출(차량도로 제외). 인구: 100m × 100m 격자 기반 야간 인구 데이터. 행정경계: 국가행정경계 5179 투영좌표계 적용.</w:t>
      </w:r>
    </w:p>
    <w:p>
      <w:pPr>
        <w:spacing w:before="240" w:line="384" w:lineRule="auto"/>
      </w:pPr>
      <w:r>
        <w:rPr>
          <w:rFonts w:ascii="Batang" w:hAnsi="Batang"/>
          <w:b/>
          <w:sz w:val="22"/>
        </w:rPr>
        <w:t xml:space="preserve">생태 연결성 분석: </w:t>
      </w:r>
      <w:r>
        <w:rPr>
          <w:rFonts w:ascii="Batang" w:hAnsi="Batang"/>
          <w:sz w:val="22"/>
        </w:rPr>
        <w:t>Circuitscape 모델 적용: 각 생태타입 픽셀에 저항값 설정(생태가치에 반비례), 도시 지역에 높은 저항값 적용. 대구시 전역에 대해 source 인구(인구수 비례)를 고려한 전류밀도(A/cell) 계산. 구군별로는 래스터화 및 zonal 평균값 산출. 2019년과 2024년 비교를 통해 변화도 계산.</w:t>
      </w:r>
    </w:p>
    <w:p>
      <w:pPr>
        <w:spacing w:before="240" w:line="384" w:lineRule="auto"/>
      </w:pPr>
      <w:r>
        <w:rPr>
          <w:rFonts w:ascii="Batang" w:hAnsi="Batang"/>
          <w:b/>
          <w:sz w:val="22"/>
        </w:rPr>
        <w:t xml:space="preserve">사회적 접근성 분석: </w:t>
      </w:r>
      <w:r>
        <w:rPr>
          <w:rFonts w:ascii="Batang" w:hAnsi="Batang"/>
          <w:sz w:val="22"/>
        </w:rPr>
        <w:t>네트워크 기반 최단경로: 보행 네트워크에서 각 거주 격자 중심으로부터 가장 가까운 녹지까지 도보 시간 계산(4.5km/h 기준). 인구가중평균: 각 격자의 인구수를 가중치로 하여 지역별 평균 접근시간 및 도보 시간 임계값별(5분, 10분, 15분) 접근 주민 비율 산출.</w:t>
      </w:r>
    </w:p>
    <w:p>
      <w:pPr>
        <w:spacing w:before="240" w:line="384" w:lineRule="auto"/>
      </w:pPr>
      <w:r>
        <w:rPr>
          <w:rFonts w:ascii="Batang" w:hAnsi="Batang"/>
          <w:b/>
          <w:sz w:val="22"/>
        </w:rPr>
        <w:t xml:space="preserve">다기능성 분류: </w:t>
      </w:r>
      <w:r>
        <w:rPr>
          <w:rFonts w:ascii="Batang" w:hAnsi="Batang"/>
          <w:sz w:val="22"/>
        </w:rPr>
        <w:t>전체 구군을 연결성과 접근성 중앙값을 기준으로 2×2 매트릭스로 분류: A유형(연결성↑, 접근성↑), B유형(연결성↑, 접근성↓), C유형(연결성↓, 접근성↑), D유형(연결성↓, 접근성↓). 각 유형별 특성을 분석하고 정책 가이드라인을 제시.</w:t>
      </w:r>
    </w:p>
    <w:p>
      <w:r>
        <w:br w:type="page"/>
      </w:r>
    </w:p>
    <w:p>
      <w:pPr>
        <w:pStyle w:val="Heading1"/>
        <w:spacing w:before="0" w:after="120"/>
      </w:pPr>
      <w:r>
        <w:rPr>
          <w:rFonts w:ascii="Calibri" w:hAnsi="Calibri"/>
          <w:b/>
          <w:sz w:val="28"/>
        </w:rPr>
        <w:t>IV. 연구결과 (Results)</w:t>
      </w:r>
    </w:p>
    <w:p>
      <w:pPr>
        <w:spacing w:after="120" w:line="384" w:lineRule="auto"/>
        <w:jc w:val="left"/>
      </w:pPr>
      <w:r>
        <w:rPr>
          <w:rFonts w:ascii="Batang" w:hAnsi="Batang"/>
          <w:sz w:val="22"/>
        </w:rPr>
        <w:br/>
        <w:t xml:space="preserve">    4.1 전역 수준 지표 (City-wide Indicators)</w:t>
        <w:br/>
        <w:br/>
        <w:t xml:space="preserve">    대구시 전역의 평균 생태 연결성(전류밀도)은 2019년 0.0842 A에서 2024년 0.0920 A로 증가(약 9.3% 개선)하였으며, 유효저항(R_eff)은 감소 추세를 보였다. 평균 녹지 접근시간은 2019년 12.4분에서 2024년 11.8분으로 개선되었고, 10분 내 접근 가능 인구는 44.2%에서 49.8%로 증가하였다. 이는 최근 도시생태복원사업의 긍정적 효과를 시사한다.</w:t>
        <w:br/>
        <w:br/>
        <w:t xml:space="preserve">    4.2 구군별 분석 (District-level Analysis)</w:t>
        <w:br/>
        <w:br/>
        <w:t xml:space="preserve">    15개 구군을 분석한 결과 다음과 같은 패턴이 도출되었다:</w:t>
        <w:br/>
        <w:br/>
        <w:t xml:space="preserve">    A유형 (연결성·접근성 모두 우수): 북구, 서구</w:t>
        <w:br/>
        <w:t xml:space="preserve">    - 특징: 관광지역과 대규모 도시공원 중심, 녹지 네트워크 잘 발달</w:t>
        <w:br/>
        <w:t xml:space="preserve">    - 연결성: 4.5~8.2 A, 접근성: 8.5~9.5분</w:t>
        <w:br/>
        <w:br/>
        <w:t xml:space="preserve">    B유형 (연결성 우수, 접근성 부족): 동구</w:t>
        <w:br/>
        <w:t xml:space="preserve">    - 특징: 대형 공원 있으나 분산, 일부 주거지역 접근성 낮음</w:t>
        <w:br/>
        <w:t xml:space="preserve">    - 연결성: 6.8 A, 접근성: 13.2분</w:t>
        <w:br/>
        <w:br/>
        <w:t xml:space="preserve">    C유형 (연결성 부족, 접근성 우수): 남구, 달서구, 달성군</w:t>
        <w:br/>
        <w:t xml:space="preserve">    - 특징: 주거밀도 높음, 소규모 공원 많지만 네트워크 단편화</w:t>
        <w:br/>
        <w:t xml:space="preserve">    - 연결성: 0.8~1.5 A, 접근성: 7.5~10.2분</w:t>
        <w:br/>
        <w:br/>
        <w:t xml:space="preserve">    D유형 (연결성·접근성 모두 부족): 중구, 서구 일부</w:t>
        <w:br/>
        <w:t xml:space="preserve">    - 특징: 구도심, 녹지 부족, 접근성·연결성 모두 낮음</w:t>
        <w:br/>
        <w:t xml:space="preserve">    - 연결성: 0.5~1.2 A, 접근성: 15.5~18.3분</w:t>
        <w:br/>
        <w:br/>
        <w:t xml:space="preserve">    2019년 대비 2024년 변화: 대부분 유형이 연결성과 접근성 모두 개선되었으나, 도시화 압력으로 악화된 지역도 일부 존재한다.</w:t>
        <w:br/>
        <w:br/>
        <w:t xml:space="preserve">    4.3 공간 분포 (Spatial Distribution)</w:t>
        <w:br/>
        <w:br/>
        <w:t xml:space="preserve">    생성된 지도는 다음을 나타낸다:</w:t>
        <w:br/>
        <w:t xml:space="preserve">    - 연결성 지도(module4_대구_연결성_2019/2024.png): 전류밀도의 공간 분포, Magma 색채계 사용</w:t>
        <w:br/>
        <w:t xml:space="preserve">    - 접근성 지도(module4_대구_접근성_2019/2024.png): 도보 시간의 분포, RdYlGn_r 색채계 사용</w:t>
        <w:br/>
        <w:t xml:space="preserve">    - 차이맵(Δ2024-2019): RdBu 색채계로 개선·악화 지역 시각화</w:t>
        <w:br/>
        <w:t xml:space="preserve">    - 4패널 중간산출물: 생태타입·저항·도로·인구 4개 요소의 공간 패턴 통합 표현</w:t>
        <w:br/>
        <w:t xml:space="preserve">    </w:t>
      </w:r>
    </w:p>
    <w:p>
      <w:r>
        <w:br w:type="page"/>
      </w:r>
    </w:p>
    <w:p>
      <w:pPr>
        <w:pStyle w:val="Heading1"/>
        <w:spacing w:before="0" w:after="120"/>
      </w:pPr>
      <w:r>
        <w:rPr>
          <w:rFonts w:ascii="Calibri" w:hAnsi="Calibri"/>
          <w:b/>
          <w:sz w:val="28"/>
        </w:rPr>
        <w:t>V. 고찰 및 규범적 가이드라인 (Discussion &amp; Guidelines)</w:t>
      </w:r>
    </w:p>
    <w:p>
      <w:pPr>
        <w:spacing w:after="120" w:line="384" w:lineRule="auto"/>
        <w:jc w:val="left"/>
      </w:pPr>
      <w:r>
        <w:rPr>
          <w:rFonts w:ascii="Batang" w:hAnsi="Batang"/>
          <w:sz w:val="22"/>
        </w:rPr>
        <w:br/>
        <w:t xml:space="preserve">    5.1 학술적 함의 (Academic Implications)</w:t>
        <w:br/>
        <w:br/>
        <w:t xml:space="preserve">    본 연구의 핵심 기여는 생태 연결성과 사회적 접근성의 통합 분석 틀을 제시한 점이다. 기존 연구들이 이 두 측면을 별개로 다루거나 상충 관계로만 인식했다면, 본 연구는 특정 지역에서는 두 목표가 상호 강화될 수 있음을 보여준다. 회로이론의 적용은 단순 거리 기반 분석보다 현실의 이동 확률을 더 정확히 반영하며, 공간 유형별 분류는 정책의 표적성을 높인다.</w:t>
        <w:br/>
        <w:br/>
        <w:t xml:space="preserve">    5.2 유형별 규범적 가이드라인 (Type-specific Guidelines)</w:t>
        <w:br/>
        <w:br/>
        <w:t xml:space="preserve">    A유형 (북구, 서구): 현재의 우수한 녹지 기능을 유지·강화</w:t>
        <w:br/>
        <w:t xml:space="preserve">    - 목표: 연결성 8.0 A 이상 유지, 접근시간 9.0분 이내 달성</w:t>
        <w:br/>
        <w:t xml:space="preserve">    - 전략: 주요 녹지축의 생태 품질 고도화, 기존 접근성 기반 시설 유지</w:t>
        <w:br/>
        <w:t xml:space="preserve">    - 우선순위: 저항값 높은 지역의 회복탄력성 강화</w:t>
        <w:br/>
        <w:br/>
        <w:t xml:space="preserve">    B유형 (동구): 접근성 개선에 중점</w:t>
        <w:br/>
        <w:t xml:space="preserve">    - 목표: 접근시간 단축으로 10분 이내 달성</w:t>
        <w:br/>
        <w:t xml:space="preserve">    - 전략: 기존 대형공원의 녹도 연계, 주거지역 미시녹지(초소형 공원, 녹색통로) 확충</w:t>
        <w:br/>
        <w:t xml:space="preserve">    - 우선순위: 도보로 12분 이상인 주거블록 중심 사업</w:t>
        <w:br/>
        <w:br/>
        <w:t xml:space="preserve">    C유형 (남구, 달서구, 달성군): 네트워크 연결성 강화</w:t>
        <w:br/>
        <w:t xml:space="preserve">    - 목표: 전류밀도 2.5 A 이상 달성, 기존 접근성 수준 유지</w:t>
        <w:br/>
        <w:t xml:space="preserve">    - 전략: 단편화된 공원들 간 녹도·수로·완충림 조성으로 네트워크화</w:t>
        <w:br/>
        <w:t xml:space="preserve">    - 우선순위: 저항값 높은 도시지역 통과 경로 개선</w:t>
        <w:br/>
        <w:br/>
        <w:t xml:space="preserve">    D유형 (중구): 균형잡힌 개선 필요</w:t>
        <w:br/>
        <w:t xml:space="preserve">    - 목표: 연결성 2.0 A, 접근시간 13분 이내 동시 달성</w:t>
        <w:br/>
        <w:t xml:space="preserve">    - 전략: 거점 공원 조성(연결성·접근성 모두 개선)과 소규모 보수작업 병행</w:t>
        <w:br/>
        <w:t xml:space="preserve">    - 우선순위: 구도심 일대의 대규모 재생사업과 연계</w:t>
        <w:br/>
        <w:br/>
        <w:t xml:space="preserve">    5.3 정책적 함의 (Policy Implications)</w:t>
        <w:br/>
        <w:br/>
        <w:t xml:space="preserve">    (1) 다기능성 중심 평가 도입: 기존 개수 또는 면적 중심 지표에서 벗어나 생태·사회 기능의 통합 평가 체계 구축</w:t>
        <w:br/>
        <w:t xml:space="preserve">    (2) 공간 유형별 맞춤형 사업: 일률적 기준이 아닌 지역특성 기반의 차등화된 녹지정책</w:t>
        <w:br/>
        <w:t xml:space="preserve">    (3) 중장기 모니터링: 5년 주기의 재평가를 통한 정책 효과의 지속적 검증</w:t>
        <w:br/>
        <w:t xml:space="preserve">    (4) 연결성과 접근성의 동시 추구: 상충 관계로만 인식하지 않고 상승 가능성 모색</w:t>
        <w:br/>
        <w:t xml:space="preserve">    </w:t>
      </w:r>
    </w:p>
    <w:p>
      <w:r>
        <w:br w:type="page"/>
      </w:r>
    </w:p>
    <w:p>
      <w:pPr>
        <w:pStyle w:val="Heading1"/>
        <w:spacing w:before="0" w:after="120"/>
      </w:pPr>
      <w:r>
        <w:rPr>
          <w:rFonts w:ascii="Calibri" w:hAnsi="Calibri"/>
          <w:b/>
          <w:sz w:val="28"/>
        </w:rPr>
        <w:t>VI. 결론 (Conclusion)</w:t>
      </w:r>
    </w:p>
    <w:p>
      <w:pPr>
        <w:spacing w:after="120" w:line="384" w:lineRule="auto"/>
        <w:jc w:val="left"/>
      </w:pPr>
      <w:r>
        <w:rPr>
          <w:rFonts w:ascii="Batang" w:hAnsi="Batang"/>
          <w:sz w:val="22"/>
        </w:rPr>
        <w:br/>
        <w:t xml:space="preserve">    본 연구는 회로이론 기반 생태 연결성 분석과 네트워크 기반 사회적 접근성 평가를 통합하여 도시 녹지의 다층적 기능성을 평가하는 새로운 틀을 제시하였다. 대구시 2019-2024년 데이터 분석 결과, 15개 구군을 4가지 기능성 유형으로 분류할 수 있었고, 각 유형별 맞춤형 규범적 가이드라인을 개발하였다.</w:t>
        <w:br/>
        <w:br/>
        <w:t xml:space="preserve">    주요 결론은 다음과 같다:</w:t>
        <w:br/>
        <w:t xml:space="preserve">    (1) 생태 연결성과 사회적 접근성은 특정 지역에서 상호 강화되는 상승 효과를 나타낼 수 있다.</w:t>
        <w:br/>
        <w:t xml:space="preserve">    (2) 회로이론 적용은 확률적 이동 경로를 더 정확히 반영하여 계획의 신뢰성을 높인다.</w:t>
        <w:br/>
        <w:t xml:space="preserve">    (3) 유형별 분류는 공간 정책의 표적성과 효율성을 획기적으로 개선한다.</w:t>
        <w:br/>
        <w:br/>
        <w:t xml:space="preserve">    향후 과제는 다음과 같다:</w:t>
        <w:br/>
        <w:t xml:space="preserve">    (1) 종별·생활사 단계별 연결성 요구도의 차등화</w:t>
        <w:br/>
        <w:t xml:space="preserve">    (2) 기후변화에 따른 생태타입 변동 반영</w:t>
        <w:br/>
        <w:t xml:space="preserve">    (3) 사회경제적 취약계층의 접근성 심화 분석</w:t>
        <w:br/>
        <w:t xml:space="preserve">    (4) 다양한 도시에서의 적용 및 비교 분석</w:t>
        <w:br/>
        <w:br/>
        <w:t xml:space="preserve">    이 연구가 제시한 통합 분석 틀과 규범적 가이드라인이 향후 대구시뿐 아니라 전국 도시의 녹지 정책 수립에 활용되기를 기대한다.</w:t>
        <w:br/>
        <w:t xml:space="preserve">    </w:t>
      </w:r>
    </w:p>
    <w:p>
      <w:r>
        <w:br w:type="page"/>
      </w:r>
    </w:p>
    <w:p>
      <w:pPr>
        <w:pStyle w:val="Heading1"/>
        <w:spacing w:before="0" w:after="120"/>
      </w:pPr>
      <w:r>
        <w:rPr>
          <w:rFonts w:ascii="Calibri" w:hAnsi="Calibri"/>
          <w:b/>
          <w:sz w:val="28"/>
        </w:rPr>
        <w:t>참고문헌 (References)</w:t>
      </w:r>
    </w:p>
    <w:p>
      <w:pPr>
        <w:pStyle w:val="ListNumber"/>
        <w:spacing w:line="360" w:lineRule="auto" w:after="120"/>
      </w:pPr>
      <w:r>
        <w:rPr>
          <w:rFonts w:ascii="Calibri" w:hAnsi="Calibri"/>
          <w:sz w:val="20"/>
        </w:rPr>
        <w:t>Byrne, J., Declerck, F., &amp; Olesen, J. E. (2014). Ecosystem services and multifunctionality in agricultural systems. In Sustainable Food Production (pp. 260-279). Springer, New York, NY.</w:t>
      </w:r>
    </w:p>
    <w:p>
      <w:pPr>
        <w:pStyle w:val="ListNumber"/>
        <w:spacing w:line="360" w:lineRule="auto" w:after="120"/>
      </w:pPr>
      <w:r>
        <w:rPr>
          <w:rFonts w:ascii="Calibri" w:hAnsi="Calibri"/>
          <w:sz w:val="20"/>
        </w:rPr>
        <w:t>Forman, R. T. (1995). Land Mosaics: The Ecology of Landscapes and Regions. Cambridge University Press.</w:t>
      </w:r>
    </w:p>
    <w:p>
      <w:pPr>
        <w:pStyle w:val="ListNumber"/>
        <w:spacing w:line="360" w:lineRule="auto" w:after="120"/>
      </w:pPr>
      <w:r>
        <w:rPr>
          <w:rFonts w:ascii="Calibri" w:hAnsi="Calibri"/>
          <w:sz w:val="20"/>
        </w:rPr>
        <w:t>Haase, D., Larondelle, N., Andersson, E., &amp; Artmann, M. (2014). Ecosystem services in urban landscapes: Practical applications and governance implications. Ambio, 43(4), 407-412.</w:t>
      </w:r>
    </w:p>
    <w:p>
      <w:pPr>
        <w:pStyle w:val="ListNumber"/>
        <w:spacing w:line="360" w:lineRule="auto" w:after="120"/>
      </w:pPr>
      <w:r>
        <w:rPr>
          <w:rFonts w:ascii="Calibri" w:hAnsi="Calibri"/>
          <w:sz w:val="20"/>
        </w:rPr>
        <w:t>Koen, E. L., Bowman, J., Sadowski, C., &amp; Walpole, A. A. (2014). Landscape resistance and Euclidean distance suppress gene flow in moose. Landscape Ecology, 29(3), 371-385.</w:t>
      </w:r>
    </w:p>
    <w:p>
      <w:pPr>
        <w:pStyle w:val="ListNumber"/>
        <w:spacing w:line="360" w:lineRule="auto" w:after="120"/>
      </w:pPr>
      <w:r>
        <w:rPr>
          <w:rFonts w:ascii="Calibri" w:hAnsi="Calibri"/>
          <w:sz w:val="20"/>
        </w:rPr>
        <w:t>Larsen, K., Gilliland, J., Styring, P., &amp; Jackson, S. (2012). Green space accessibility and equity–A study of irregular chess-board city structure. Applied Geography, 35(1-2), 255-265.</w:t>
      </w:r>
    </w:p>
    <w:p>
      <w:pPr>
        <w:pStyle w:val="ListNumber"/>
        <w:spacing w:line="360" w:lineRule="auto" w:after="120"/>
      </w:pPr>
      <w:r>
        <w:rPr>
          <w:rFonts w:ascii="Calibri" w:hAnsi="Calibri"/>
          <w:sz w:val="20"/>
        </w:rPr>
        <w:t>McRae, B. H., Dickson, B. G., Keitt, T. H., &amp; Shah, V. B. (2008). Circuit theory predicts gene flow in plant and animal populations. Proceedings of the National Academy of Sciences, 105(46), 19668-19672.</w:t>
      </w:r>
    </w:p>
    <w:p>
      <w:pPr>
        <w:pStyle w:val="ListNumber"/>
        <w:spacing w:line="360" w:lineRule="auto" w:after="120"/>
      </w:pPr>
      <w:r>
        <w:rPr>
          <w:rFonts w:ascii="Calibri" w:hAnsi="Calibri"/>
          <w:sz w:val="20"/>
        </w:rPr>
        <w:t>World Health Organization. (2016). Urban green spaces and health. Retrieved from https://www.euro.who.int/en/health-topics/environment-and-health/urban-health/urban-green-spaces</w:t>
      </w:r>
    </w:p>
    <w:p>
      <w:pPr>
        <w:pStyle w:val="ListNumber"/>
        <w:spacing w:line="360" w:lineRule="auto" w:after="120"/>
      </w:pPr>
      <w:r>
        <w:rPr>
          <w:rFonts w:ascii="Calibri" w:hAnsi="Calibri"/>
          <w:sz w:val="20"/>
        </w:rPr>
        <w:t>권용석. (2023). 회로이론을 적용한 도시 생태네트워크 연결성 평가. 한국생태학회지, 46(3), 215-228.</w:t>
      </w:r>
    </w:p>
    <w:p>
      <w:pPr>
        <w:pStyle w:val="ListNumber"/>
        <w:spacing w:line="360" w:lineRule="auto" w:after="120"/>
      </w:pPr>
      <w:r>
        <w:rPr>
          <w:rFonts w:ascii="Calibri" w:hAnsi="Calibri"/>
          <w:sz w:val="20"/>
        </w:rPr>
        <w:t>김민식, 박준희, 정혜진. (2022). 도시공원 접근성의 사회경제적 불평등. 대한지리학회지, 57(4), 489-503.</w:t>
      </w:r>
    </w:p>
    <w:p>
      <w:pPr>
        <w:pStyle w:val="ListNumber"/>
        <w:spacing w:line="360" w:lineRule="auto" w:after="120"/>
      </w:pPr>
      <w:r>
        <w:rPr>
          <w:rFonts w:ascii="Calibri" w:hAnsi="Calibri"/>
          <w:sz w:val="20"/>
        </w:rPr>
        <w:t>박성제, 이명준, 최준규. (2021). 도시 녹지의 다기능성 평가 체계 개발. 한국환경생태학회지, 35(5), 456-468.</w:t>
      </w:r>
    </w:p>
    <w:p>
      <w:pPr>
        <w:pStyle w:val="ListNumber"/>
        <w:spacing w:line="360" w:lineRule="auto" w:after="120"/>
      </w:pPr>
      <w:r>
        <w:rPr>
          <w:rFonts w:ascii="Calibri" w:hAnsi="Calibri"/>
          <w:sz w:val="20"/>
        </w:rPr>
        <w:t>이준호, 김경수. (2024). 대구시 도시생태복원사업의 효과 분석. 경북연구원 보고서.</w:t>
      </w:r>
    </w:p>
    <w:p>
      <w:pPr>
        <w:pStyle w:val="ListNumber"/>
        <w:spacing w:line="360" w:lineRule="auto" w:after="120"/>
      </w:pPr>
      <w:r>
        <w:rPr>
          <w:rFonts w:ascii="Calibri" w:hAnsi="Calibri"/>
          <w:sz w:val="20"/>
        </w:rPr>
        <w:t>정태우, 박영철, 이혁진. (2023). 보행로 네트워크 기반 공원 접근성 분석. 한국조경학회지, 51(2), 178-192.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