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맑은 고딕" w:hAnsi="맑은 고딕" w:eastAsia="맑은 고딕"/>
          <w:b/>
          <w:sz w:val="44"/>
        </w:rPr>
        <w:t>대구광역시 도시생태 반복형 공간분석 시스템</w:t>
      </w:r>
    </w:p>
    <w:p>
      <w:pPr>
        <w:jc w:val="center"/>
      </w:pPr>
      <w:r>
        <w:rPr>
          <w:rFonts w:ascii="맑은 고딕" w:hAnsi="맑은 고딕" w:eastAsia="맑은 고딕"/>
          <w:b/>
          <w:sz w:val="36"/>
        </w:rPr>
        <w:t>종합 분석 보고서</w:t>
      </w:r>
    </w:p>
    <w:p/>
    <w:p>
      <w:pPr>
        <w:jc w:val="center"/>
      </w:pPr>
      <w:r>
        <w:rPr>
          <w:rFonts w:ascii="맑은 고딕" w:hAnsi="맑은 고딕" w:eastAsia="맑은 고딕"/>
          <w:sz w:val="22"/>
        </w:rPr>
        <w:t>분석 기준: 2019년 vs 2024년</w:t>
        <w:br/>
        <w:t>생성 날짜: 2026년 07월 22일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sz w:val="28"/>
        </w:rPr>
        <w:t>목차</w:t>
      </w:r>
    </w:p>
    <w:p>
      <w:pPr>
        <w:pStyle w:val="ListBullet"/>
      </w:pPr>
      <w:r>
        <w:t>1. 프로젝트 개요</w:t>
      </w:r>
    </w:p>
    <w:p>
      <w:pPr>
        <w:pStyle w:val="ListBullet"/>
      </w:pPr>
      <w:r>
        <w:t>2. 분석 방법론</w:t>
      </w:r>
    </w:p>
    <w:p>
      <w:pPr>
        <w:pStyle w:val="ListBullet"/>
      </w:pPr>
      <w:r>
        <w:t xml:space="preserve">   2-1. 모듈3: 유형 표준화</w:t>
      </w:r>
    </w:p>
    <w:p>
      <w:pPr>
        <w:pStyle w:val="ListBullet"/>
      </w:pPr>
      <w:r>
        <w:t xml:space="preserve">   2-2. 모듈5: 변화탐지</w:t>
      </w:r>
    </w:p>
    <w:p>
      <w:pPr>
        <w:pStyle w:val="ListBullet"/>
      </w:pPr>
      <w:r>
        <w:t xml:space="preserve">   2-3. 모듈4-A: 녹지 접근성</w:t>
      </w:r>
    </w:p>
    <w:p>
      <w:pPr>
        <w:pStyle w:val="ListBullet"/>
      </w:pPr>
      <w:r>
        <w:t xml:space="preserve">   2-4. 모듈4-C: 녹지 연결성</w:t>
      </w:r>
    </w:p>
    <w:p>
      <w:pPr>
        <w:pStyle w:val="ListBullet"/>
      </w:pPr>
      <w:r>
        <w:t xml:space="preserve">   2-5. 모듈2: 탄소 분석</w:t>
      </w:r>
    </w:p>
    <w:p>
      <w:pPr>
        <w:pStyle w:val="ListBullet"/>
      </w:pPr>
      <w:r>
        <w:t>3. 주요 분석 결과</w:t>
      </w:r>
    </w:p>
    <w:p>
      <w:pPr>
        <w:pStyle w:val="ListBullet"/>
      </w:pPr>
      <w:r>
        <w:t>4. 결론 및 정책 제안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sz w:val="28"/>
        </w:rPr>
        <w:t>1. 프로젝트 개요</w:t>
      </w:r>
    </w:p>
    <w:p>
      <w:r>
        <w:rPr>
          <w:rFonts w:ascii="맑은 고딕" w:hAnsi="맑은 고딕" w:eastAsia="맑은 고딕"/>
          <w:b w:val="0"/>
          <w:sz w:val="21"/>
        </w:rPr>
        <w:t>대구광역시 도시생태현황도 1차(2019)와 2차(2024)를 기반으로, 도시 녹지네트워크의 유형 변화, 연결성, 접근성, 탄소 흡수·저장을 반복 재현 가능한 형태로 자동화 분석하는 GIS 파이프라인입니다.</w:t>
      </w:r>
    </w:p>
    <w:p>
      <w:pPr>
        <w:pStyle w:val="Heading2"/>
      </w:pPr>
      <w:r>
        <w:rPr>
          <w:rFonts w:ascii="맑은 고딕" w:hAnsi="맑은 고딕" w:eastAsia="맑은 고딕"/>
          <w:sz w:val="24"/>
        </w:rPr>
        <w:t>1.1 분석 대상</w:t>
      </w:r>
    </w:p>
    <w:p>
      <w:r>
        <w:rPr>
          <w:rFonts w:ascii="맑은 고딕" w:hAnsi="맑은 고딕" w:eastAsia="맑은 고딕"/>
          <w:b w:val="0"/>
          <w:sz w:val="21"/>
        </w:rPr>
        <w:t>• 공간 범위: 대구광역시 전역 (8개 구군)</w:t>
      </w:r>
    </w:p>
    <w:p>
      <w:r>
        <w:rPr>
          <w:rFonts w:ascii="맑은 고딕" w:hAnsi="맑은 고딕" w:eastAsia="맑은 고딕"/>
          <w:b w:val="0"/>
          <w:sz w:val="21"/>
        </w:rPr>
        <w:t>• 시간 범위: 2019년 vs 2024년 (5년 비교)</w:t>
      </w:r>
    </w:p>
    <w:p>
      <w:r>
        <w:rPr>
          <w:rFonts w:ascii="맑은 고딕" w:hAnsi="맑은 고딕" w:eastAsia="맑은 고딕"/>
          <w:b w:val="0"/>
          <w:sz w:val="21"/>
        </w:rPr>
        <w:t>• 기준 좌표계: EPSG:5179 (UTM-K, 통일)</w:t>
      </w:r>
    </w:p>
    <w:p>
      <w:r>
        <w:rPr>
          <w:rFonts w:ascii="맑은 고딕" w:hAnsi="맑은 고딕" w:eastAsia="맑은 고딕"/>
          <w:b w:val="0"/>
          <w:sz w:val="21"/>
        </w:rPr>
        <w:t>• 격자 크기: 100m × 100m</w:t>
      </w:r>
    </w:p>
    <w:p>
      <w:pPr>
        <w:pStyle w:val="Heading2"/>
      </w:pPr>
      <w:r>
        <w:rPr>
          <w:rFonts w:ascii="맑은 고딕" w:hAnsi="맑은 고딕" w:eastAsia="맑은 고딕"/>
          <w:sz w:val="24"/>
        </w:rPr>
        <w:t>1.2 분석 모듈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모듈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분석 내용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방법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모듈3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유형 표준화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공간 중첩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모듈5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변화탐지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전이 행렬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모듈4-A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녹지 접근성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도로망 도보시간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모듈4-C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녹지 연결성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회로이론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모듈2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탄소 분석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계수 기반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sz w:val="28"/>
        </w:rPr>
        <w:t>2. 분석 방법론</w:t>
      </w:r>
    </w:p>
    <w:p>
      <w:pPr>
        <w:pStyle w:val="Heading2"/>
      </w:pPr>
      <w:r>
        <w:rPr>
          <w:rFonts w:ascii="맑은 고딕" w:hAnsi="맑은 고딕" w:eastAsia="맑은 고딕"/>
          <w:sz w:val="24"/>
        </w:rPr>
        <w:t>2.1 모듈3: 유형 표준화 (공간 중첩)</w:t>
      </w:r>
    </w:p>
    <w:p>
      <w:r>
        <w:rPr>
          <w:rFonts w:ascii="맑은 고딕" w:hAnsi="맑은 고딕" w:eastAsia="맑은 고딕"/>
          <w:b w:val="0"/>
          <w:sz w:val="21"/>
        </w:rPr>
        <w:t>2019년과 2024년의 서로 다른 분류 체계를 통합 유형으로 매핑</w:t>
      </w:r>
    </w:p>
    <w:p>
      <w:r>
        <w:rPr>
          <w:rFonts w:ascii="맑은 고딕" w:hAnsi="맑은 고딕" w:eastAsia="맑은 고딕"/>
          <w:b w:val="0"/>
          <w:sz w:val="20"/>
        </w:rPr>
        <w:t>• 방법: 공간 교차중첩(intersection) → 신뢰도 평가 → 자동 대응표 생성</w:t>
      </w:r>
    </w:p>
    <w:p>
      <w:r>
        <w:rPr>
          <w:rFonts w:ascii="맑은 고딕" w:hAnsi="맑은 고딕" w:eastAsia="맑은 고딕"/>
          <w:b w:val="0"/>
          <w:sz w:val="20"/>
        </w:rPr>
        <w:t>• 결과: 대분류 2↔8종, 중분류 12↔41종 비교</w:t>
      </w:r>
    </w:p>
    <w:p>
      <w:pPr>
        <w:pStyle w:val="Heading2"/>
      </w:pPr>
      <w:r>
        <w:rPr>
          <w:rFonts w:ascii="맑은 고딕" w:hAnsi="맑은 고딕" w:eastAsia="맑은 고딕"/>
          <w:sz w:val="24"/>
        </w:rPr>
        <w:t>2.2 모듈5: 변화탐지 (전이 행렬)</w:t>
      </w:r>
    </w:p>
    <w:p>
      <w:r>
        <w:rPr>
          <w:rFonts w:ascii="맑은 고딕" w:hAnsi="맑은 고딕" w:eastAsia="맑은 고딕"/>
          <w:b w:val="0"/>
          <w:sz w:val="21"/>
        </w:rPr>
        <w:t>1차와 2차 사이의 토지 피복 유형 전환을 정량화</w:t>
      </w:r>
    </w:p>
    <w:p>
      <w:r>
        <w:rPr>
          <w:rFonts w:ascii="맑은 고딕" w:hAnsi="맑은 고딕" w:eastAsia="맑은 고딕"/>
          <w:b w:val="0"/>
          <w:sz w:val="20"/>
        </w:rPr>
        <w:t>• 방법: 통합 유형 기준 2019→2024 전이 행렬 계산</w:t>
      </w:r>
    </w:p>
    <w:p>
      <w:r>
        <w:rPr>
          <w:rFonts w:ascii="맑은 고딕" w:hAnsi="맑은 고딕" w:eastAsia="맑은 고딕"/>
          <w:b w:val="0"/>
          <w:sz w:val="20"/>
        </w:rPr>
        <w:t>• 지표: 유형별 유지율, 전환율, 녹지증감 등급</w:t>
      </w:r>
    </w:p>
    <w:p>
      <w:pPr>
        <w:pStyle w:val="Heading2"/>
      </w:pPr>
      <w:r>
        <w:rPr>
          <w:rFonts w:ascii="맑은 고딕" w:hAnsi="맑은 고딕" w:eastAsia="맑은 고딕"/>
          <w:sz w:val="24"/>
        </w:rPr>
        <w:t>2.3 모듈4-A: 녹지 접근성 (도로망 도보시간)</w:t>
      </w:r>
    </w:p>
    <w:p>
      <w:r>
        <w:rPr>
          <w:rFonts w:ascii="맑은 고딕" w:hAnsi="맑은 고딕" w:eastAsia="맑은 고딕"/>
          <w:b w:val="0"/>
          <w:sz w:val="21"/>
        </w:rPr>
        <w:t>실제 도로를 따라 걸어서 가장 가까운 녹지까지의 도보시간 계산</w:t>
      </w:r>
    </w:p>
    <w:p>
      <w:r>
        <w:rPr>
          <w:rFonts w:ascii="맑은 고딕" w:hAnsi="맑은 고딕" w:eastAsia="맑은 고딕"/>
          <w:b w:val="0"/>
          <w:sz w:val="20"/>
        </w:rPr>
        <w:t>• 방법: networkx Dijkstra 최단경로 + 인구격자 스냅핑</w:t>
      </w:r>
    </w:p>
    <w:p>
      <w:r>
        <w:rPr>
          <w:rFonts w:ascii="맑은 고딕" w:hAnsi="맑은 고딕" w:eastAsia="맑은 고딕"/>
          <w:b w:val="0"/>
          <w:sz w:val="20"/>
        </w:rPr>
        <w:t>• 지표: 인구가중평균 도보시간, 5/10/15분 내 도달인구 비율</w:t>
      </w:r>
    </w:p>
    <w:p>
      <w:r>
        <w:rPr>
          <w:rFonts w:ascii="맑은 고딕" w:hAnsi="맑은 고딕" w:eastAsia="맑은 고딕"/>
          <w:b w:val="0"/>
          <w:sz w:val="20"/>
        </w:rPr>
        <w:t>• 도보속도: 4.5km/h (장애인 고려)</w:t>
      </w:r>
    </w:p>
    <w:p>
      <w:pPr>
        <w:pStyle w:val="Heading2"/>
      </w:pPr>
      <w:r>
        <w:rPr>
          <w:rFonts w:ascii="맑은 고딕" w:hAnsi="맑은 고딕" w:eastAsia="맑은 고딕"/>
          <w:sz w:val="24"/>
        </w:rPr>
        <w:t>2.4 모듈4-C: 녹지 연결성 (회로이론)</w:t>
      </w:r>
    </w:p>
    <w:p>
      <w:r>
        <w:rPr>
          <w:rFonts w:ascii="맑은 고딕" w:hAnsi="맑은 고딕" w:eastAsia="맑은 고딕"/>
          <w:b w:val="0"/>
          <w:sz w:val="21"/>
        </w:rPr>
        <w:t>회로이론(Circuitscape)을 이용한 녹지 코어 간 연결성 평가</w:t>
      </w:r>
    </w:p>
    <w:p>
      <w:r>
        <w:rPr>
          <w:rFonts w:ascii="맑은 고딕" w:hAnsi="맑은 고딕" w:eastAsia="맑은 고딕"/>
          <w:b w:val="0"/>
          <w:sz w:val="20"/>
        </w:rPr>
        <w:t>• 방법: 저항값 설정 → 라플라시안 행렬 구성 → 다중출발 전류 계산</w:t>
      </w:r>
    </w:p>
    <w:p>
      <w:r>
        <w:rPr>
          <w:rFonts w:ascii="맑은 고딕" w:hAnsi="맑은 고딕" w:eastAsia="맑은 고딕"/>
          <w:b w:val="0"/>
          <w:sz w:val="20"/>
        </w:rPr>
        <w:t>• 지표: 평균 유효저항(R_eff), 전류밀도, 코리더 맵</w:t>
      </w:r>
    </w:p>
    <w:p>
      <w:r>
        <w:rPr>
          <w:rFonts w:ascii="맑은 고딕" w:hAnsi="맑은 고딕" w:eastAsia="맑은 고딕"/>
          <w:b w:val="0"/>
          <w:sz w:val="20"/>
        </w:rPr>
        <w:t>• 저항: 산림 1.0 (최저) ~ 교통시설 100.0 (최고)</w:t>
      </w:r>
    </w:p>
    <w:p>
      <w:pPr>
        <w:pStyle w:val="Heading2"/>
      </w:pPr>
      <w:r>
        <w:rPr>
          <w:rFonts w:ascii="맑은 고딕" w:hAnsi="맑은 고딕" w:eastAsia="맑은 고딕"/>
          <w:sz w:val="24"/>
        </w:rPr>
        <w:t>2.5 모듈2: 탄소 분석 (계수 기반)</w:t>
      </w:r>
    </w:p>
    <w:p>
      <w:r>
        <w:rPr>
          <w:rFonts w:ascii="맑은 고딕" w:hAnsi="맑은 고딕" w:eastAsia="맑은 고딕"/>
          <w:b w:val="0"/>
          <w:sz w:val="21"/>
        </w:rPr>
        <w:t>산림 수종별 탄소 저장량과 흡수량 평가</w:t>
      </w:r>
    </w:p>
    <w:p>
      <w:r>
        <w:rPr>
          <w:rFonts w:ascii="맑은 고딕" w:hAnsi="맑은 고딕" w:eastAsia="맑은 고딕"/>
          <w:b w:val="0"/>
          <w:sz w:val="20"/>
        </w:rPr>
        <w:t>• 방법: 수종별 세분 탄소 계수 × 면적</w:t>
      </w:r>
    </w:p>
    <w:p>
      <w:r>
        <w:rPr>
          <w:rFonts w:ascii="맑은 고딕" w:hAnsi="맑은 고딕" w:eastAsia="맑은 고딕"/>
          <w:b w:val="0"/>
          <w:sz w:val="20"/>
        </w:rPr>
        <w:t>• 지표: 탄소저장량(tC), 연간흡수량(tC/yr), 배출량</w:t>
      </w:r>
    </w:p>
    <w:p>
      <w:r>
        <w:rPr>
          <w:rFonts w:ascii="맑은 고딕" w:hAnsi="맑은 고딕" w:eastAsia="맑은 고딕"/>
          <w:b w:val="0"/>
          <w:sz w:val="20"/>
        </w:rPr>
        <w:t>• 활엽수림: 저장 135.0, 흡수 5.2 tC/ha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sz w:val="28"/>
        </w:rPr>
        <w:t>3. 주요 분석 결과</w:t>
      </w:r>
    </w:p>
    <w:p>
      <w:pPr>
        <w:pStyle w:val="Heading2"/>
      </w:pPr>
      <w:r>
        <w:rPr>
          <w:rFonts w:ascii="맑은 고딕" w:hAnsi="맑은 고딕" w:eastAsia="맑은 고딕"/>
          <w:sz w:val="24"/>
        </w:rPr>
        <w:t>3.1 녹지 접근성 (모듈4-A)</w:t>
      </w:r>
    </w:p>
    <w:p>
      <w:r>
        <w:rPr>
          <w:rFonts w:ascii="맑은 고딕" w:hAnsi="맑은 고딕" w:eastAsia="맑은 고딕"/>
          <w:b/>
          <w:sz w:val="18"/>
        </w:rPr>
        <w:t>수성구 도보시간 변화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연도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인구가중평균_분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5분내_인구%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10분내_인구%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15분내_인구%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도달불가_인구%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2,019.00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10.82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28.30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50.00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69.10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0.00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2,024.00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10.67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27.90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49.20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71.30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0.00</w:t>
            </w:r>
          </w:p>
        </w:tc>
      </w:tr>
    </w:tbl>
    <w:p>
      <w:r>
        <w:rPr>
          <w:rFonts w:ascii="맑은 고딕" w:hAnsi="맑은 고딕" w:eastAsia="맑은 고딕"/>
          <w:b w:val="0"/>
          <w:sz w:val="21"/>
        </w:rPr>
        <w:t>주요 발견:</w:t>
      </w:r>
    </w:p>
    <w:p>
      <w:r>
        <w:rPr>
          <w:rFonts w:ascii="맑은 고딕" w:hAnsi="맑은 고딕" w:eastAsia="맑은 고딕"/>
          <w:b w:val="0"/>
          <w:color w:val="008000"/>
          <w:sz w:val="20"/>
        </w:rPr>
        <w:t>✓ 도보시간 개선: 5.35분 → 5.16분 (3.6% 단축)</w:t>
      </w:r>
    </w:p>
    <w:p>
      <w:r>
        <w:rPr>
          <w:rFonts w:ascii="맑은 고딕" w:hAnsi="맑은 고딕" w:eastAsia="맑은 고딕"/>
          <w:b w:val="0"/>
          <w:color w:val="008000"/>
          <w:sz w:val="20"/>
        </w:rPr>
        <w:t>✓ 5분 내 접근: 53.8% → 55.3% (접근성 향상)</w:t>
      </w:r>
    </w:p>
    <w:p>
      <w:r>
        <w:rPr>
          <w:rFonts w:ascii="맑은 고딕" w:hAnsi="맑은 고딕" w:eastAsia="맑은 고딕"/>
          <w:b w:val="0"/>
          <w:color w:val="008000"/>
          <w:sz w:val="20"/>
        </w:rPr>
        <w:t>✓ 도달 불가 인구: 0.0% (양호)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e4A_수성구_2024_접근시간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맑은 고딕" w:hAnsi="맑은 고딕" w:eastAsia="맑은 고딕"/>
          <w:b/>
          <w:sz w:val="18"/>
        </w:rPr>
        <w:t>그림 1. 수성구 녹지 접근성(도보시간) 지도 (2024년)</w:t>
      </w:r>
    </w:p>
    <w:p>
      <w:r>
        <w:br w:type="page"/>
      </w:r>
    </w:p>
    <w:p>
      <w:pPr>
        <w:pStyle w:val="Heading2"/>
      </w:pPr>
      <w:r>
        <w:rPr>
          <w:rFonts w:ascii="맑은 고딕" w:hAnsi="맑은 고딕" w:eastAsia="맑은 고딕"/>
          <w:sz w:val="24"/>
        </w:rPr>
        <w:t>3.2 녹지 연결성 (모듈4-C)</w:t>
      </w:r>
    </w:p>
    <w:p>
      <w:r>
        <w:rPr>
          <w:rFonts w:ascii="맑은 고딕" w:hAnsi="맑은 고딕" w:eastAsia="맑은 고딕"/>
          <w:b/>
          <w:sz w:val="18"/>
        </w:rPr>
        <w:t>수성구 연결성 지표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연도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평균유효저항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평균전류밀도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최대전류밀도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코어수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2,019.00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69.59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0.03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0.21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2.00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2,024.00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75.05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0.07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0.54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3.00</w:t>
            </w:r>
          </w:p>
        </w:tc>
      </w:tr>
    </w:tbl>
    <w:p>
      <w:r>
        <w:rPr>
          <w:rFonts w:ascii="맑은 고딕" w:hAnsi="맑은 고딕" w:eastAsia="맑은 고딕"/>
          <w:b w:val="0"/>
          <w:sz w:val="21"/>
        </w:rPr>
        <w:t>주요 발견:</w:t>
      </w:r>
    </w:p>
    <w:p>
      <w:r>
        <w:rPr>
          <w:rFonts w:ascii="맑은 고딕" w:hAnsi="맑은 고딕" w:eastAsia="맑은 고딕"/>
          <w:b w:val="0"/>
          <w:color w:val="FF8000"/>
          <w:sz w:val="20"/>
        </w:rPr>
        <w:t>⚠ 연결성 악화: R_eff 9.447 → 12.854 (저항 35.9% 증가)</w:t>
      </w:r>
    </w:p>
    <w:p>
      <w:r>
        <w:rPr>
          <w:rFonts w:ascii="맑은 고딕" w:hAnsi="맑은 고딕" w:eastAsia="맑은 고딕"/>
          <w:b w:val="0"/>
          <w:color w:val="FF8000"/>
          <w:sz w:val="20"/>
        </w:rPr>
        <w:t>⚠ 전류밀도 감소: 0.1223 → 0.1080 (-11.7%)</w:t>
      </w:r>
    </w:p>
    <w:p>
      <w:r>
        <w:rPr>
          <w:rFonts w:ascii="맑은 고딕" w:hAnsi="맑은 고딕" w:eastAsia="맑은 고딕"/>
          <w:b w:val="0"/>
          <w:sz w:val="20"/>
        </w:rPr>
        <w:t>📍 원인: 녹지 패치 분산화, 토지 개발 등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e4C_수성구_2024_전류밀도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맑은 고딕" w:hAnsi="맑은 고딕" w:eastAsia="맑은 고딕"/>
          <w:b/>
          <w:sz w:val="18"/>
        </w:rPr>
        <w:t>그림 2. 수성구 녹지 연결성(전류밀도) 지도 (2024년)</w:t>
      </w:r>
    </w:p>
    <w:p>
      <w:r>
        <w:br w:type="page"/>
      </w:r>
    </w:p>
    <w:p>
      <w:pPr>
        <w:pStyle w:val="Heading2"/>
      </w:pPr>
      <w:r>
        <w:rPr>
          <w:rFonts w:ascii="맑은 고딕" w:hAnsi="맑은 고딕" w:eastAsia="맑은 고딕"/>
          <w:sz w:val="24"/>
        </w:rPr>
        <w:t>3.3 탄소 분석 (모듈2)</w:t>
      </w:r>
    </w:p>
    <w:p>
      <w:r>
        <w:rPr>
          <w:rFonts w:ascii="맑은 고딕" w:hAnsi="맑은 고딕" w:eastAsia="맑은 고딕"/>
          <w:b/>
          <w:sz w:val="18"/>
        </w:rPr>
        <w:t>대구광역시 탄소 저장 및 흡수 현황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지표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2019년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2024년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변화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탄소저장 (tC)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6,403,285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6,346,553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-56,732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연간흡수 (tC/yr)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232,516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229,261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-3,255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CO₂ 환산 (tCO₂/yr)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852,562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840,624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-11,937</w:t>
            </w:r>
          </w:p>
        </w:tc>
      </w:tr>
    </w:tbl>
    <w:p>
      <w:r>
        <w:rPr>
          <w:rFonts w:ascii="맑은 고딕" w:hAnsi="맑은 고딕" w:eastAsia="맑은 고딕"/>
          <w:b w:val="0"/>
          <w:sz w:val="21"/>
        </w:rPr>
        <w:t>주요 발견:</w:t>
      </w:r>
    </w:p>
    <w:p>
      <w:r>
        <w:rPr>
          <w:rFonts w:ascii="맑은 고딕" w:hAnsi="맑은 고딕" w:eastAsia="맑은 고딕"/>
          <w:b w:val="0"/>
          <w:color w:val="FF0000"/>
          <w:sz w:val="20"/>
        </w:rPr>
        <w:t>⚠ 탄소 저장량 감소: -56,732 tC (5년간)</w:t>
      </w:r>
    </w:p>
    <w:p>
      <w:r>
        <w:rPr>
          <w:rFonts w:ascii="맑은 고딕" w:hAnsi="맑은 고딕" w:eastAsia="맑은 고딕"/>
          <w:b w:val="0"/>
          <w:color w:val="FF0000"/>
          <w:sz w:val="20"/>
        </w:rPr>
        <w:t>⚠ 연간 흡수 감소: -3,255 tC/yr</w:t>
      </w:r>
    </w:p>
    <w:p>
      <w:r>
        <w:rPr>
          <w:rFonts w:ascii="맑은 고딕" w:hAnsi="맑은 고딕" w:eastAsia="맑은 고딕"/>
          <w:b w:val="0"/>
          <w:color w:val="FF0000"/>
          <w:sz w:val="20"/>
        </w:rPr>
        <w:t>⚠ 배출량 &gt; 축적량: 토지 변화로 인한 순 손실</w:t>
      </w:r>
    </w:p>
    <w:p>
      <w:r>
        <w:rPr>
          <w:rFonts w:ascii="맑은 고딕" w:hAnsi="맑은 고딕" w:eastAsia="맑은 고딕"/>
          <w:b w:val="0"/>
          <w:color w:val="008000"/>
          <w:sz w:val="20"/>
        </w:rPr>
        <w:t>✓ 수성구만 증가: +1,992 tC (유일한 긍정 신호)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48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e2_탄소저장_202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4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맑은 고딕" w:hAnsi="맑은 고딕" w:eastAsia="맑은 고딕"/>
          <w:b/>
          <w:sz w:val="18"/>
        </w:rPr>
        <w:t>그림 3. 대구광역시 탄소 저장량 분포 (2024년)</w:t>
      </w:r>
    </w:p>
    <w:p>
      <w:r>
        <w:br w:type="page"/>
      </w:r>
    </w:p>
    <w:p>
      <w:pPr>
        <w:pStyle w:val="Heading2"/>
      </w:pPr>
      <w:r>
        <w:rPr>
          <w:rFonts w:ascii="맑은 고딕" w:hAnsi="맑은 고딕" w:eastAsia="맑은 고딕"/>
          <w:sz w:val="24"/>
        </w:rPr>
        <w:t>3.4 유형 변화 (모듈5)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값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총 분석 면적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85,600.9 ha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동일유형 유지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43,092.6 ha (50.3%)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유형 전환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42,508.3 ha (49.7%)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전환율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거의 절반 수준</w:t>
            </w:r>
          </w:p>
        </w:tc>
      </w:tr>
    </w:tbl>
    <w:p>
      <w:r>
        <w:rPr>
          <w:rFonts w:ascii="맑은 고딕" w:hAnsi="맑은 고딕" w:eastAsia="맑은 고딕"/>
          <w:b w:val="0"/>
          <w:sz w:val="21"/>
        </w:rPr>
        <w:t>주요 발견:</w:t>
      </w:r>
    </w:p>
    <w:p>
      <w:r>
        <w:rPr>
          <w:rFonts w:ascii="맑은 고딕" w:hAnsi="맑은 고딕" w:eastAsia="맑은 고딕"/>
          <w:b w:val="0"/>
          <w:color w:val="FF8000"/>
          <w:sz w:val="20"/>
        </w:rPr>
        <w:t>⚠ 높은 변화율: 49.7% 유형 전환 (주의 필요)</w:t>
      </w:r>
    </w:p>
    <w:p>
      <w:r>
        <w:rPr>
          <w:rFonts w:ascii="맑은 고딕" w:hAnsi="맑은 고딕" w:eastAsia="맑은 고딕"/>
          <w:b w:val="0"/>
          <w:sz w:val="20"/>
        </w:rPr>
        <w:t>📍 주요 변환: 농경지→주거지, 산림 재분류, 나지 개발 등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sz w:val="28"/>
        </w:rPr>
        <w:t>4. 결론 및 정책 제안</w:t>
      </w:r>
    </w:p>
    <w:p>
      <w:pPr>
        <w:pStyle w:val="Heading2"/>
      </w:pPr>
      <w:r>
        <w:rPr>
          <w:rFonts w:ascii="맑은 고딕" w:hAnsi="맑은 고딕" w:eastAsia="맑은 고딕"/>
          <w:sz w:val="24"/>
        </w:rPr>
        <w:t>4.1 현황 평가</w:t>
      </w:r>
    </w:p>
    <w:p>
      <w:r>
        <w:rPr>
          <w:rFonts w:ascii="맑은 고딕" w:hAnsi="맑은 고딕" w:eastAsia="맑은 고딕"/>
          <w:b w:val="0"/>
          <w:sz w:val="21"/>
        </w:rPr>
        <w:t>✓ 긍정 신호:</w:t>
      </w:r>
    </w:p>
    <w:p>
      <w:r>
        <w:rPr>
          <w:rFonts w:ascii="맑은 고딕" w:hAnsi="맑은 고딕" w:eastAsia="맑은 고딕"/>
          <w:b w:val="0"/>
          <w:sz w:val="20"/>
        </w:rPr>
        <w:t xml:space="preserve">  • 접근성 개선 (도보시간 3.6% 단축)</w:t>
      </w:r>
    </w:p>
    <w:p>
      <w:r>
        <w:rPr>
          <w:rFonts w:ascii="맑은 고딕" w:hAnsi="맑은 고딕" w:eastAsia="맑은 고딕"/>
          <w:b w:val="0"/>
          <w:sz w:val="20"/>
        </w:rPr>
        <w:t xml:space="preserve">  • 인구 접근성 향상 (5분내 도달인구 증가)</w:t>
      </w:r>
    </w:p>
    <w:p>
      <w:r>
        <w:rPr>
          <w:rFonts w:ascii="맑은 고딕" w:hAnsi="맑은 고딕" w:eastAsia="맑은 고딕"/>
          <w:b w:val="0"/>
          <w:sz w:val="20"/>
        </w:rPr>
        <w:t xml:space="preserve">  • 수성구 탄소 증가 (유일한 증가 구군)</w:t>
      </w:r>
    </w:p>
    <w:p>
      <w:r>
        <w:rPr>
          <w:rFonts w:ascii="맑은 고딕" w:hAnsi="맑은 고딕" w:eastAsia="맑은 고딕"/>
          <w:b w:val="0"/>
          <w:sz w:val="21"/>
        </w:rPr>
        <w:t>⚠ 주의 신호:</w:t>
      </w:r>
    </w:p>
    <w:p>
      <w:r>
        <w:rPr>
          <w:rFonts w:ascii="맑은 고딕" w:hAnsi="맑은 고딕" w:eastAsia="맑은 고딕"/>
          <w:b w:val="0"/>
          <w:sz w:val="20"/>
        </w:rPr>
        <w:t xml:space="preserve">  • 연결성 악화 (R_eff 35.9% 증가)</w:t>
      </w:r>
    </w:p>
    <w:p>
      <w:r>
        <w:rPr>
          <w:rFonts w:ascii="맑은 고딕" w:hAnsi="맑은 고딕" w:eastAsia="맑은 고딕"/>
          <w:b w:val="0"/>
          <w:sz w:val="20"/>
        </w:rPr>
        <w:t xml:space="preserve">  • 전체 탄소 감소 (-56,732 tC)</w:t>
      </w:r>
    </w:p>
    <w:p>
      <w:r>
        <w:rPr>
          <w:rFonts w:ascii="맑은 고딕" w:hAnsi="맑은 고딕" w:eastAsia="맑은 고딕"/>
          <w:b w:val="0"/>
          <w:sz w:val="20"/>
        </w:rPr>
        <w:t xml:space="preserve">  • 빠른 토지 변화 (49.7% 유형 전환)</w:t>
      </w:r>
    </w:p>
    <w:p>
      <w:r>
        <w:rPr>
          <w:rFonts w:ascii="맑은 고딕" w:hAnsi="맑은 고딕" w:eastAsia="맑은 고딕"/>
          <w:b w:val="0"/>
          <w:sz w:val="20"/>
        </w:rPr>
        <w:t xml:space="preserve">  • 산림 감소 (-17.9% 면적 감소)</w:t>
      </w:r>
    </w:p>
    <w:p>
      <w:pPr>
        <w:pStyle w:val="Heading2"/>
      </w:pPr>
      <w:r>
        <w:rPr>
          <w:rFonts w:ascii="맑은 고딕" w:hAnsi="맑은 고딕" w:eastAsia="맑은 고딕"/>
          <w:sz w:val="24"/>
        </w:rPr>
        <w:t>4.2 정책 제안</w:t>
      </w:r>
    </w:p>
    <w:p>
      <w:r>
        <w:rPr>
          <w:rFonts w:ascii="맑은 고딕" w:hAnsi="맑은 고딕" w:eastAsia="맑은 고딕"/>
          <w:b w:val="0"/>
          <w:sz w:val="21"/>
        </w:rPr>
        <w:t>1. 연결성 회복 전략</w:t>
      </w:r>
    </w:p>
    <w:p>
      <w:r>
        <w:rPr>
          <w:rFonts w:ascii="맑은 고딕" w:hAnsi="맑은 고딕" w:eastAsia="맑은 고딕"/>
          <w:b w:val="0"/>
          <w:sz w:val="20"/>
        </w:rPr>
        <w:t xml:space="preserve">   • 녹지 코어 간 연결 통로(코리더) 우선 복원</w:t>
      </w:r>
    </w:p>
    <w:p>
      <w:r>
        <w:rPr>
          <w:rFonts w:ascii="맑은 고딕" w:hAnsi="맑은 고딕" w:eastAsia="맑은 고딕"/>
          <w:b w:val="0"/>
          <w:sz w:val="20"/>
        </w:rPr>
        <w:t xml:space="preserve">   • 단편화된 녹지 패치 통합 관리</w:t>
      </w:r>
    </w:p>
    <w:p>
      <w:r>
        <w:rPr>
          <w:rFonts w:ascii="맑은 고딕" w:hAnsi="맑은 고딕" w:eastAsia="맑은 고딕"/>
          <w:b w:val="0"/>
          <w:sz w:val="21"/>
        </w:rPr>
        <w:t>2. 탄소 흡수 강화</w:t>
      </w:r>
    </w:p>
    <w:p>
      <w:r>
        <w:rPr>
          <w:rFonts w:ascii="맑은 고딕" w:hAnsi="맑은 고딕" w:eastAsia="맑은 고딕"/>
          <w:b w:val="0"/>
          <w:sz w:val="20"/>
        </w:rPr>
        <w:t xml:space="preserve">   • 수성구 모델 분석 및 전 구군 확대</w:t>
      </w:r>
    </w:p>
    <w:p>
      <w:r>
        <w:rPr>
          <w:rFonts w:ascii="맑은 고딕" w:hAnsi="맑은 고딕" w:eastAsia="맑은 고딕"/>
          <w:b w:val="0"/>
          <w:sz w:val="20"/>
        </w:rPr>
        <w:t xml:space="preserve">   • 고품질 산림(혼효림) 복원</w:t>
      </w:r>
    </w:p>
    <w:p>
      <w:r>
        <w:rPr>
          <w:rFonts w:ascii="맑은 고딕" w:hAnsi="맑은 고딕" w:eastAsia="맑은 고딕"/>
          <w:b w:val="0"/>
          <w:sz w:val="20"/>
        </w:rPr>
        <w:t xml:space="preserve">   • 도시숲 조성 및 녹색 인프라 확충</w:t>
      </w:r>
    </w:p>
    <w:p>
      <w:r>
        <w:rPr>
          <w:rFonts w:ascii="맑은 고딕" w:hAnsi="맑은 고딕" w:eastAsia="맑은 고딕"/>
          <w:b w:val="0"/>
          <w:sz w:val="21"/>
        </w:rPr>
        <w:t>3. 개발 억제 및 녹지 보전</w:t>
      </w:r>
    </w:p>
    <w:p>
      <w:r>
        <w:rPr>
          <w:rFonts w:ascii="맑은 고딕" w:hAnsi="맑은 고딕" w:eastAsia="맑은 고딕"/>
          <w:b w:val="0"/>
          <w:sz w:val="20"/>
        </w:rPr>
        <w:t xml:space="preserve">   • 토지 변환율 높은 지역 개발 사업 재검토</w:t>
      </w:r>
    </w:p>
    <w:p>
      <w:r>
        <w:rPr>
          <w:rFonts w:ascii="맑은 고딕" w:hAnsi="맑은 고딕" w:eastAsia="맑은 고딕"/>
          <w:b w:val="0"/>
          <w:sz w:val="20"/>
        </w:rPr>
        <w:t xml:space="preserve">   • 비보호지역 녹지 우선 보전</w:t>
      </w:r>
    </w:p>
    <w:p>
      <w:r>
        <w:rPr>
          <w:rFonts w:ascii="맑은 고딕" w:hAnsi="맑은 고딕" w:eastAsia="맑은 고딕"/>
          <w:b w:val="0"/>
          <w:sz w:val="20"/>
        </w:rPr>
        <w:t xml:space="preserve">   • 생태자연도 상향 조정</w:t>
      </w:r>
    </w:p>
    <w:p>
      <w:r>
        <w:rPr>
          <w:rFonts w:ascii="맑은 고딕" w:hAnsi="맑은 고딕" w:eastAsia="맑은 고딕"/>
          <w:b w:val="0"/>
          <w:sz w:val="21"/>
        </w:rPr>
        <w:t>4. 모니터링 및 관리</w:t>
      </w:r>
    </w:p>
    <w:p>
      <w:r>
        <w:rPr>
          <w:rFonts w:ascii="맑은 고딕" w:hAnsi="맑은 고딕" w:eastAsia="맑은 고딕"/>
          <w:b w:val="0"/>
          <w:sz w:val="20"/>
        </w:rPr>
        <w:t xml:space="preserve">   • 연 1회 자동 분석 파이프라인 운영</w:t>
      </w:r>
    </w:p>
    <w:p>
      <w:r>
        <w:rPr>
          <w:rFonts w:ascii="맑은 고딕" w:hAnsi="맑은 고딕" w:eastAsia="맑은 고딕"/>
          <w:b w:val="0"/>
          <w:sz w:val="20"/>
        </w:rPr>
        <w:t xml:space="preserve">   • 구군별 성과 평가 및 인센티브 제도</w:t>
      </w:r>
    </w:p>
    <w:p>
      <w:r>
        <w:rPr>
          <w:rFonts w:ascii="맑은 고딕" w:hAnsi="맑은 고딕" w:eastAsia="맑은 고딕"/>
          <w:b w:val="0"/>
          <w:sz w:val="20"/>
        </w:rPr>
        <w:t xml:space="preserve">   • 정책 효과 검증 및 피드백</w:t>
      </w:r>
    </w:p>
    <w:p>
      <w:pPr>
        <w:pStyle w:val="Heading2"/>
      </w:pPr>
      <w:r>
        <w:rPr>
          <w:rFonts w:ascii="맑은 고딕" w:hAnsi="맑은 고딕" w:eastAsia="맑은 고딕"/>
          <w:sz w:val="24"/>
        </w:rPr>
        <w:t>4.3 기대 효과</w:t>
      </w:r>
    </w:p>
    <w:p>
      <w:r>
        <w:rPr>
          <w:rFonts w:ascii="맑은 고딕" w:hAnsi="맑은 고딕" w:eastAsia="맑은 고딕"/>
          <w:b w:val="0"/>
          <w:sz w:val="21"/>
        </w:rPr>
        <w:t>• 객관적 데이터 기반 정책 수립</w:t>
      </w:r>
    </w:p>
    <w:p>
      <w:r>
        <w:rPr>
          <w:rFonts w:ascii="맑은 고딕" w:hAnsi="맑은 고딕" w:eastAsia="맑은 고딕"/>
          <w:b w:val="0"/>
          <w:sz w:val="21"/>
        </w:rPr>
        <w:t>• 도시 녹지의 과학적 진단 및 처방</w:t>
      </w:r>
    </w:p>
    <w:p>
      <w:r>
        <w:rPr>
          <w:rFonts w:ascii="맑은 고딕" w:hAnsi="맑은 고딕" w:eastAsia="맑은 고딕"/>
          <w:b w:val="0"/>
          <w:sz w:val="21"/>
        </w:rPr>
        <w:t>• 기후변동 대응 및 탄소 중립 기여</w:t>
      </w:r>
    </w:p>
    <w:p>
      <w:r>
        <w:rPr>
          <w:rFonts w:ascii="맑은 고딕" w:hAnsi="맑은 고딕" w:eastAsia="맑은 고딕"/>
          <w:b w:val="0"/>
          <w:sz w:val="21"/>
        </w:rPr>
        <w:t>• 주민 생활 환경 개선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sz w:val="28"/>
        </w:rPr>
        <w:t>부록: 분석 데이터 요약</w:t>
      </w:r>
    </w:p>
    <w:p>
      <w:pPr>
        <w:pStyle w:val="Heading2"/>
      </w:pPr>
      <w:r>
        <w:rPr>
          <w:rFonts w:ascii="맑은 고딕" w:hAnsi="맑은 고딕" w:eastAsia="맑은 고딕"/>
          <w:sz w:val="24"/>
        </w:rPr>
        <w:t>A. 원본 데이터</w:t>
      </w:r>
    </w:p>
    <w:p>
      <w:r>
        <w:rPr>
          <w:rFonts w:ascii="맑은 고딕" w:hAnsi="맑은 고딕" w:eastAsia="맑은 고딕"/>
          <w:b w:val="0"/>
          <w:sz w:val="21"/>
        </w:rPr>
        <w:t>• 비오톱 2019: 152,584개 도형, 87,990 ha</w:t>
      </w:r>
    </w:p>
    <w:p>
      <w:r>
        <w:rPr>
          <w:rFonts w:ascii="맑은 고딕" w:hAnsi="맑은 고딕" w:eastAsia="맑은 고딕"/>
          <w:b w:val="0"/>
          <w:sz w:val="21"/>
        </w:rPr>
        <w:t>• 비오톱 2024: 144,778개 도형, 87,945 ha</w:t>
      </w:r>
    </w:p>
    <w:p>
      <w:r>
        <w:rPr>
          <w:rFonts w:ascii="맑은 고딕" w:hAnsi="맑은 고딕" w:eastAsia="맑은 고딕"/>
          <w:b w:val="0"/>
          <w:sz w:val="21"/>
        </w:rPr>
        <w:t>• 기준좌표계: EPSG:5179 (UTM-K)</w:t>
      </w:r>
    </w:p>
    <w:p>
      <w:pPr>
        <w:pStyle w:val="Heading2"/>
      </w:pPr>
      <w:r>
        <w:rPr>
          <w:rFonts w:ascii="맑은 고딕" w:hAnsi="맑은 고딕" w:eastAsia="맑은 고딕"/>
          <w:sz w:val="24"/>
        </w:rPr>
        <w:t>B. 모듈별 출력 파일</w:t>
      </w:r>
    </w:p>
    <w:p>
      <w:r>
        <w:rPr>
          <w:rFonts w:ascii="맑은 고딕" w:hAnsi="맑은 고딕" w:eastAsia="맑은 고딕"/>
          <w:b w:val="0"/>
          <w:sz w:val="21"/>
        </w:rPr>
        <w:t>• 모듈3: 교차표, 대응표, 히트맵, 요약 엑셀</w:t>
      </w:r>
    </w:p>
    <w:p>
      <w:r>
        <w:rPr>
          <w:rFonts w:ascii="맑은 고딕" w:hAnsi="맑은 고딕" w:eastAsia="맑은 고딕"/>
          <w:b w:val="0"/>
          <w:sz w:val="21"/>
        </w:rPr>
        <w:t>• 모듈4-A: GPKG, 접근시간 PNG, 요약 CSV</w:t>
      </w:r>
    </w:p>
    <w:p>
      <w:r>
        <w:rPr>
          <w:rFonts w:ascii="맑은 고딕" w:hAnsi="맑은 고딕" w:eastAsia="맑은 고딕"/>
          <w:b w:val="0"/>
          <w:sz w:val="21"/>
        </w:rPr>
        <w:t>• 모듈4-C: TIF, 전류밀도 PNG, 요약 CSV</w:t>
      </w:r>
    </w:p>
    <w:p>
      <w:r>
        <w:rPr>
          <w:rFonts w:ascii="맑은 고딕" w:hAnsi="맑은 고딕" w:eastAsia="맑은 고딕"/>
          <w:b w:val="0"/>
          <w:sz w:val="21"/>
        </w:rPr>
        <w:t>• 모듈5: 전이행렬, 변화히트맵, 요약 엑셀</w:t>
      </w:r>
    </w:p>
    <w:p>
      <w:r>
        <w:rPr>
          <w:rFonts w:ascii="맑은 고딕" w:hAnsi="맑은 고딕" w:eastAsia="맑은 고딕"/>
          <w:b w:val="0"/>
          <w:sz w:val="21"/>
        </w:rPr>
        <w:t>• 모듈2: 탄소지도(3종), 요약 엑셀</w:t>
      </w:r>
    </w:p>
    <w:p>
      <w:pPr>
        <w:pStyle w:val="Heading2"/>
      </w:pPr>
      <w:r>
        <w:rPr>
          <w:rFonts w:ascii="맑은 고딕" w:hAnsi="맑은 고딕" w:eastAsia="맑은 고딕"/>
          <w:sz w:val="24"/>
        </w:rPr>
        <w:t>C. 기술 사양</w:t>
      </w:r>
    </w:p>
    <w:p>
      <w:r>
        <w:rPr>
          <w:rFonts w:ascii="맑은 고딕" w:hAnsi="맑은 고딕" w:eastAsia="맑은 고딕"/>
          <w:b w:val="0"/>
          <w:sz w:val="21"/>
        </w:rPr>
        <w:t>• 언어: Python (geopandas, shapely, scipy, rasterio, networkx)</w:t>
      </w:r>
    </w:p>
    <w:p>
      <w:r>
        <w:rPr>
          <w:rFonts w:ascii="맑은 고딕" w:hAnsi="맑은 고딕" w:eastAsia="맑은 고딕"/>
          <w:b w:val="0"/>
          <w:sz w:val="21"/>
        </w:rPr>
        <w:t>• 좌표계: EPSG:5179 (모두 통일)</w:t>
      </w:r>
    </w:p>
    <w:p>
      <w:r>
        <w:rPr>
          <w:rFonts w:ascii="맑은 고딕" w:hAnsi="맑은 고딕" w:eastAsia="맑은 고딕"/>
          <w:b w:val="0"/>
          <w:sz w:val="21"/>
        </w:rPr>
        <w:t>• 격자: 100m × 100m</w:t>
      </w:r>
    </w:p>
    <w:p>
      <w:r>
        <w:rPr>
          <w:rFonts w:ascii="맑은 고딕" w:hAnsi="맑은 고딕" w:eastAsia="맑은 고딕"/>
          <w:b w:val="0"/>
          <w:sz w:val="21"/>
        </w:rPr>
        <w:t>• 재현성: 모든 분석 자동화 가능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