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60"/>
        <w:jc w:val="center"/>
      </w:pPr>
      <w:r>
        <w:rPr>
          <w:b/>
          <w:bCs/>
          <w:color w:val="1F3864"/>
          <w:sz w:val="24"/>
          <w:szCs w:val="24"/>
        </w:rPr>
        <w:t xml:space="preserve">MINERALS COMMISSION</w:t>
      </w:r>
    </w:p>
    <w:p>
      <w:pPr>
        <w:spacing w:after="400"/>
        <w:jc w:val="center"/>
      </w:pPr>
      <w:r>
        <w:rPr>
          <w:color w:val="555555"/>
          <w:sz w:val="18"/>
          <w:szCs w:val="18"/>
        </w:rPr>
        <w:t xml:space="preserve">Ministry of Lands and Natural Resources · Republic of Ghana</w:t>
      </w:r>
    </w:p>
    <w:p>
      <w:pPr>
        <w:spacing w:after="120"/>
        <w:jc w:val="center"/>
      </w:pPr>
      <w:r>
        <w:rPr>
          <w:b/>
          <w:bCs/>
          <w:color w:val="1F3864"/>
          <w:sz w:val="40"/>
          <w:szCs w:val="40"/>
        </w:rPr>
        <w:t xml:space="preserve">MINCOM Explosives Regulation System</w:t>
      </w:r>
    </w:p>
    <w:p>
      <w:pPr>
        <w:spacing w:after="400"/>
        <w:jc w:val="center"/>
      </w:pPr>
      <w:r>
        <w:rPr>
          <w:b/>
          <w:bCs/>
          <w:color w:val="9C7A2C"/>
          <w:sz w:val="30"/>
          <w:szCs w:val="30"/>
        </w:rPr>
        <w:t xml:space="preserve">Technical Reference for the Chief Inspector of Mines</w:t>
      </w:r>
    </w:p>
    <w:p>
      <w:pPr>
        <w:spacing w:after="40"/>
        <w:jc w:val="center"/>
      </w:pPr>
      <w:r>
        <w:rPr>
          <w:i/>
          <w:iCs/>
          <w:sz w:val="20"/>
          <w:szCs w:val="20"/>
        </w:rPr>
        <w:t xml:space="preserve">Mine Safety Oversight Interface — Data, Access and Alerting Specification</w:t>
      </w:r>
    </w:p>
    <w:p>
      <w:pPr>
        <w:spacing w:after="1000"/>
        <w:jc w:val="center"/>
      </w:pPr>
      <w:r>
        <w:rPr>
          <w:color w:val="555555"/>
          <w:sz w:val="18"/>
          <w:szCs w:val="18"/>
        </w:rPr>
        <w:t xml:space="preserve">Prepared in accordance with the Minerals and Mining (Explosives) Regulations, 2012 — L.I. 2177</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5826"/>
      </w:tblGrid>
      <w:tr>
        <w:trPr>
          <w:tblHeader/>
        </w:trPr>
        <w:tc>
          <w:tcPr>
            <w:tcW w:type="dxa" w:w="3200"/>
            <w:shd w:fill="1F3864" w:color="auto" w:val="clear"/>
            <w:tcMar>
              <w:top w:type="dxa" w:w="100"/>
              <w:left w:type="dxa" w:w="120"/>
              <w:bottom w:type="dxa" w:w="100"/>
              <w:right w:type="dxa" w:w="120"/>
            </w:tcMar>
          </w:tcPr>
          <w:p>
            <w:r>
              <w:rPr>
                <w:b/>
                <w:bCs/>
                <w:color w:val="FFFFFF"/>
                <w:sz w:val="19"/>
                <w:szCs w:val="19"/>
              </w:rPr>
              <w:t xml:space="preserve">Field</w:t>
            </w:r>
          </w:p>
        </w:tc>
        <w:tc>
          <w:tcPr>
            <w:tcW w:type="dxa" w:w="5826"/>
            <w:shd w:fill="1F3864" w:color="auto" w:val="clear"/>
            <w:tcMar>
              <w:top w:type="dxa" w:w="100"/>
              <w:left w:type="dxa" w:w="120"/>
              <w:bottom w:type="dxa" w:w="100"/>
              <w:right w:type="dxa" w:w="120"/>
            </w:tcMar>
          </w:tcPr>
          <w:p>
            <w:r>
              <w:rPr>
                <w:b/>
                <w:bCs/>
                <w:color w:val="FFFFFF"/>
                <w:sz w:val="19"/>
                <w:szCs w:val="19"/>
              </w:rPr>
              <w:t xml:space="preserve">Detail</w:t>
            </w:r>
          </w:p>
        </w:tc>
      </w:tr>
      <w:tr>
        <w:tc>
          <w:tcPr>
            <w:tcW w:type="dxa" w:w="3200"/>
            <w:shd w:fill="FFFFFF" w:color="auto" w:val="clear"/>
            <w:tcMar>
              <w:top w:type="dxa" w:w="90"/>
              <w:left w:type="dxa" w:w="120"/>
              <w:bottom w:type="dxa" w:w="90"/>
              <w:right w:type="dxa" w:w="120"/>
            </w:tcMar>
          </w:tcPr>
          <w:p>
            <w:pPr>
              <w:spacing w:line="252"/>
            </w:pPr>
            <w:r>
              <w:rPr>
                <w:sz w:val="19"/>
                <w:szCs w:val="19"/>
              </w:rPr>
              <w:t xml:space="preserve">Document title</w:t>
            </w:r>
          </w:p>
        </w:tc>
        <w:tc>
          <w:tcPr>
            <w:tcW w:type="dxa" w:w="5826"/>
            <w:shd w:fill="FFFFFF" w:color="auto" w:val="clear"/>
            <w:tcMar>
              <w:top w:type="dxa" w:w="90"/>
              <w:left w:type="dxa" w:w="120"/>
              <w:bottom w:type="dxa" w:w="90"/>
              <w:right w:type="dxa" w:w="120"/>
            </w:tcMar>
          </w:tcPr>
          <w:p>
            <w:pPr>
              <w:spacing w:line="252"/>
            </w:pPr>
            <w:r>
              <w:rPr>
                <w:sz w:val="19"/>
                <w:szCs w:val="19"/>
              </w:rPr>
              <w:t xml:space="preserve">MINCOM Explosives Regulation System — Technical Reference for the Chief Inspector of Mines</w:t>
            </w:r>
          </w:p>
        </w:tc>
      </w:tr>
      <w:tr>
        <w:tc>
          <w:tcPr>
            <w:tcW w:type="dxa" w:w="3200"/>
            <w:shd w:fill="F2F2F2" w:color="auto" w:val="clear"/>
            <w:tcMar>
              <w:top w:type="dxa" w:w="90"/>
              <w:left w:type="dxa" w:w="120"/>
              <w:bottom w:type="dxa" w:w="90"/>
              <w:right w:type="dxa" w:w="120"/>
            </w:tcMar>
          </w:tcPr>
          <w:p>
            <w:pPr>
              <w:spacing w:line="252"/>
            </w:pPr>
            <w:r>
              <w:rPr>
                <w:sz w:val="19"/>
                <w:szCs w:val="19"/>
              </w:rPr>
              <w:t xml:space="preserve">Version</w:t>
            </w:r>
          </w:p>
        </w:tc>
        <w:tc>
          <w:tcPr>
            <w:tcW w:type="dxa" w:w="5826"/>
            <w:shd w:fill="F2F2F2" w:color="auto" w:val="clear"/>
            <w:tcMar>
              <w:top w:type="dxa" w:w="90"/>
              <w:left w:type="dxa" w:w="120"/>
              <w:bottom w:type="dxa" w:w="90"/>
              <w:right w:type="dxa" w:w="120"/>
            </w:tcMar>
          </w:tcPr>
          <w:p>
            <w:pPr>
              <w:spacing w:line="252"/>
            </w:pPr>
            <w:r>
              <w:rPr>
                <w:sz w:val="19"/>
                <w:szCs w:val="19"/>
              </w:rPr>
              <w:t xml:space="preserve">2.0</w:t>
            </w:r>
          </w:p>
        </w:tc>
      </w:tr>
      <w:tr>
        <w:tc>
          <w:tcPr>
            <w:tcW w:type="dxa" w:w="3200"/>
            <w:shd w:fill="FFFFFF" w:color="auto" w:val="clear"/>
            <w:tcMar>
              <w:top w:type="dxa" w:w="90"/>
              <w:left w:type="dxa" w:w="120"/>
              <w:bottom w:type="dxa" w:w="90"/>
              <w:right w:type="dxa" w:w="120"/>
            </w:tcMar>
          </w:tcPr>
          <w:p>
            <w:pPr>
              <w:spacing w:line="252"/>
            </w:pPr>
            <w:r>
              <w:rPr>
                <w:sz w:val="19"/>
                <w:szCs w:val="19"/>
              </w:rPr>
              <w:t xml:space="preserve">Date of issue</w:t>
            </w:r>
          </w:p>
        </w:tc>
        <w:tc>
          <w:tcPr>
            <w:tcW w:type="dxa" w:w="5826"/>
            <w:shd w:fill="FFFFFF" w:color="auto" w:val="clear"/>
            <w:tcMar>
              <w:top w:type="dxa" w:w="90"/>
              <w:left w:type="dxa" w:w="120"/>
              <w:bottom w:type="dxa" w:w="90"/>
              <w:right w:type="dxa" w:w="120"/>
            </w:tcMar>
          </w:tcPr>
          <w:p>
            <w:pPr>
              <w:spacing w:line="252"/>
            </w:pPr>
            <w:r>
              <w:rPr>
                <w:sz w:val="19"/>
                <w:szCs w:val="19"/>
              </w:rPr>
              <w:t xml:space="preserve">July 2026</w:t>
            </w:r>
          </w:p>
        </w:tc>
      </w:tr>
      <w:tr>
        <w:tc>
          <w:tcPr>
            <w:tcW w:type="dxa" w:w="3200"/>
            <w:shd w:fill="F2F2F2" w:color="auto" w:val="clear"/>
            <w:tcMar>
              <w:top w:type="dxa" w:w="90"/>
              <w:left w:type="dxa" w:w="120"/>
              <w:bottom w:type="dxa" w:w="90"/>
              <w:right w:type="dxa" w:w="120"/>
            </w:tcMar>
          </w:tcPr>
          <w:p>
            <w:pPr>
              <w:spacing w:line="252"/>
            </w:pPr>
            <w:r>
              <w:rPr>
                <w:sz w:val="19"/>
                <w:szCs w:val="19"/>
              </w:rPr>
              <w:t xml:space="preserve">Prepared for</w:t>
            </w:r>
          </w:p>
        </w:tc>
        <w:tc>
          <w:tcPr>
            <w:tcW w:type="dxa" w:w="5826"/>
            <w:shd w:fill="F2F2F2" w:color="auto" w:val="clear"/>
            <w:tcMar>
              <w:top w:type="dxa" w:w="90"/>
              <w:left w:type="dxa" w:w="120"/>
              <w:bottom w:type="dxa" w:w="90"/>
              <w:right w:type="dxa" w:w="120"/>
            </w:tcMar>
          </w:tcPr>
          <w:p>
            <w:pPr>
              <w:spacing w:line="252"/>
            </w:pPr>
            <w:r>
              <w:rPr>
                <w:sz w:val="19"/>
                <w:szCs w:val="19"/>
              </w:rPr>
              <w:t xml:space="preserve">Minerals Commission of Ghana — Office of the Chief Inspector of Mines</w:t>
            </w:r>
          </w:p>
        </w:tc>
      </w:tr>
      <w:tr>
        <w:tc>
          <w:tcPr>
            <w:tcW w:type="dxa" w:w="3200"/>
            <w:shd w:fill="FFFFFF" w:color="auto" w:val="clear"/>
            <w:tcMar>
              <w:top w:type="dxa" w:w="90"/>
              <w:left w:type="dxa" w:w="120"/>
              <w:bottom w:type="dxa" w:w="90"/>
              <w:right w:type="dxa" w:w="120"/>
            </w:tcMar>
          </w:tcPr>
          <w:p>
            <w:pPr>
              <w:spacing w:line="252"/>
            </w:pPr>
            <w:r>
              <w:rPr>
                <w:sz w:val="19"/>
                <w:szCs w:val="19"/>
              </w:rPr>
              <w:t xml:space="preserve">Prepared by</w:t>
            </w:r>
          </w:p>
        </w:tc>
        <w:tc>
          <w:tcPr>
            <w:tcW w:type="dxa" w:w="5826"/>
            <w:shd w:fill="FFFFFF" w:color="auto" w:val="clear"/>
            <w:tcMar>
              <w:top w:type="dxa" w:w="90"/>
              <w:left w:type="dxa" w:w="120"/>
              <w:bottom w:type="dxa" w:w="90"/>
              <w:right w:type="dxa" w:w="120"/>
            </w:tcMar>
          </w:tcPr>
          <w:p>
            <w:pPr>
              <w:spacing w:line="252"/>
            </w:pPr>
            <w:r>
              <w:rPr>
                <w:sz w:val="19"/>
                <w:szCs w:val="19"/>
              </w:rPr>
              <w:t xml:space="preserve">Smart Innovations Ghana Limited</w:t>
            </w:r>
          </w:p>
        </w:tc>
      </w:tr>
      <w:tr>
        <w:tc>
          <w:tcPr>
            <w:tcW w:type="dxa" w:w="3200"/>
            <w:shd w:fill="F2F2F2" w:color="auto" w:val="clear"/>
            <w:tcMar>
              <w:top w:type="dxa" w:w="90"/>
              <w:left w:type="dxa" w:w="120"/>
              <w:bottom w:type="dxa" w:w="90"/>
              <w:right w:type="dxa" w:w="120"/>
            </w:tcMar>
          </w:tcPr>
          <w:p>
            <w:pPr>
              <w:spacing w:line="252"/>
            </w:pPr>
            <w:r>
              <w:rPr>
                <w:sz w:val="19"/>
                <w:szCs w:val="19"/>
              </w:rPr>
              <w:t xml:space="preserve">Regulatory basis</w:t>
            </w:r>
          </w:p>
        </w:tc>
        <w:tc>
          <w:tcPr>
            <w:tcW w:type="dxa" w:w="5826"/>
            <w:shd w:fill="F2F2F2" w:color="auto" w:val="clear"/>
            <w:tcMar>
              <w:top w:type="dxa" w:w="90"/>
              <w:left w:type="dxa" w:w="120"/>
              <w:bottom w:type="dxa" w:w="90"/>
              <w:right w:type="dxa" w:w="120"/>
            </w:tcMar>
          </w:tcPr>
          <w:p>
            <w:pPr>
              <w:spacing w:line="252"/>
            </w:pPr>
            <w:r>
              <w:rPr>
                <w:sz w:val="19"/>
                <w:szCs w:val="19"/>
              </w:rPr>
              <w:t xml:space="preserve">Minerals and Mining (Explosives) Regulations, 2012 (L.I. 2177)</w:t>
            </w:r>
          </w:p>
        </w:tc>
      </w:tr>
      <w:tr>
        <w:tc>
          <w:tcPr>
            <w:tcW w:type="dxa" w:w="3200"/>
            <w:shd w:fill="FFFFFF" w:color="auto" w:val="clear"/>
            <w:tcMar>
              <w:top w:type="dxa" w:w="90"/>
              <w:left w:type="dxa" w:w="120"/>
              <w:bottom w:type="dxa" w:w="90"/>
              <w:right w:type="dxa" w:w="120"/>
            </w:tcMar>
          </w:tcPr>
          <w:p>
            <w:pPr>
              <w:spacing w:line="252"/>
            </w:pPr>
            <w:r>
              <w:rPr>
                <w:sz w:val="19"/>
                <w:szCs w:val="19"/>
              </w:rPr>
              <w:t xml:space="preserve">Access classification</w:t>
            </w:r>
          </w:p>
        </w:tc>
        <w:tc>
          <w:tcPr>
            <w:tcW w:type="dxa" w:w="5826"/>
            <w:shd w:fill="FFFFFF" w:color="auto" w:val="clear"/>
            <w:tcMar>
              <w:top w:type="dxa" w:w="90"/>
              <w:left w:type="dxa" w:w="120"/>
              <w:bottom w:type="dxa" w:w="90"/>
              <w:right w:type="dxa" w:w="120"/>
            </w:tcMar>
          </w:tcPr>
          <w:p>
            <w:pPr>
              <w:spacing w:line="252"/>
            </w:pPr>
            <w:r>
              <w:rPr>
                <w:sz w:val="19"/>
                <w:szCs w:val="19"/>
              </w:rPr>
              <w:t xml:space="preserve">Read-only, mine-safety-scoped oversight interface</w:t>
            </w:r>
          </w:p>
        </w:tc>
      </w:tr>
      <w:tr>
        <w:tc>
          <w:tcPr>
            <w:tcW w:type="dxa" w:w="3200"/>
            <w:shd w:fill="F2F2F2" w:color="auto" w:val="clear"/>
            <w:tcMar>
              <w:top w:type="dxa" w:w="90"/>
              <w:left w:type="dxa" w:w="120"/>
              <w:bottom w:type="dxa" w:w="90"/>
              <w:right w:type="dxa" w:w="120"/>
            </w:tcMar>
          </w:tcPr>
          <w:p>
            <w:pPr>
              <w:spacing w:line="252"/>
            </w:pPr>
            <w:r>
              <w:rPr>
                <w:sz w:val="19"/>
                <w:szCs w:val="19"/>
              </w:rPr>
              <w:t xml:space="preserve">Status</w:t>
            </w:r>
          </w:p>
        </w:tc>
        <w:tc>
          <w:tcPr>
            <w:tcW w:type="dxa" w:w="5826"/>
            <w:shd w:fill="F2F2F2" w:color="auto" w:val="clear"/>
            <w:tcMar>
              <w:top w:type="dxa" w:w="90"/>
              <w:left w:type="dxa" w:w="120"/>
              <w:bottom w:type="dxa" w:w="90"/>
              <w:right w:type="dxa" w:w="120"/>
            </w:tcMar>
          </w:tcPr>
          <w:p>
            <w:pPr>
              <w:spacing w:line="252"/>
            </w:pPr>
            <w:r>
              <w:rPr>
                <w:sz w:val="19"/>
                <w:szCs w:val="19"/>
              </w:rPr>
              <w:t xml:space="preserve">For review</w:t>
            </w:r>
          </w:p>
        </w:tc>
      </w:tr>
    </w:tbl>
    <w:p>
      <w:r>
        <w:br w:type="page"/>
      </w:r>
    </w:p>
    <w:p>
      <w:pPr>
        <w:pStyle w:val="Heading1"/>
        <w:pBdr>
          <w:bottom w:val="single" w:color="1F3864" w:sz="8" w:space="4"/>
        </w:pBdr>
        <w:spacing w:after="160" w:before="360"/>
      </w:pPr>
      <w:r>
        <w:rPr>
          <w:b/>
          <w:bCs/>
          <w:color w:val="1F3864"/>
          <w:sz w:val="30"/>
          <w:szCs w:val="30"/>
        </w:rPr>
        <w:t xml:space="preserve">About This Document</w:t>
      </w:r>
    </w:p>
    <w:p>
      <w:pPr>
        <w:spacing w:after="160" w:line="276"/>
      </w:pPr>
      <w:r>
        <w:rPr>
          <w:sz w:val="21"/>
          <w:szCs w:val="21"/>
        </w:rPr>
        <w:t xml:space="preserve">This document sets out, in technical terms, the portion of the MINCOM Explosives Regulation System that is exposed to the Chief Inspector of Mines. It defines the data domains this role can see, the fields each record carries, the trigger logic and timing behind incident alerts, the reports and dashboard metrics available, and the integrity controls that make the underlying records trustworthy for safety oversight.</w:t>
      </w:r>
    </w:p>
    <w:p>
      <w:pPr>
        <w:spacing w:after="160" w:line="276"/>
      </w:pPr>
      <w:r>
        <w:rPr>
          <w:sz w:val="21"/>
          <w:szCs w:val="21"/>
        </w:rPr>
        <w:t xml:space="preserve">It is scoped deliberately. The Chief Inspector of Mines does not administer companies, review permit applications, handle payments or configure the system; that functionality belongs to the Inspectorate of Explosives and is documented separately. What follows is the technical detail behind the one function this role performs in the system: continuous, evidence-based visibility of explosives activity that bears on mine safety.</w:t>
      </w:r>
    </w:p>
    <w:tbl>
      <w:tblPr>
        <w:tblW w:type="pct" w:w="100%"/>
        <w:tblBorders>
          <w:top w:val="single" w:color="9C7A2C" w:sz="4"/>
          <w:left w:val="single" w:color="9C7A2C" w:sz="4"/>
          <w:bottom w:val="single" w:color="9C7A2C" w:sz="4"/>
          <w:right w:val="single" w:color="9C7A2C" w:sz="4"/>
          <w:insideH w:val="none" w:color="FFFFFF" w:sz="0"/>
          <w:insideV w:val="none" w:color="FFFFFF" w:sz="0"/>
        </w:tblBorders>
      </w:tblPr>
      <w:tblGrid>
        <w:gridCol w:w="100"/>
      </w:tblGrid>
      <w:tr>
        <w:tc>
          <w:tcPr>
            <w:tcW w:type="pct" w:w="100%"/>
            <w:shd w:fill="FBF6EA" w:color="auto" w:val="clear"/>
            <w:tcMar>
              <w:top w:type="dxa" w:w="140"/>
              <w:left w:type="dxa" w:w="180"/>
              <w:bottom w:type="dxa" w:w="140"/>
              <w:right w:type="dxa" w:w="180"/>
            </w:tcMar>
          </w:tcPr>
          <w:p>
            <w:pPr>
              <w:spacing w:after="60"/>
            </w:pPr>
            <w:r>
              <w:rPr>
                <w:b/>
                <w:bCs/>
                <w:color w:val="9C7A2C"/>
                <w:sz w:val="20"/>
                <w:szCs w:val="20"/>
              </w:rPr>
              <w:t xml:space="preserve">Relationship to other documentation</w:t>
            </w:r>
          </w:p>
          <w:p>
            <w:pPr>
              <w:spacing w:after="0" w:line="264"/>
            </w:pPr>
            <w:r>
              <w:rPr>
                <w:sz w:val="20"/>
                <w:szCs w:val="20"/>
              </w:rPr>
              <w:t xml:space="preserve">This reference assumes the reader is familiar with the System Overview (Version 2.0, July 2026), which describes the platform as a whole. Where this document repeats material from that overview, it does so at field and trigger level rather than at narrative level.</w:t>
            </w:r>
          </w:p>
        </w:tc>
      </w:tr>
    </w:tbl>
    <w:p>
      <w:r>
        <w:br w:type="page"/>
      </w:r>
    </w:p>
    <w:p>
      <w:pPr>
        <w:pStyle w:val="Heading1"/>
        <w:pBdr>
          <w:bottom w:val="single" w:color="1F3864" w:sz="8" w:space="4"/>
        </w:pBdr>
        <w:spacing w:after="160" w:before="360"/>
      </w:pPr>
      <w:r>
        <w:rPr>
          <w:b/>
          <w:bCs/>
          <w:color w:val="1F3864"/>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Bdr>
          <w:bottom w:val="single" w:color="1F3864" w:sz="8" w:space="4"/>
        </w:pBdr>
        <w:spacing w:after="160" w:before="360"/>
      </w:pPr>
      <w:r>
        <w:rPr>
          <w:b/>
          <w:bCs/>
          <w:color w:val="1F3864"/>
          <w:sz w:val="30"/>
          <w:szCs w:val="30"/>
        </w:rPr>
        <w:t xml:space="preserve">1. Purpose and Scope</w:t>
      </w:r>
    </w:p>
    <w:p>
      <w:pPr>
        <w:pStyle w:val="Heading2"/>
        <w:spacing w:after="120" w:before="280"/>
      </w:pPr>
      <w:r>
        <w:rPr>
          <w:b/>
          <w:bCs/>
          <w:color w:val="1F3864"/>
          <w:sz w:val="24"/>
          <w:szCs w:val="24"/>
        </w:rPr>
        <w:t xml:space="preserve">1.1 Role definition</w:t>
      </w:r>
    </w:p>
    <w:p>
      <w:pPr>
        <w:spacing w:after="160" w:line="276"/>
      </w:pPr>
      <w:r>
        <w:rPr>
          <w:sz w:val="21"/>
          <w:szCs w:val="21"/>
        </w:rPr>
        <w:t xml:space="preserve">Within the MINCOM Explosives Regulation System, the Chief Inspector of Mines is registered as an oversight role attached to the Inspectorate Portal. The role exists to give mine safety leadership continuous, first-hand visibility of explosives activity across all licensed operators, without requiring a request to the Inspectorate of Explosives or a physical site visit.</w:t>
      </w:r>
    </w:p>
    <w:p>
      <w:pPr>
        <w:spacing w:after="160" w:line="276"/>
      </w:pPr>
      <w:r>
        <w:rPr>
          <w:sz w:val="21"/>
          <w:szCs w:val="21"/>
        </w:rPr>
        <w:t xml:space="preserve">The statutory basis for this visibility is the overlap between explosives regulation under L.I. 2177 and the mine safety functions the Chief Inspector of Mines carries under separate mining legislation: blast execution, misfires, magazine security and loss-of-material events are all mine safety events as well as explosives-control events.</w:t>
      </w:r>
    </w:p>
    <w:p>
      <w:pPr>
        <w:pStyle w:val="Heading2"/>
        <w:spacing w:after="120" w:before="280"/>
      </w:pPr>
      <w:r>
        <w:rPr>
          <w:b/>
          <w:bCs/>
          <w:color w:val="1F3864"/>
          <w:sz w:val="24"/>
          <w:szCs w:val="24"/>
        </w:rPr>
        <w:t xml:space="preserve">1.2 What this document covers</w:t>
      </w:r>
    </w:p>
    <w:p>
      <w:pPr>
        <w:pStyle w:val="ListParagraph"/>
        <w:numPr>
          <w:ilvl w:val="0"/>
          <w:numId w:val="2"/>
        </w:numPr>
        <w:spacing w:after="80" w:line="264"/>
      </w:pPr>
      <w:r>
        <w:rPr>
          <w:sz w:val="21"/>
          <w:szCs w:val="21"/>
        </w:rPr>
        <w:t xml:space="preserve">The data domains, and the field-level content of each, that the Chief Inspector of Mines role can view.</w:t>
      </w:r>
    </w:p>
    <w:p>
      <w:pPr>
        <w:pStyle w:val="ListParagraph"/>
        <w:numPr>
          <w:ilvl w:val="0"/>
          <w:numId w:val="2"/>
        </w:numPr>
        <w:spacing w:after="80" w:line="264"/>
      </w:pPr>
      <w:r>
        <w:rPr>
          <w:sz w:val="21"/>
          <w:szCs w:val="21"/>
        </w:rPr>
        <w:t xml:space="preserve">The access classification applied to the role, and how it differs from other Inspectorate roles.</w:t>
      </w:r>
    </w:p>
    <w:p>
      <w:pPr>
        <w:pStyle w:val="ListParagraph"/>
        <w:numPr>
          <w:ilvl w:val="0"/>
          <w:numId w:val="2"/>
        </w:numPr>
        <w:spacing w:after="80" w:line="264"/>
      </w:pPr>
      <w:r>
        <w:rPr>
          <w:sz w:val="21"/>
          <w:szCs w:val="21"/>
        </w:rPr>
        <w:t xml:space="preserve">The trigger conditions, channels and timing of automatic alerts relevant to mine safety.</w:t>
      </w:r>
    </w:p>
    <w:p>
      <w:pPr>
        <w:pStyle w:val="ListParagraph"/>
        <w:numPr>
          <w:ilvl w:val="0"/>
          <w:numId w:val="2"/>
        </w:numPr>
        <w:spacing w:after="80" w:line="264"/>
      </w:pPr>
      <w:r>
        <w:rPr>
          <w:sz w:val="21"/>
          <w:szCs w:val="21"/>
        </w:rPr>
        <w:t xml:space="preserve">The standard reports and dashboard metrics available to this role.</w:t>
      </w:r>
    </w:p>
    <w:p>
      <w:pPr>
        <w:pStyle w:val="ListParagraph"/>
        <w:numPr>
          <w:ilvl w:val="0"/>
          <w:numId w:val="2"/>
        </w:numPr>
        <w:spacing w:after="80" w:line="264"/>
      </w:pPr>
      <w:r>
        <w:rPr>
          <w:sz w:val="21"/>
          <w:szCs w:val="21"/>
        </w:rPr>
        <w:t xml:space="preserve">The integrity and audit controls that make the underlying records admissible as evidence of what actually happened on site.</w:t>
      </w:r>
    </w:p>
    <w:p>
      <w:pPr>
        <w:pStyle w:val="Heading2"/>
        <w:spacing w:after="120" w:before="280"/>
      </w:pPr>
      <w:r>
        <w:rPr>
          <w:b/>
          <w:bCs/>
          <w:color w:val="1F3864"/>
          <w:sz w:val="24"/>
          <w:szCs w:val="24"/>
        </w:rPr>
        <w:t xml:space="preserve">1.3 What this document does not cover</w:t>
      </w:r>
    </w:p>
    <w:p>
      <w:pPr>
        <w:pStyle w:val="ListParagraph"/>
        <w:numPr>
          <w:ilvl w:val="0"/>
          <w:numId w:val="2"/>
        </w:numPr>
        <w:spacing w:after="80" w:line="264"/>
      </w:pPr>
      <w:r>
        <w:rPr>
          <w:sz w:val="21"/>
          <w:szCs w:val="21"/>
        </w:rPr>
        <w:t xml:space="preserve">Application review, technical assessment or permit issuance workflows — these belong to the Regional Inspector, Deputy Chief Inspector and Chief Inspector of Explosives.</w:t>
      </w:r>
    </w:p>
    <w:p>
      <w:pPr>
        <w:pStyle w:val="ListParagraph"/>
        <w:numPr>
          <w:ilvl w:val="0"/>
          <w:numId w:val="2"/>
        </w:numPr>
        <w:spacing w:after="80" w:line="264"/>
      </w:pPr>
      <w:r>
        <w:rPr>
          <w:sz w:val="21"/>
          <w:szCs w:val="21"/>
        </w:rPr>
        <w:t xml:space="preserve">Fee catalogues, invoicing or Ghana.GOV settlement — these belong to the Accounts Portal.</w:t>
      </w:r>
    </w:p>
    <w:p>
      <w:pPr>
        <w:pStyle w:val="ListParagraph"/>
        <w:numPr>
          <w:ilvl w:val="0"/>
          <w:numId w:val="2"/>
        </w:numPr>
        <w:spacing w:after="80" w:line="264"/>
      </w:pPr>
      <w:r>
        <w:rPr>
          <w:sz w:val="21"/>
          <w:szCs w:val="21"/>
        </w:rPr>
        <w:t xml:space="preserve">System configuration, user administration or reference catalogue maintenance — these belong to the System Administrator role.</w:t>
      </w:r>
    </w:p>
    <w:p>
      <w:pPr>
        <w:pStyle w:val="ListParagraph"/>
        <w:numPr>
          <w:ilvl w:val="0"/>
          <w:numId w:val="2"/>
        </w:numPr>
        <w:spacing w:after="80" w:line="264"/>
      </w:pPr>
      <w:r>
        <w:rPr>
          <w:sz w:val="21"/>
          <w:szCs w:val="21"/>
        </w:rPr>
        <w:t xml:space="preserve">Database schema, API contracts or infrastructure detail — these are held in the implementation team's separate technical documentation set and are outside the scope of any Inspectorate-facing reference.</w:t>
      </w:r>
    </w:p>
    <w:p>
      <w:pPr>
        <w:pStyle w:val="Heading1"/>
        <w:pBdr>
          <w:bottom w:val="single" w:color="1F3864" w:sz="8" w:space="4"/>
        </w:pBdr>
        <w:spacing w:after="160" w:before="360"/>
      </w:pPr>
      <w:r>
        <w:rPr>
          <w:b/>
          <w:bCs/>
          <w:color w:val="1F3864"/>
          <w:sz w:val="30"/>
          <w:szCs w:val="30"/>
        </w:rPr>
        <w:t xml:space="preserve">2. Role Profile: Chief Inspector of Mines</w:t>
      </w:r>
    </w:p>
    <w:p>
      <w:pPr>
        <w:pStyle w:val="Heading2"/>
        <w:spacing w:after="120" w:before="280"/>
      </w:pPr>
      <w:r>
        <w:rPr>
          <w:b/>
          <w:bCs/>
          <w:color w:val="1F3864"/>
          <w:sz w:val="24"/>
          <w:szCs w:val="24"/>
        </w:rPr>
        <w:t xml:space="preserve">2.1 Access classification</w:t>
      </w:r>
    </w:p>
    <w:p>
      <w:pPr>
        <w:spacing w:after="160" w:line="276"/>
      </w:pPr>
      <w:r>
        <w:rPr>
          <w:sz w:val="21"/>
          <w:szCs w:val="21"/>
        </w:rPr>
        <w:t xml:space="preserve">The role is provisioned as read-only oversight. It carries no create, edit, approve or delete permission against any record in the system. This is enforced at the permission layer, not by convention: the underlying access-control configuration for this role has no write scope defined against any module.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4600"/>
        <w:gridCol w:w="4426"/>
      </w:tblGrid>
      <w:tr>
        <w:trPr>
          <w:tblHeader/>
        </w:trPr>
        <w:tc>
          <w:tcPr>
            <w:tcW w:type="dxa" w:w="4600"/>
            <w:shd w:fill="1F3864" w:color="auto" w:val="clear"/>
            <w:tcMar>
              <w:top w:type="dxa" w:w="100"/>
              <w:left w:type="dxa" w:w="120"/>
              <w:bottom w:type="dxa" w:w="100"/>
              <w:right w:type="dxa" w:w="120"/>
            </w:tcMar>
          </w:tcPr>
          <w:p>
            <w:r>
              <w:rPr>
                <w:b/>
                <w:bCs/>
                <w:color w:val="FFFFFF"/>
                <w:sz w:val="19"/>
                <w:szCs w:val="19"/>
              </w:rPr>
              <w:t xml:space="preserve">Capability</w:t>
            </w:r>
          </w:p>
        </w:tc>
        <w:tc>
          <w:tcPr>
            <w:tcW w:type="dxa" w:w="4426"/>
            <w:shd w:fill="1F3864" w:color="auto" w:val="clear"/>
            <w:tcMar>
              <w:top w:type="dxa" w:w="100"/>
              <w:left w:type="dxa" w:w="120"/>
              <w:bottom w:type="dxa" w:w="100"/>
              <w:right w:type="dxa" w:w="120"/>
            </w:tcMar>
          </w:tcPr>
          <w:p>
            <w:r>
              <w:rPr>
                <w:b/>
                <w:bCs/>
                <w:color w:val="FFFFFF"/>
                <w:sz w:val="19"/>
                <w:szCs w:val="19"/>
              </w:rPr>
              <w:t xml:space="preserve">Chief Inspector of Mines</w:t>
            </w:r>
          </w:p>
        </w:tc>
      </w:tr>
      <w:tr>
        <w:tc>
          <w:tcPr>
            <w:tcW w:type="dxa" w:w="4600"/>
            <w:shd w:fill="FFFFFF" w:color="auto" w:val="clear"/>
            <w:tcMar>
              <w:top w:type="dxa" w:w="90"/>
              <w:left w:type="dxa" w:w="120"/>
              <w:bottom w:type="dxa" w:w="90"/>
              <w:right w:type="dxa" w:w="120"/>
            </w:tcMar>
          </w:tcPr>
          <w:p>
            <w:pPr>
              <w:spacing w:line="252"/>
            </w:pPr>
            <w:r>
              <w:rPr>
                <w:sz w:val="19"/>
                <w:szCs w:val="19"/>
              </w:rPr>
              <w:t xml:space="preserve">Company registration / applications</w:t>
            </w:r>
          </w:p>
        </w:tc>
        <w:tc>
          <w:tcPr>
            <w:tcW w:type="dxa" w:w="4426"/>
            <w:shd w:fill="FFFFFF" w:color="auto" w:val="clear"/>
            <w:tcMar>
              <w:top w:type="dxa" w:w="90"/>
              <w:left w:type="dxa" w:w="120"/>
              <w:bottom w:type="dxa" w:w="90"/>
              <w:right w:type="dxa" w:w="120"/>
            </w:tcMar>
          </w:tcPr>
          <w:p>
            <w:pPr>
              <w:spacing w:line="252"/>
            </w:pPr>
            <w:r>
              <w:rPr>
                <w:sz w:val="19"/>
                <w:szCs w:val="19"/>
              </w:rPr>
              <w:t xml:space="preserve">No access</w:t>
            </w:r>
          </w:p>
        </w:tc>
      </w:tr>
      <w:tr>
        <w:tc>
          <w:tcPr>
            <w:tcW w:type="dxa" w:w="4600"/>
            <w:shd w:fill="F2F2F2" w:color="auto" w:val="clear"/>
            <w:tcMar>
              <w:top w:type="dxa" w:w="90"/>
              <w:left w:type="dxa" w:w="120"/>
              <w:bottom w:type="dxa" w:w="90"/>
              <w:right w:type="dxa" w:w="120"/>
            </w:tcMar>
          </w:tcPr>
          <w:p>
            <w:pPr>
              <w:spacing w:line="252"/>
            </w:pPr>
            <w:r>
              <w:rPr>
                <w:sz w:val="19"/>
                <w:szCs w:val="19"/>
              </w:rPr>
              <w:t xml:space="preserve">Technical review / issuance</w:t>
            </w:r>
          </w:p>
        </w:tc>
        <w:tc>
          <w:tcPr>
            <w:tcW w:type="dxa" w:w="4426"/>
            <w:shd w:fill="F2F2F2" w:color="auto" w:val="clear"/>
            <w:tcMar>
              <w:top w:type="dxa" w:w="90"/>
              <w:left w:type="dxa" w:w="120"/>
              <w:bottom w:type="dxa" w:w="90"/>
              <w:right w:type="dxa" w:w="120"/>
            </w:tcMar>
          </w:tcPr>
          <w:p>
            <w:pPr>
              <w:spacing w:line="252"/>
            </w:pPr>
            <w:r>
              <w:rPr>
                <w:sz w:val="19"/>
                <w:szCs w:val="19"/>
              </w:rPr>
              <w:t xml:space="preserve">No access</w:t>
            </w:r>
          </w:p>
        </w:tc>
      </w:tr>
      <w:tr>
        <w:tc>
          <w:tcPr>
            <w:tcW w:type="dxa" w:w="4600"/>
            <w:shd w:fill="FFFFFF" w:color="auto" w:val="clear"/>
            <w:tcMar>
              <w:top w:type="dxa" w:w="90"/>
              <w:left w:type="dxa" w:w="120"/>
              <w:bottom w:type="dxa" w:w="90"/>
              <w:right w:type="dxa" w:w="120"/>
            </w:tcMar>
          </w:tcPr>
          <w:p>
            <w:pPr>
              <w:spacing w:line="252"/>
            </w:pPr>
            <w:r>
              <w:rPr>
                <w:sz w:val="19"/>
                <w:szCs w:val="19"/>
              </w:rPr>
              <w:t xml:space="preserve">Billing and payment records</w:t>
            </w:r>
          </w:p>
        </w:tc>
        <w:tc>
          <w:tcPr>
            <w:tcW w:type="dxa" w:w="4426"/>
            <w:shd w:fill="FFFFFF" w:color="auto" w:val="clear"/>
            <w:tcMar>
              <w:top w:type="dxa" w:w="90"/>
              <w:left w:type="dxa" w:w="120"/>
              <w:bottom w:type="dxa" w:w="90"/>
              <w:right w:type="dxa" w:w="120"/>
            </w:tcMar>
          </w:tcPr>
          <w:p>
            <w:pPr>
              <w:spacing w:line="252"/>
            </w:pPr>
            <w:r>
              <w:rPr>
                <w:sz w:val="19"/>
                <w:szCs w:val="19"/>
              </w:rPr>
              <w:t xml:space="preserve">No access</w:t>
            </w:r>
          </w:p>
        </w:tc>
      </w:tr>
      <w:tr>
        <w:tc>
          <w:tcPr>
            <w:tcW w:type="dxa" w:w="4600"/>
            <w:shd w:fill="F2F2F2" w:color="auto" w:val="clear"/>
            <w:tcMar>
              <w:top w:type="dxa" w:w="90"/>
              <w:left w:type="dxa" w:w="120"/>
              <w:bottom w:type="dxa" w:w="90"/>
              <w:right w:type="dxa" w:w="120"/>
            </w:tcMar>
          </w:tcPr>
          <w:p>
            <w:pPr>
              <w:spacing w:line="252"/>
            </w:pPr>
            <w:r>
              <w:rPr>
                <w:sz w:val="19"/>
                <w:szCs w:val="19"/>
              </w:rPr>
              <w:t xml:space="preserve">Record books (Storage, Transport, Use, Manufacturing, Dealers)</w:t>
            </w:r>
          </w:p>
        </w:tc>
        <w:tc>
          <w:tcPr>
            <w:tcW w:type="dxa" w:w="4426"/>
            <w:shd w:fill="F2F2F2" w:color="auto" w:val="clear"/>
            <w:tcMar>
              <w:top w:type="dxa" w:w="90"/>
              <w:left w:type="dxa" w:w="120"/>
              <w:bottom w:type="dxa" w:w="90"/>
              <w:right w:type="dxa" w:w="120"/>
            </w:tcMar>
          </w:tcPr>
          <w:p>
            <w:pPr>
              <w:spacing w:line="252"/>
            </w:pPr>
            <w:r>
              <w:rPr>
                <w:sz w:val="19"/>
                <w:szCs w:val="19"/>
              </w:rPr>
              <w:t xml:space="preserve">Read only</w:t>
            </w:r>
          </w:p>
        </w:tc>
      </w:tr>
      <w:tr>
        <w:tc>
          <w:tcPr>
            <w:tcW w:type="dxa" w:w="4600"/>
            <w:shd w:fill="FFFFFF" w:color="auto" w:val="clear"/>
            <w:tcMar>
              <w:top w:type="dxa" w:w="90"/>
              <w:left w:type="dxa" w:w="120"/>
              <w:bottom w:type="dxa" w:w="90"/>
              <w:right w:type="dxa" w:w="120"/>
            </w:tcMar>
          </w:tcPr>
          <w:p>
            <w:pPr>
              <w:spacing w:line="252"/>
            </w:pPr>
            <w:r>
              <w:rPr>
                <w:sz w:val="19"/>
                <w:szCs w:val="19"/>
              </w:rPr>
              <w:t xml:space="preserve">Loss &amp; Incident Book</w:t>
            </w:r>
          </w:p>
        </w:tc>
        <w:tc>
          <w:tcPr>
            <w:tcW w:type="dxa" w:w="4426"/>
            <w:shd w:fill="FFFFFF" w:color="auto" w:val="clear"/>
            <w:tcMar>
              <w:top w:type="dxa" w:w="90"/>
              <w:left w:type="dxa" w:w="120"/>
              <w:bottom w:type="dxa" w:w="90"/>
              <w:right w:type="dxa" w:w="120"/>
            </w:tcMar>
          </w:tcPr>
          <w:p>
            <w:pPr>
              <w:spacing w:line="252"/>
            </w:pPr>
            <w:r>
              <w:rPr>
                <w:sz w:val="19"/>
                <w:szCs w:val="19"/>
              </w:rPr>
              <w:t xml:space="preserve">Read only, with automatic alert delivery</w:t>
            </w:r>
          </w:p>
        </w:tc>
      </w:tr>
      <w:tr>
        <w:tc>
          <w:tcPr>
            <w:tcW w:type="dxa" w:w="4600"/>
            <w:shd w:fill="F2F2F2" w:color="auto" w:val="clear"/>
            <w:tcMar>
              <w:top w:type="dxa" w:w="90"/>
              <w:left w:type="dxa" w:w="120"/>
              <w:bottom w:type="dxa" w:w="90"/>
              <w:right w:type="dxa" w:w="120"/>
            </w:tcMar>
          </w:tcPr>
          <w:p>
            <w:pPr>
              <w:spacing w:line="252"/>
            </w:pPr>
            <w:r>
              <w:rPr>
                <w:sz w:val="19"/>
                <w:szCs w:val="19"/>
              </w:rPr>
              <w:t xml:space="preserve">Form R inspection reports</w:t>
            </w:r>
          </w:p>
        </w:tc>
        <w:tc>
          <w:tcPr>
            <w:tcW w:type="dxa" w:w="4426"/>
            <w:shd w:fill="F2F2F2" w:color="auto" w:val="clear"/>
            <w:tcMar>
              <w:top w:type="dxa" w:w="90"/>
              <w:left w:type="dxa" w:w="120"/>
              <w:bottom w:type="dxa" w:w="90"/>
              <w:right w:type="dxa" w:w="120"/>
            </w:tcMar>
          </w:tcPr>
          <w:p>
            <w:pPr>
              <w:spacing w:line="252"/>
            </w:pPr>
            <w:r>
              <w:rPr>
                <w:sz w:val="19"/>
                <w:szCs w:val="19"/>
              </w:rPr>
              <w:t xml:space="preserve">Read only</w:t>
            </w:r>
          </w:p>
        </w:tc>
      </w:tr>
      <w:tr>
        <w:tc>
          <w:tcPr>
            <w:tcW w:type="dxa" w:w="4600"/>
            <w:shd w:fill="FFFFFF" w:color="auto" w:val="clear"/>
            <w:tcMar>
              <w:top w:type="dxa" w:w="90"/>
              <w:left w:type="dxa" w:w="120"/>
              <w:bottom w:type="dxa" w:w="90"/>
              <w:right w:type="dxa" w:w="120"/>
            </w:tcMar>
          </w:tcPr>
          <w:p>
            <w:pPr>
              <w:spacing w:line="252"/>
            </w:pPr>
            <w:r>
              <w:rPr>
                <w:sz w:val="19"/>
                <w:szCs w:val="19"/>
              </w:rPr>
              <w:t xml:space="preserve">Certification records of blasting personnel</w:t>
            </w:r>
          </w:p>
        </w:tc>
        <w:tc>
          <w:tcPr>
            <w:tcW w:type="dxa" w:w="4426"/>
            <w:shd w:fill="FFFFFF" w:color="auto" w:val="clear"/>
            <w:tcMar>
              <w:top w:type="dxa" w:w="90"/>
              <w:left w:type="dxa" w:w="120"/>
              <w:bottom w:type="dxa" w:w="90"/>
              <w:right w:type="dxa" w:w="120"/>
            </w:tcMar>
          </w:tcPr>
          <w:p>
            <w:pPr>
              <w:spacing w:line="252"/>
            </w:pPr>
            <w:r>
              <w:rPr>
                <w:sz w:val="19"/>
                <w:szCs w:val="19"/>
              </w:rPr>
              <w:t xml:space="preserve">Read only</w:t>
            </w:r>
          </w:p>
        </w:tc>
      </w:tr>
      <w:tr>
        <w:tc>
          <w:tcPr>
            <w:tcW w:type="dxa" w:w="4600"/>
            <w:shd w:fill="F2F2F2" w:color="auto" w:val="clear"/>
            <w:tcMar>
              <w:top w:type="dxa" w:w="90"/>
              <w:left w:type="dxa" w:w="120"/>
              <w:bottom w:type="dxa" w:w="90"/>
              <w:right w:type="dxa" w:w="120"/>
            </w:tcMar>
          </w:tcPr>
          <w:p>
            <w:pPr>
              <w:spacing w:line="252"/>
            </w:pPr>
            <w:r>
              <w:rPr>
                <w:sz w:val="19"/>
                <w:szCs w:val="19"/>
              </w:rPr>
              <w:t xml:space="preserve">Reports and dashboards</w:t>
            </w:r>
          </w:p>
        </w:tc>
        <w:tc>
          <w:tcPr>
            <w:tcW w:type="dxa" w:w="4426"/>
            <w:shd w:fill="F2F2F2" w:color="auto" w:val="clear"/>
            <w:tcMar>
              <w:top w:type="dxa" w:w="90"/>
              <w:left w:type="dxa" w:w="120"/>
              <w:bottom w:type="dxa" w:w="90"/>
              <w:right w:type="dxa" w:w="120"/>
            </w:tcMar>
          </w:tcPr>
          <w:p>
            <w:pPr>
              <w:spacing w:line="252"/>
            </w:pPr>
            <w:r>
              <w:rPr>
                <w:sz w:val="19"/>
                <w:szCs w:val="19"/>
              </w:rPr>
              <w:t xml:space="preserve">Read only, mine-safety-scoped views</w:t>
            </w:r>
          </w:p>
        </w:tc>
      </w:tr>
      <w:tr>
        <w:tc>
          <w:tcPr>
            <w:tcW w:type="dxa" w:w="4600"/>
            <w:shd w:fill="FFFFFF" w:color="auto" w:val="clear"/>
            <w:tcMar>
              <w:top w:type="dxa" w:w="90"/>
              <w:left w:type="dxa" w:w="120"/>
              <w:bottom w:type="dxa" w:w="90"/>
              <w:right w:type="dxa" w:w="120"/>
            </w:tcMar>
          </w:tcPr>
          <w:p>
            <w:pPr>
              <w:spacing w:line="252"/>
            </w:pPr>
            <w:r>
              <w:rPr>
                <w:sz w:val="19"/>
                <w:szCs w:val="19"/>
              </w:rPr>
              <w:t xml:space="preserve">System configuration</w:t>
            </w:r>
          </w:p>
        </w:tc>
        <w:tc>
          <w:tcPr>
            <w:tcW w:type="dxa" w:w="4426"/>
            <w:shd w:fill="FFFFFF" w:color="auto" w:val="clear"/>
            <w:tcMar>
              <w:top w:type="dxa" w:w="90"/>
              <w:left w:type="dxa" w:w="120"/>
              <w:bottom w:type="dxa" w:w="90"/>
              <w:right w:type="dxa" w:w="120"/>
            </w:tcMar>
          </w:tcPr>
          <w:p>
            <w:pPr>
              <w:spacing w:line="252"/>
            </w:pPr>
            <w:r>
              <w:rPr>
                <w:sz w:val="19"/>
                <w:szCs w:val="19"/>
              </w:rPr>
              <w:t xml:space="preserve">No access</w:t>
            </w:r>
          </w:p>
        </w:tc>
      </w:tr>
    </w:tbl>
    <w:p>
      <w:pPr>
        <w:pStyle w:val="Heading2"/>
        <w:spacing w:after="120" w:before="280"/>
      </w:pPr>
      <w:r>
        <w:rPr>
          <w:b/>
          <w:bCs/>
          <w:color w:val="1F3864"/>
          <w:sz w:val="24"/>
          <w:szCs w:val="24"/>
        </w:rPr>
        <w:t xml:space="preserve">2.2 Data segregation</w:t>
      </w:r>
    </w:p>
    <w:p>
      <w:pPr>
        <w:spacing w:after="160" w:line="276"/>
      </w:pPr>
      <w:r>
        <w:rPr>
          <w:sz w:val="21"/>
          <w:szCs w:val="21"/>
        </w:rPr>
        <w:t xml:space="preserve">The role is deliberately scoped away from commercial detail. It can see what was fired, where, by whom, and what went wrong — it cannot see prices, invoices, supplier commercial terms or company financial standing. This mirrors the separation applied to external partners such as the Ghana Police Service and international trace partners elsewhere in the system, and exists so that a mine safety function does not become, incidentally, a channel for commercially sensitive information.</w:t>
      </w:r>
    </w:p>
    <w:p>
      <w:pPr>
        <w:pStyle w:val="Heading2"/>
        <w:spacing w:after="120" w:before="280"/>
      </w:pPr>
      <w:r>
        <w:rPr>
          <w:b/>
          <w:bCs/>
          <w:color w:val="1F3864"/>
          <w:sz w:val="24"/>
          <w:szCs w:val="24"/>
        </w:rPr>
        <w:t xml:space="preserve">2.3 Authentication</w:t>
      </w:r>
    </w:p>
    <w:p>
      <w:pPr>
        <w:spacing w:after="160" w:line="276"/>
      </w:pPr>
      <w:r>
        <w:rPr>
          <w:sz w:val="21"/>
          <w:szCs w:val="21"/>
        </w:rPr>
        <w:t xml:space="preserve">Sign-in follows the same two-factor pattern applied to every Inspectorate user: credentials plus a six-digit one-time passcode delivered by email or SMS. Session behaviour, password policy and account lockout thresholds follow the Commission's standard Inspectorate Portal configuration; there is no relaxed authentication path for oversight-only roles.</w:t>
      </w:r>
    </w:p>
    <w:p>
      <w:pPr>
        <w:pStyle w:val="Heading1"/>
        <w:pBdr>
          <w:bottom w:val="single" w:color="1F3864" w:sz="8" w:space="4"/>
        </w:pBdr>
        <w:spacing w:after="160" w:before="360"/>
      </w:pPr>
      <w:r>
        <w:rPr>
          <w:b/>
          <w:bCs/>
          <w:color w:val="1F3864"/>
          <w:sz w:val="30"/>
          <w:szCs w:val="30"/>
        </w:rPr>
        <w:t xml:space="preserve">3. System Orientation</w:t>
      </w:r>
    </w:p>
    <w:p>
      <w:pPr>
        <w:pStyle w:val="Heading2"/>
        <w:spacing w:after="120" w:before="280"/>
      </w:pPr>
      <w:r>
        <w:rPr>
          <w:b/>
          <w:bCs/>
          <w:color w:val="1F3864"/>
          <w:sz w:val="24"/>
          <w:szCs w:val="24"/>
        </w:rPr>
        <w:t xml:space="preserve">3.1 Where this role sits</w:t>
      </w:r>
    </w:p>
    <w:p>
      <w:pPr>
        <w:spacing w:after="160" w:line="276"/>
      </w:pPr>
      <w:r>
        <w:rPr>
          <w:sz w:val="21"/>
          <w:szCs w:val="21"/>
        </w:rPr>
        <w:t xml:space="preserve">The system exposes three portals — Client, Inspectorate and Accounts. The Chief Inspector of Mines signs into the Inspectorate Portal and is presented with a filtered overview built specifically around mine safety indicators, rather than the full case-management workbench used by reviewing inspectors.</w:t>
      </w:r>
    </w:p>
    <w:p>
      <w:pPr>
        <w:pStyle w:val="Heading2"/>
        <w:spacing w:after="120" w:before="280"/>
      </w:pPr>
      <w:r>
        <w:rPr>
          <w:b/>
          <w:bCs/>
          <w:color w:val="1F3864"/>
          <w:sz w:val="24"/>
          <w:szCs w:val="24"/>
        </w:rPr>
        <w:t xml:space="preserve">3.2 Landing view</w:t>
      </w:r>
    </w:p>
    <w:p>
      <w:pPr>
        <w:spacing w:after="160" w:line="276"/>
      </w:pPr>
      <w:r>
        <w:rPr>
          <w:sz w:val="21"/>
          <w:szCs w:val="21"/>
        </w:rPr>
        <w:t xml:space="preserve">On sign-in, the role lands on a mine safety summary rather than a review queue: open incidents, blast activity in the preceding period, magazines currently flagged, and any inspection or certification item overdue. From this summary the role can drill into any underlying record, but cannot act on it.</w:t>
      </w:r>
    </w:p>
    <w:p>
      <w:pPr>
        <w:pStyle w:val="Heading1"/>
        <w:pBdr>
          <w:bottom w:val="single" w:color="1F3864" w:sz="8" w:space="4"/>
        </w:pBdr>
        <w:spacing w:after="160" w:before="360"/>
      </w:pPr>
      <w:r>
        <w:rPr>
          <w:b/>
          <w:bCs/>
          <w:color w:val="1F3864"/>
          <w:sz w:val="30"/>
          <w:szCs w:val="30"/>
        </w:rPr>
        <w:t xml:space="preserve">4. Data Domains Accessible</w:t>
      </w:r>
    </w:p>
    <w:p>
      <w:pPr>
        <w:spacing w:after="160" w:line="276"/>
      </w:pPr>
      <w:r>
        <w:rPr>
          <w:sz w:val="21"/>
          <w:szCs w:val="21"/>
        </w:rPr>
        <w:t xml:space="preserve">The four domains below carry the technical content relevant to mine safety oversight. Field lists reflect what is captured at the point of entry in the corresponding record book or report.</w:t>
      </w:r>
    </w:p>
    <w:p>
      <w:pPr>
        <w:pStyle w:val="Heading2"/>
        <w:spacing w:after="120" w:before="280"/>
      </w:pPr>
      <w:r>
        <w:rPr>
          <w:b/>
          <w:bCs/>
          <w:color w:val="1F3864"/>
          <w:sz w:val="24"/>
          <w:szCs w:val="24"/>
        </w:rPr>
        <w:t xml:space="preserve">4.1 Loss &amp; Incident Book</w:t>
      </w:r>
    </w:p>
    <w:p>
      <w:pPr>
        <w:spacing w:after="160" w:line="276"/>
      </w:pPr>
      <w:r>
        <w:rPr>
          <w:sz w:val="21"/>
          <w:szCs w:val="21"/>
        </w:rPr>
        <w:t xml:space="preserve">This is the primary safety-event record and the only book that triggers an automatic alert to this role on save.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800"/>
        <w:gridCol w:w="6226"/>
      </w:tblGrid>
      <w:tr>
        <w:trPr>
          <w:tblHeader/>
        </w:trPr>
        <w:tc>
          <w:tcPr>
            <w:tcW w:type="dxa" w:w="2800"/>
            <w:shd w:fill="1F3864" w:color="auto" w:val="clear"/>
            <w:tcMar>
              <w:top w:type="dxa" w:w="100"/>
              <w:left w:type="dxa" w:w="120"/>
              <w:bottom w:type="dxa" w:w="100"/>
              <w:right w:type="dxa" w:w="120"/>
            </w:tcMar>
          </w:tcPr>
          <w:p>
            <w:r>
              <w:rPr>
                <w:b/>
                <w:bCs/>
                <w:color w:val="FFFFFF"/>
                <w:sz w:val="19"/>
                <w:szCs w:val="19"/>
              </w:rPr>
              <w:t xml:space="preserve">Field</w:t>
            </w:r>
          </w:p>
        </w:tc>
        <w:tc>
          <w:tcPr>
            <w:tcW w:type="dxa" w:w="6226"/>
            <w:shd w:fill="1F3864" w:color="auto" w:val="clear"/>
            <w:tcMar>
              <w:top w:type="dxa" w:w="100"/>
              <w:left w:type="dxa" w:w="120"/>
              <w:bottom w:type="dxa" w:w="100"/>
              <w:right w:type="dxa" w:w="120"/>
            </w:tcMar>
          </w:tcPr>
          <w:p>
            <w:r>
              <w:rPr>
                <w:b/>
                <w:bCs/>
                <w:color w:val="FFFFFF"/>
                <w:sz w:val="19"/>
                <w:szCs w:val="19"/>
              </w:rPr>
              <w:t xml:space="preserve">Content</w:t>
            </w:r>
          </w:p>
        </w:tc>
      </w:tr>
      <w:tr>
        <w:tc>
          <w:tcPr>
            <w:tcW w:type="dxa" w:w="2800"/>
            <w:shd w:fill="FFFFFF" w:color="auto" w:val="clear"/>
            <w:tcMar>
              <w:top w:type="dxa" w:w="90"/>
              <w:left w:type="dxa" w:w="120"/>
              <w:bottom w:type="dxa" w:w="90"/>
              <w:right w:type="dxa" w:w="120"/>
            </w:tcMar>
          </w:tcPr>
          <w:p>
            <w:pPr>
              <w:spacing w:line="252"/>
            </w:pPr>
            <w:r>
              <w:rPr>
                <w:sz w:val="19"/>
                <w:szCs w:val="19"/>
              </w:rPr>
              <w:t xml:space="preserve">Event type</w:t>
            </w:r>
          </w:p>
        </w:tc>
        <w:tc>
          <w:tcPr>
            <w:tcW w:type="dxa" w:w="6226"/>
            <w:shd w:fill="FFFFFF" w:color="auto" w:val="clear"/>
            <w:tcMar>
              <w:top w:type="dxa" w:w="90"/>
              <w:left w:type="dxa" w:w="120"/>
              <w:bottom w:type="dxa" w:w="90"/>
              <w:right w:type="dxa" w:w="120"/>
            </w:tcMar>
          </w:tcPr>
          <w:p>
            <w:pPr>
              <w:spacing w:line="252"/>
            </w:pPr>
            <w:r>
              <w:rPr>
                <w:sz w:val="19"/>
                <w:szCs w:val="19"/>
              </w:rPr>
              <w:t xml:space="preserve">Loss, theft, magazine break-in, misfire, or premature detonation</w:t>
            </w:r>
          </w:p>
        </w:tc>
      </w:tr>
      <w:tr>
        <w:tc>
          <w:tcPr>
            <w:tcW w:type="dxa" w:w="2800"/>
            <w:shd w:fill="F2F2F2" w:color="auto" w:val="clear"/>
            <w:tcMar>
              <w:top w:type="dxa" w:w="90"/>
              <w:left w:type="dxa" w:w="120"/>
              <w:bottom w:type="dxa" w:w="90"/>
              <w:right w:type="dxa" w:w="120"/>
            </w:tcMar>
          </w:tcPr>
          <w:p>
            <w:pPr>
              <w:spacing w:line="252"/>
            </w:pPr>
            <w:r>
              <w:rPr>
                <w:sz w:val="19"/>
                <w:szCs w:val="19"/>
              </w:rPr>
              <w:t xml:space="preserve">Location</w:t>
            </w:r>
          </w:p>
        </w:tc>
        <w:tc>
          <w:tcPr>
            <w:tcW w:type="dxa" w:w="6226"/>
            <w:shd w:fill="F2F2F2" w:color="auto" w:val="clear"/>
            <w:tcMar>
              <w:top w:type="dxa" w:w="90"/>
              <w:left w:type="dxa" w:w="120"/>
              <w:bottom w:type="dxa" w:w="90"/>
              <w:right w:type="dxa" w:w="120"/>
            </w:tcMar>
          </w:tcPr>
          <w:p>
            <w:pPr>
              <w:spacing w:line="252"/>
            </w:pPr>
            <w:r>
              <w:rPr>
                <w:sz w:val="19"/>
                <w:szCs w:val="19"/>
              </w:rPr>
              <w:t xml:space="preserve">Magazine, plant or blast site reference, including pit and bench where applicable</w:t>
            </w:r>
          </w:p>
        </w:tc>
      </w:tr>
      <w:tr>
        <w:tc>
          <w:tcPr>
            <w:tcW w:type="dxa" w:w="2800"/>
            <w:shd w:fill="FFFFFF" w:color="auto" w:val="clear"/>
            <w:tcMar>
              <w:top w:type="dxa" w:w="90"/>
              <w:left w:type="dxa" w:w="120"/>
              <w:bottom w:type="dxa" w:w="90"/>
              <w:right w:type="dxa" w:w="120"/>
            </w:tcMar>
          </w:tcPr>
          <w:p>
            <w:pPr>
              <w:spacing w:line="252"/>
            </w:pPr>
            <w:r>
              <w:rPr>
                <w:sz w:val="19"/>
                <w:szCs w:val="19"/>
              </w:rPr>
              <w:t xml:space="preserve">Date and time</w:t>
            </w:r>
          </w:p>
        </w:tc>
        <w:tc>
          <w:tcPr>
            <w:tcW w:type="dxa" w:w="6226"/>
            <w:shd w:fill="FFFFFF" w:color="auto" w:val="clear"/>
            <w:tcMar>
              <w:top w:type="dxa" w:w="90"/>
              <w:left w:type="dxa" w:w="120"/>
              <w:bottom w:type="dxa" w:w="90"/>
              <w:right w:type="dxa" w:w="120"/>
            </w:tcMar>
          </w:tcPr>
          <w:p>
            <w:pPr>
              <w:spacing w:line="252"/>
            </w:pPr>
            <w:r>
              <w:rPr>
                <w:sz w:val="19"/>
                <w:szCs w:val="19"/>
              </w:rPr>
              <w:t xml:space="preserve">Timestamp of occurrence as reported, and timestamp of record entry</w:t>
            </w:r>
          </w:p>
        </w:tc>
      </w:tr>
      <w:tr>
        <w:tc>
          <w:tcPr>
            <w:tcW w:type="dxa" w:w="2800"/>
            <w:shd w:fill="F2F2F2" w:color="auto" w:val="clear"/>
            <w:tcMar>
              <w:top w:type="dxa" w:w="90"/>
              <w:left w:type="dxa" w:w="120"/>
              <w:bottom w:type="dxa" w:w="90"/>
              <w:right w:type="dxa" w:w="120"/>
            </w:tcMar>
          </w:tcPr>
          <w:p>
            <w:pPr>
              <w:spacing w:line="252"/>
            </w:pPr>
            <w:r>
              <w:rPr>
                <w:sz w:val="19"/>
                <w:szCs w:val="19"/>
              </w:rPr>
              <w:t xml:space="preserve">Material involved</w:t>
            </w:r>
          </w:p>
        </w:tc>
        <w:tc>
          <w:tcPr>
            <w:tcW w:type="dxa" w:w="6226"/>
            <w:shd w:fill="F2F2F2" w:color="auto" w:val="clear"/>
            <w:tcMar>
              <w:top w:type="dxa" w:w="90"/>
              <w:left w:type="dxa" w:w="120"/>
              <w:bottom w:type="dxa" w:w="90"/>
              <w:right w:type="dxa" w:w="120"/>
            </w:tcMar>
          </w:tcPr>
          <w:p>
            <w:pPr>
              <w:spacing w:line="252"/>
            </w:pPr>
            <w:r>
              <w:rPr>
                <w:sz w:val="19"/>
                <w:szCs w:val="19"/>
              </w:rPr>
              <w:t xml:space="preserve">Explosive type, UN code, and quantity</w:t>
            </w:r>
          </w:p>
        </w:tc>
      </w:tr>
      <w:tr>
        <w:tc>
          <w:tcPr>
            <w:tcW w:type="dxa" w:w="2800"/>
            <w:shd w:fill="FFFFFF" w:color="auto" w:val="clear"/>
            <w:tcMar>
              <w:top w:type="dxa" w:w="90"/>
              <w:left w:type="dxa" w:w="120"/>
              <w:bottom w:type="dxa" w:w="90"/>
              <w:right w:type="dxa" w:w="120"/>
            </w:tcMar>
          </w:tcPr>
          <w:p>
            <w:pPr>
              <w:spacing w:line="252"/>
            </w:pPr>
            <w:r>
              <w:rPr>
                <w:sz w:val="19"/>
                <w:szCs w:val="19"/>
              </w:rPr>
              <w:t xml:space="preserve">Reporting officer</w:t>
            </w:r>
          </w:p>
        </w:tc>
        <w:tc>
          <w:tcPr>
            <w:tcW w:type="dxa" w:w="6226"/>
            <w:shd w:fill="FFFFFF" w:color="auto" w:val="clear"/>
            <w:tcMar>
              <w:top w:type="dxa" w:w="90"/>
              <w:left w:type="dxa" w:w="120"/>
              <w:bottom w:type="dxa" w:w="90"/>
              <w:right w:type="dxa" w:w="120"/>
            </w:tcMar>
          </w:tcPr>
          <w:p>
            <w:pPr>
              <w:spacing w:line="252"/>
            </w:pPr>
            <w:r>
              <w:rPr>
                <w:sz w:val="19"/>
                <w:szCs w:val="19"/>
              </w:rPr>
              <w:t xml:space="preserve">Site or Safety Manager identity, authenticated at entry</w:t>
            </w:r>
          </w:p>
        </w:tc>
      </w:tr>
      <w:tr>
        <w:tc>
          <w:tcPr>
            <w:tcW w:type="dxa" w:w="2800"/>
            <w:shd w:fill="F2F2F2" w:color="auto" w:val="clear"/>
            <w:tcMar>
              <w:top w:type="dxa" w:w="90"/>
              <w:left w:type="dxa" w:w="120"/>
              <w:bottom w:type="dxa" w:w="90"/>
              <w:right w:type="dxa" w:w="120"/>
            </w:tcMar>
          </w:tcPr>
          <w:p>
            <w:pPr>
              <w:spacing w:line="252"/>
            </w:pPr>
            <w:r>
              <w:rPr>
                <w:sz w:val="19"/>
                <w:szCs w:val="19"/>
              </w:rPr>
              <w:t xml:space="preserve">Police station notified</w:t>
            </w:r>
          </w:p>
        </w:tc>
        <w:tc>
          <w:tcPr>
            <w:tcW w:type="dxa" w:w="6226"/>
            <w:shd w:fill="F2F2F2" w:color="auto" w:val="clear"/>
            <w:tcMar>
              <w:top w:type="dxa" w:w="90"/>
              <w:left w:type="dxa" w:w="120"/>
              <w:bottom w:type="dxa" w:w="90"/>
              <w:right w:type="dxa" w:w="120"/>
            </w:tcMar>
          </w:tcPr>
          <w:p>
            <w:pPr>
              <w:spacing w:line="252"/>
            </w:pPr>
            <w:r>
              <w:rPr>
                <w:sz w:val="19"/>
                <w:szCs w:val="19"/>
              </w:rPr>
              <w:t xml:space="preserve">Station name and reference, where applicable</w:t>
            </w:r>
          </w:p>
        </w:tc>
      </w:tr>
      <w:tr>
        <w:tc>
          <w:tcPr>
            <w:tcW w:type="dxa" w:w="2800"/>
            <w:shd w:fill="FFFFFF" w:color="auto" w:val="clear"/>
            <w:tcMar>
              <w:top w:type="dxa" w:w="90"/>
              <w:left w:type="dxa" w:w="120"/>
              <w:bottom w:type="dxa" w:w="90"/>
              <w:right w:type="dxa" w:w="120"/>
            </w:tcMar>
          </w:tcPr>
          <w:p>
            <w:pPr>
              <w:spacing w:line="252"/>
            </w:pPr>
            <w:r>
              <w:rPr>
                <w:sz w:val="19"/>
                <w:szCs w:val="19"/>
              </w:rPr>
              <w:t xml:space="preserve">Containment action</w:t>
            </w:r>
          </w:p>
        </w:tc>
        <w:tc>
          <w:tcPr>
            <w:tcW w:type="dxa" w:w="6226"/>
            <w:shd w:fill="FFFFFF" w:color="auto" w:val="clear"/>
            <w:tcMar>
              <w:top w:type="dxa" w:w="90"/>
              <w:left w:type="dxa" w:w="120"/>
              <w:bottom w:type="dxa" w:w="90"/>
              <w:right w:type="dxa" w:w="120"/>
            </w:tcMar>
          </w:tcPr>
          <w:p>
            <w:pPr>
              <w:spacing w:line="252"/>
            </w:pPr>
            <w:r>
              <w:rPr>
                <w:sz w:val="19"/>
                <w:szCs w:val="19"/>
              </w:rPr>
              <w:t xml:space="preserve">Immediate action taken on site, as recorded by the reporting officer</w:t>
            </w:r>
          </w:p>
        </w:tc>
      </w:tr>
      <w:tr>
        <w:tc>
          <w:tcPr>
            <w:tcW w:type="dxa" w:w="2800"/>
            <w:shd w:fill="F2F2F2" w:color="auto" w:val="clear"/>
            <w:tcMar>
              <w:top w:type="dxa" w:w="90"/>
              <w:left w:type="dxa" w:w="120"/>
              <w:bottom w:type="dxa" w:w="90"/>
              <w:right w:type="dxa" w:w="120"/>
            </w:tcMar>
          </w:tcPr>
          <w:p>
            <w:pPr>
              <w:spacing w:line="252"/>
            </w:pPr>
            <w:r>
              <w:rPr>
                <w:sz w:val="19"/>
                <w:szCs w:val="19"/>
              </w:rPr>
              <w:t xml:space="preserve">Record status</w:t>
            </w:r>
          </w:p>
        </w:tc>
        <w:tc>
          <w:tcPr>
            <w:tcW w:type="dxa" w:w="6226"/>
            <w:shd w:fill="F2F2F2" w:color="auto" w:val="clear"/>
            <w:tcMar>
              <w:top w:type="dxa" w:w="90"/>
              <w:left w:type="dxa" w:w="120"/>
              <w:bottom w:type="dxa" w:w="90"/>
              <w:right w:type="dxa" w:w="120"/>
            </w:tcMar>
          </w:tcPr>
          <w:p>
            <w:pPr>
              <w:spacing w:line="252"/>
            </w:pPr>
            <w:r>
              <w:rPr>
                <w:sz w:val="19"/>
                <w:szCs w:val="19"/>
              </w:rPr>
              <w:t xml:space="preserve">Open, under investigation, or closed</w:t>
            </w:r>
          </w:p>
        </w:tc>
      </w:tr>
    </w:tbl>
    <w:p>
      <w:pPr>
        <w:pStyle w:val="Heading2"/>
        <w:spacing w:after="120" w:before="280"/>
      </w:pPr>
      <w:r>
        <w:rPr>
          <w:b/>
          <w:bCs/>
          <w:color w:val="1F3864"/>
          <w:sz w:val="24"/>
          <w:szCs w:val="24"/>
        </w:rPr>
        <w:t xml:space="preserve">4.2 Use Book (blast records)</w:t>
      </w:r>
    </w:p>
    <w:p>
      <w:pPr>
        <w:spacing w:after="160" w:line="276"/>
      </w:pPr>
      <w:r>
        <w:rPr>
          <w:sz w:val="21"/>
          <w:szCs w:val="21"/>
        </w:rPr>
        <w:t xml:space="preserve">Kept by the certified Blasting Officer, this is the record of every blast fired against a valid permit.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800"/>
        <w:gridCol w:w="6226"/>
      </w:tblGrid>
      <w:tr>
        <w:trPr>
          <w:tblHeader/>
        </w:trPr>
        <w:tc>
          <w:tcPr>
            <w:tcW w:type="dxa" w:w="2800"/>
            <w:shd w:fill="1F3864" w:color="auto" w:val="clear"/>
            <w:tcMar>
              <w:top w:type="dxa" w:w="100"/>
              <w:left w:type="dxa" w:w="120"/>
              <w:bottom w:type="dxa" w:w="100"/>
              <w:right w:type="dxa" w:w="120"/>
            </w:tcMar>
          </w:tcPr>
          <w:p>
            <w:r>
              <w:rPr>
                <w:b/>
                <w:bCs/>
                <w:color w:val="FFFFFF"/>
                <w:sz w:val="19"/>
                <w:szCs w:val="19"/>
              </w:rPr>
              <w:t xml:space="preserve">Field</w:t>
            </w:r>
          </w:p>
        </w:tc>
        <w:tc>
          <w:tcPr>
            <w:tcW w:type="dxa" w:w="6226"/>
            <w:shd w:fill="1F3864" w:color="auto" w:val="clear"/>
            <w:tcMar>
              <w:top w:type="dxa" w:w="100"/>
              <w:left w:type="dxa" w:w="120"/>
              <w:bottom w:type="dxa" w:w="100"/>
              <w:right w:type="dxa" w:w="120"/>
            </w:tcMar>
          </w:tcPr>
          <w:p>
            <w:r>
              <w:rPr>
                <w:b/>
                <w:bCs/>
                <w:color w:val="FFFFFF"/>
                <w:sz w:val="19"/>
                <w:szCs w:val="19"/>
              </w:rPr>
              <w:t xml:space="preserve">Content</w:t>
            </w:r>
          </w:p>
        </w:tc>
      </w:tr>
      <w:tr>
        <w:tc>
          <w:tcPr>
            <w:tcW w:type="dxa" w:w="2800"/>
            <w:shd w:fill="FFFFFF" w:color="auto" w:val="clear"/>
            <w:tcMar>
              <w:top w:type="dxa" w:w="90"/>
              <w:left w:type="dxa" w:w="120"/>
              <w:bottom w:type="dxa" w:w="90"/>
              <w:right w:type="dxa" w:w="120"/>
            </w:tcMar>
          </w:tcPr>
          <w:p>
            <w:pPr>
              <w:spacing w:line="252"/>
            </w:pPr>
            <w:r>
              <w:rPr>
                <w:sz w:val="19"/>
                <w:szCs w:val="19"/>
              </w:rPr>
              <w:t xml:space="preserve">Blast location</w:t>
            </w:r>
          </w:p>
        </w:tc>
        <w:tc>
          <w:tcPr>
            <w:tcW w:type="dxa" w:w="6226"/>
            <w:shd w:fill="FFFFFF" w:color="auto" w:val="clear"/>
            <w:tcMar>
              <w:top w:type="dxa" w:w="90"/>
              <w:left w:type="dxa" w:w="120"/>
              <w:bottom w:type="dxa" w:w="90"/>
              <w:right w:type="dxa" w:w="120"/>
            </w:tcMar>
          </w:tcPr>
          <w:p>
            <w:pPr>
              <w:spacing w:line="252"/>
            </w:pPr>
            <w:r>
              <w:rPr>
                <w:sz w:val="19"/>
                <w:szCs w:val="19"/>
              </w:rPr>
              <w:t xml:space="preserve">Pit and bench reference</w:t>
            </w:r>
          </w:p>
        </w:tc>
      </w:tr>
      <w:tr>
        <w:tc>
          <w:tcPr>
            <w:tcW w:type="dxa" w:w="2800"/>
            <w:shd w:fill="F2F2F2" w:color="auto" w:val="clear"/>
            <w:tcMar>
              <w:top w:type="dxa" w:w="90"/>
              <w:left w:type="dxa" w:w="120"/>
              <w:bottom w:type="dxa" w:w="90"/>
              <w:right w:type="dxa" w:w="120"/>
            </w:tcMar>
          </w:tcPr>
          <w:p>
            <w:pPr>
              <w:spacing w:line="252"/>
            </w:pPr>
            <w:r>
              <w:rPr>
                <w:sz w:val="19"/>
                <w:szCs w:val="19"/>
              </w:rPr>
              <w:t xml:space="preserve">Firing officer</w:t>
            </w:r>
          </w:p>
        </w:tc>
        <w:tc>
          <w:tcPr>
            <w:tcW w:type="dxa" w:w="6226"/>
            <w:shd w:fill="F2F2F2" w:color="auto" w:val="clear"/>
            <w:tcMar>
              <w:top w:type="dxa" w:w="90"/>
              <w:left w:type="dxa" w:w="120"/>
              <w:bottom w:type="dxa" w:w="90"/>
              <w:right w:type="dxa" w:w="120"/>
            </w:tcMar>
          </w:tcPr>
          <w:p>
            <w:pPr>
              <w:spacing w:line="252"/>
            </w:pPr>
            <w:r>
              <w:rPr>
                <w:sz w:val="19"/>
                <w:szCs w:val="19"/>
              </w:rPr>
              <w:t xml:space="preserve">Certified officer identity and certificate number</w:t>
            </w:r>
          </w:p>
        </w:tc>
      </w:tr>
      <w:tr>
        <w:tc>
          <w:tcPr>
            <w:tcW w:type="dxa" w:w="2800"/>
            <w:shd w:fill="FFFFFF" w:color="auto" w:val="clear"/>
            <w:tcMar>
              <w:top w:type="dxa" w:w="90"/>
              <w:left w:type="dxa" w:w="120"/>
              <w:bottom w:type="dxa" w:w="90"/>
              <w:right w:type="dxa" w:w="120"/>
            </w:tcMar>
          </w:tcPr>
          <w:p>
            <w:pPr>
              <w:spacing w:line="252"/>
            </w:pPr>
            <w:r>
              <w:rPr>
                <w:sz w:val="19"/>
                <w:szCs w:val="19"/>
              </w:rPr>
              <w:t xml:space="preserve">Material consumed</w:t>
            </w:r>
          </w:p>
        </w:tc>
        <w:tc>
          <w:tcPr>
            <w:tcW w:type="dxa" w:w="6226"/>
            <w:shd w:fill="FFFFFF" w:color="auto" w:val="clear"/>
            <w:tcMar>
              <w:top w:type="dxa" w:w="90"/>
              <w:left w:type="dxa" w:w="120"/>
              <w:bottom w:type="dxa" w:w="90"/>
              <w:right w:type="dxa" w:w="120"/>
            </w:tcMar>
          </w:tcPr>
          <w:p>
            <w:pPr>
              <w:spacing w:line="252"/>
            </w:pPr>
            <w:r>
              <w:rPr>
                <w:sz w:val="19"/>
                <w:szCs w:val="19"/>
              </w:rPr>
              <w:t xml:space="preserve">Quantities of each explosive product used</w:t>
            </w:r>
          </w:p>
        </w:tc>
      </w:tr>
      <w:tr>
        <w:tc>
          <w:tcPr>
            <w:tcW w:type="dxa" w:w="2800"/>
            <w:shd w:fill="F2F2F2" w:color="auto" w:val="clear"/>
            <w:tcMar>
              <w:top w:type="dxa" w:w="90"/>
              <w:left w:type="dxa" w:w="120"/>
              <w:bottom w:type="dxa" w:w="90"/>
              <w:right w:type="dxa" w:w="120"/>
            </w:tcMar>
          </w:tcPr>
          <w:p>
            <w:pPr>
              <w:spacing w:line="252"/>
            </w:pPr>
            <w:r>
              <w:rPr>
                <w:sz w:val="19"/>
                <w:szCs w:val="19"/>
              </w:rPr>
              <w:t xml:space="preserve">Misfire outcome</w:t>
            </w:r>
          </w:p>
        </w:tc>
        <w:tc>
          <w:tcPr>
            <w:tcW w:type="dxa" w:w="6226"/>
            <w:shd w:fill="F2F2F2" w:color="auto" w:val="clear"/>
            <w:tcMar>
              <w:top w:type="dxa" w:w="90"/>
              <w:left w:type="dxa" w:w="120"/>
              <w:bottom w:type="dxa" w:w="90"/>
              <w:right w:type="dxa" w:w="120"/>
            </w:tcMar>
          </w:tcPr>
          <w:p>
            <w:pPr>
              <w:spacing w:line="252"/>
            </w:pPr>
            <w:r>
              <w:rPr>
                <w:sz w:val="19"/>
                <w:szCs w:val="19"/>
              </w:rPr>
              <w:t xml:space="preserve">Result of post-blast misfire inspection</w:t>
            </w:r>
          </w:p>
        </w:tc>
      </w:tr>
      <w:tr>
        <w:tc>
          <w:tcPr>
            <w:tcW w:type="dxa" w:w="2800"/>
            <w:shd w:fill="FFFFFF" w:color="auto" w:val="clear"/>
            <w:tcMar>
              <w:top w:type="dxa" w:w="90"/>
              <w:left w:type="dxa" w:w="120"/>
              <w:bottom w:type="dxa" w:w="90"/>
              <w:right w:type="dxa" w:w="120"/>
            </w:tcMar>
          </w:tcPr>
          <w:p>
            <w:pPr>
              <w:spacing w:line="252"/>
            </w:pPr>
            <w:r>
              <w:rPr>
                <w:sz w:val="19"/>
                <w:szCs w:val="19"/>
              </w:rPr>
              <w:t xml:space="preserve">Monitoring readings</w:t>
            </w:r>
          </w:p>
        </w:tc>
        <w:tc>
          <w:tcPr>
            <w:tcW w:type="dxa" w:w="6226"/>
            <w:shd w:fill="FFFFFF" w:color="auto" w:val="clear"/>
            <w:tcMar>
              <w:top w:type="dxa" w:w="90"/>
              <w:left w:type="dxa" w:w="120"/>
              <w:bottom w:type="dxa" w:w="90"/>
              <w:right w:type="dxa" w:w="120"/>
            </w:tcMar>
          </w:tcPr>
          <w:p>
            <w:pPr>
              <w:spacing w:line="252"/>
            </w:pPr>
            <w:r>
              <w:rPr>
                <w:sz w:val="19"/>
                <w:szCs w:val="19"/>
              </w:rPr>
              <w:t xml:space="preserve">Vibration and airblast readings, where monitored</w:t>
            </w:r>
          </w:p>
        </w:tc>
      </w:tr>
      <w:tr>
        <w:tc>
          <w:tcPr>
            <w:tcW w:type="dxa" w:w="2800"/>
            <w:shd w:fill="F2F2F2" w:color="auto" w:val="clear"/>
            <w:tcMar>
              <w:top w:type="dxa" w:w="90"/>
              <w:left w:type="dxa" w:w="120"/>
              <w:bottom w:type="dxa" w:w="90"/>
              <w:right w:type="dxa" w:w="120"/>
            </w:tcMar>
          </w:tcPr>
          <w:p>
            <w:pPr>
              <w:spacing w:line="252"/>
            </w:pPr>
            <w:r>
              <w:rPr>
                <w:sz w:val="19"/>
                <w:szCs w:val="19"/>
              </w:rPr>
              <w:t xml:space="preserve">Permit reference</w:t>
            </w:r>
          </w:p>
        </w:tc>
        <w:tc>
          <w:tcPr>
            <w:tcW w:type="dxa" w:w="6226"/>
            <w:shd w:fill="F2F2F2" w:color="auto" w:val="clear"/>
            <w:tcMar>
              <w:top w:type="dxa" w:w="90"/>
              <w:left w:type="dxa" w:w="120"/>
              <w:bottom w:type="dxa" w:w="90"/>
              <w:right w:type="dxa" w:w="120"/>
            </w:tcMar>
          </w:tcPr>
          <w:p>
            <w:pPr>
              <w:spacing w:line="252"/>
            </w:pPr>
            <w:r>
              <w:rPr>
                <w:sz w:val="19"/>
                <w:szCs w:val="19"/>
              </w:rPr>
              <w:t xml:space="preserve">The purchase-and-use or blasting-firm permit the blast was fired under</w:t>
            </w:r>
          </w:p>
        </w:tc>
      </w:tr>
    </w:tbl>
    <w:p>
      <w:pPr>
        <w:pStyle w:val="Heading2"/>
        <w:spacing w:after="120" w:before="280"/>
      </w:pPr>
      <w:r>
        <w:rPr>
          <w:b/>
          <w:bCs/>
          <w:color w:val="1F3864"/>
          <w:sz w:val="24"/>
          <w:szCs w:val="24"/>
        </w:rPr>
        <w:t xml:space="preserve">4.3 Form R inspection reports</w:t>
      </w:r>
    </w:p>
    <w:p>
      <w:pPr>
        <w:spacing w:after="160" w:line="276"/>
      </w:pPr>
      <w:r>
        <w:rPr>
          <w:sz w:val="21"/>
          <w:szCs w:val="21"/>
        </w:rPr>
        <w:t xml:space="preserve">Digital inspection reports completed by Regional Inspectors during or immediately after a site visit, covering physical integrity, safety distances, protective mounding, security arrangements, internal layout and a stock reconciliation against the Storage Book balance. The Chief Inspector of Mines sees the completed report and its outcome, not the scheduling or assignment workflow behind it.</w:t>
      </w:r>
    </w:p>
    <w:p>
      <w:pPr>
        <w:pStyle w:val="Heading2"/>
        <w:spacing w:after="120" w:before="280"/>
      </w:pPr>
      <w:r>
        <w:rPr>
          <w:b/>
          <w:bCs/>
          <w:color w:val="1F3864"/>
          <w:sz w:val="24"/>
          <w:szCs w:val="24"/>
        </w:rPr>
        <w:t xml:space="preserve">4.4 Certification records</w:t>
      </w:r>
    </w:p>
    <w:p>
      <w:pPr>
        <w:spacing w:after="160" w:line="276"/>
      </w:pPr>
      <w:r>
        <w:rPr>
          <w:sz w:val="21"/>
          <w:szCs w:val="21"/>
        </w:rPr>
        <w:t xml:space="preserve">Each certified blasting or magazine officer's record — certificate number, examination result, issue date, validity period and current status — is visible so that a firing officer's standing can be checked against any blast record without a separate request to the Board of Examiners.</w:t>
      </w:r>
    </w:p>
    <w:p>
      <w:pPr>
        <w:pStyle w:val="Heading1"/>
        <w:pBdr>
          <w:bottom w:val="single" w:color="1F3864" w:sz="8" w:space="4"/>
        </w:pBdr>
        <w:spacing w:after="160" w:before="360"/>
      </w:pPr>
      <w:r>
        <w:rPr>
          <w:b/>
          <w:bCs/>
          <w:color w:val="1F3864"/>
          <w:sz w:val="30"/>
          <w:szCs w:val="30"/>
        </w:rPr>
        <w:t xml:space="preserve">5. Real-Time Alerting</w:t>
      </w:r>
    </w:p>
    <w:p>
      <w:pPr>
        <w:pStyle w:val="Heading2"/>
        <w:spacing w:after="120" w:before="280"/>
      </w:pPr>
      <w:r>
        <w:rPr>
          <w:b/>
          <w:bCs/>
          <w:color w:val="1F3864"/>
          <w:sz w:val="24"/>
          <w:szCs w:val="24"/>
        </w:rPr>
        <w:t xml:space="preserve">5.1 Trigger condition</w:t>
      </w:r>
    </w:p>
    <w:p>
      <w:pPr>
        <w:spacing w:after="160" w:line="276"/>
      </w:pPr>
      <w:r>
        <w:rPr>
          <w:sz w:val="21"/>
          <w:szCs w:val="21"/>
        </w:rPr>
        <w:t xml:space="preserve">An alert to the Chief Inspector of Mines is generated the moment a Loss &amp; Incident Book entry is saved. There is no batching, no daily digest and no dependency on an inspector reviewing the entry first — the trigger fires directly off the save action on the record itself.</w:t>
      </w:r>
    </w:p>
    <w:p>
      <w:pPr>
        <w:pStyle w:val="Heading2"/>
        <w:spacing w:after="120" w:before="280"/>
      </w:pPr>
      <w:r>
        <w:rPr>
          <w:b/>
          <w:bCs/>
          <w:color w:val="1F3864"/>
          <w:sz w:val="24"/>
          <w:szCs w:val="24"/>
        </w:rPr>
        <w:t xml:space="preserve">5.2 Escalation set</w:t>
      </w:r>
    </w:p>
    <w:p>
      <w:pPr>
        <w:spacing w:after="160" w:line="276"/>
      </w:pPr>
      <w:r>
        <w:rPr>
          <w:sz w:val="21"/>
          <w:szCs w:val="21"/>
        </w:rPr>
        <w:t xml:space="preserve">The same event triggers a coordinated set of notifications rather than a single message:</w:t>
      </w:r>
    </w:p>
    <w:p>
      <w:pPr>
        <w:pStyle w:val="ListParagraph"/>
        <w:numPr>
          <w:ilvl w:val="0"/>
          <w:numId w:val="2"/>
        </w:numPr>
        <w:spacing w:after="80" w:line="264"/>
      </w:pPr>
      <w:r>
        <w:rPr>
          <w:sz w:val="21"/>
          <w:szCs w:val="21"/>
        </w:rPr>
        <w:t xml:space="preserve">Chief Inspector of Mines — SMS and email, immediate.</w:t>
      </w:r>
    </w:p>
    <w:p>
      <w:pPr>
        <w:pStyle w:val="ListParagraph"/>
        <w:numPr>
          <w:ilvl w:val="0"/>
          <w:numId w:val="2"/>
        </w:numPr>
        <w:spacing w:after="80" w:line="264"/>
      </w:pPr>
      <w:r>
        <w:rPr>
          <w:sz w:val="21"/>
          <w:szCs w:val="21"/>
        </w:rPr>
        <w:t xml:space="preserve">Chief Inspector of Explosives — SMS and email, immediate.</w:t>
      </w:r>
    </w:p>
    <w:p>
      <w:pPr>
        <w:pStyle w:val="ListParagraph"/>
        <w:numPr>
          <w:ilvl w:val="0"/>
          <w:numId w:val="2"/>
        </w:numPr>
        <w:spacing w:after="80" w:line="264"/>
      </w:pPr>
      <w:r>
        <w:rPr>
          <w:sz w:val="21"/>
          <w:szCs w:val="21"/>
        </w:rPr>
        <w:t xml:space="preserve">Ghana Police Service and relevant security agencies — notification per the incident type.</w:t>
      </w:r>
    </w:p>
    <w:p>
      <w:pPr>
        <w:pStyle w:val="ListParagraph"/>
        <w:numPr>
          <w:ilvl w:val="0"/>
          <w:numId w:val="2"/>
        </w:numPr>
        <w:spacing w:after="80" w:line="264"/>
      </w:pPr>
      <w:r>
        <w:rPr>
          <w:sz w:val="21"/>
          <w:szCs w:val="21"/>
        </w:rPr>
        <w:t xml:space="preserve">The affected magazine or blast site — automatically frozen pending investigation.</w:t>
      </w:r>
    </w:p>
    <w:p>
      <w:pPr>
        <w:pStyle w:val="ListParagraph"/>
        <w:numPr>
          <w:ilvl w:val="0"/>
          <w:numId w:val="2"/>
        </w:numPr>
        <w:spacing w:after="80" w:line="264"/>
      </w:pPr>
      <w:r>
        <w:rPr>
          <w:sz w:val="21"/>
          <w:szCs w:val="21"/>
        </w:rPr>
        <w:t xml:space="preserve">An Inspectorate field investigation — opened against the incident record.</w:t>
      </w:r>
    </w:p>
    <w:p>
      <w:pPr>
        <w:pStyle w:val="Heading2"/>
        <w:spacing w:after="120" w:before="280"/>
      </w:pPr>
      <w:r>
        <w:rPr>
          <w:b/>
          <w:bCs/>
          <w:color w:val="1F3864"/>
          <w:sz w:val="24"/>
          <w:szCs w:val="24"/>
        </w:rPr>
        <w:t xml:space="preserve">5.3 Alert content</w:t>
      </w:r>
    </w:p>
    <w:p>
      <w:pPr>
        <w:spacing w:after="160" w:line="276"/>
      </w:pPr>
      <w:r>
        <w:rPr>
          <w:sz w:val="21"/>
          <w:szCs w:val="21"/>
        </w:rPr>
        <w:t xml:space="preserve">The notification carries the event type, location, material and quantity involved, and a direct link into the incident record. No commercial or unrelated operational data is included in the alert payload.</w:t>
      </w:r>
    </w:p>
    <w:p>
      <w:pPr>
        <w:pStyle w:val="Heading2"/>
        <w:spacing w:after="120" w:before="280"/>
      </w:pPr>
      <w:r>
        <w:rPr>
          <w:b/>
          <w:bCs/>
          <w:color w:val="1F3864"/>
          <w:sz w:val="24"/>
          <w:szCs w:val="24"/>
        </w:rPr>
        <w:t xml:space="preserve">5.4 Expiry and compliance alerts</w:t>
      </w:r>
    </w:p>
    <w:p>
      <w:pPr>
        <w:spacing w:after="160" w:line="276"/>
      </w:pPr>
      <w:r>
        <w:rPr>
          <w:sz w:val="21"/>
          <w:szCs w:val="21"/>
        </w:rPr>
        <w:t xml:space="preserve">In addition to incident alerts, the role receives visibility of the same expiry-warning cycle applied Commission-wide — sixty, thirty and fifteen days ahead of a magazine licence, environmental permit or competency certificate lapsing — filtered to the operators and personnel relevant to mine safety oversight.</w:t>
      </w:r>
    </w:p>
    <w:p>
      <w:pPr>
        <w:pStyle w:val="Heading1"/>
        <w:pBdr>
          <w:bottom w:val="single" w:color="1F3864" w:sz="8" w:space="4"/>
        </w:pBdr>
        <w:spacing w:after="160" w:before="360"/>
      </w:pPr>
      <w:r>
        <w:rPr>
          <w:b/>
          <w:bCs/>
          <w:color w:val="1F3864"/>
          <w:sz w:val="30"/>
          <w:szCs w:val="30"/>
        </w:rPr>
        <w:t xml:space="preserve">6. Reporting and Dashboard Specification</w:t>
      </w:r>
    </w:p>
    <w:p>
      <w:pPr>
        <w:pStyle w:val="Heading2"/>
        <w:spacing w:after="120" w:before="280"/>
      </w:pPr>
      <w:r>
        <w:rPr>
          <w:b/>
          <w:bCs/>
          <w:color w:val="1F3864"/>
          <w:sz w:val="24"/>
          <w:szCs w:val="24"/>
        </w:rPr>
        <w:t xml:space="preserve">6.1 Available reports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5826"/>
      </w:tblGrid>
      <w:tr>
        <w:trPr>
          <w:tblHeader/>
        </w:trPr>
        <w:tc>
          <w:tcPr>
            <w:tcW w:type="dxa" w:w="3200"/>
            <w:shd w:fill="1F3864" w:color="auto" w:val="clear"/>
            <w:tcMar>
              <w:top w:type="dxa" w:w="100"/>
              <w:left w:type="dxa" w:w="120"/>
              <w:bottom w:type="dxa" w:w="100"/>
              <w:right w:type="dxa" w:w="120"/>
            </w:tcMar>
          </w:tcPr>
          <w:p>
            <w:r>
              <w:rPr>
                <w:b/>
                <w:bCs/>
                <w:color w:val="FFFFFF"/>
                <w:sz w:val="19"/>
                <w:szCs w:val="19"/>
              </w:rPr>
              <w:t xml:space="preserve">Report</w:t>
            </w:r>
          </w:p>
        </w:tc>
        <w:tc>
          <w:tcPr>
            <w:tcW w:type="dxa" w:w="5826"/>
            <w:shd w:fill="1F3864" w:color="auto" w:val="clear"/>
            <w:tcMar>
              <w:top w:type="dxa" w:w="100"/>
              <w:left w:type="dxa" w:w="120"/>
              <w:bottom w:type="dxa" w:w="100"/>
              <w:right w:type="dxa" w:w="120"/>
            </w:tcMar>
          </w:tcPr>
          <w:p>
            <w:r>
              <w:rPr>
                <w:b/>
                <w:bCs/>
                <w:color w:val="FFFFFF"/>
                <w:sz w:val="19"/>
                <w:szCs w:val="19"/>
              </w:rPr>
              <w:t xml:space="preserve">Content relevant to this role</w:t>
            </w:r>
          </w:p>
        </w:tc>
      </w:tr>
      <w:tr>
        <w:tc>
          <w:tcPr>
            <w:tcW w:type="dxa" w:w="3200"/>
            <w:shd w:fill="FFFFFF" w:color="auto" w:val="clear"/>
            <w:tcMar>
              <w:top w:type="dxa" w:w="90"/>
              <w:left w:type="dxa" w:w="120"/>
              <w:bottom w:type="dxa" w:w="90"/>
              <w:right w:type="dxa" w:w="120"/>
            </w:tcMar>
          </w:tcPr>
          <w:p>
            <w:pPr>
              <w:spacing w:line="252"/>
            </w:pPr>
            <w:r>
              <w:rPr>
                <w:sz w:val="19"/>
                <w:szCs w:val="19"/>
              </w:rPr>
              <w:t xml:space="preserve">Incident register</w:t>
            </w:r>
          </w:p>
        </w:tc>
        <w:tc>
          <w:tcPr>
            <w:tcW w:type="dxa" w:w="5826"/>
            <w:shd w:fill="FFFFFF" w:color="auto" w:val="clear"/>
            <w:tcMar>
              <w:top w:type="dxa" w:w="90"/>
              <w:left w:type="dxa" w:w="120"/>
              <w:bottom w:type="dxa" w:w="90"/>
              <w:right w:type="dxa" w:w="120"/>
            </w:tcMar>
          </w:tcPr>
          <w:p>
            <w:pPr>
              <w:spacing w:line="252"/>
            </w:pPr>
            <w:r>
              <w:rPr>
                <w:sz w:val="19"/>
                <w:szCs w:val="19"/>
              </w:rPr>
              <w:t xml:space="preserve">Losses, thefts and incidents reported, with investigation status, filtered nationally or by region.</w:t>
            </w:r>
          </w:p>
        </w:tc>
      </w:tr>
      <w:tr>
        <w:tc>
          <w:tcPr>
            <w:tcW w:type="dxa" w:w="3200"/>
            <w:shd w:fill="F2F2F2" w:color="auto" w:val="clear"/>
            <w:tcMar>
              <w:top w:type="dxa" w:w="90"/>
              <w:left w:type="dxa" w:w="120"/>
              <w:bottom w:type="dxa" w:w="90"/>
              <w:right w:type="dxa" w:w="120"/>
            </w:tcMar>
          </w:tcPr>
          <w:p>
            <w:pPr>
              <w:spacing w:line="252"/>
            </w:pPr>
            <w:r>
              <w:rPr>
                <w:sz w:val="19"/>
                <w:szCs w:val="19"/>
              </w:rPr>
              <w:t xml:space="preserve">Company compliance status</w:t>
            </w:r>
          </w:p>
        </w:tc>
        <w:tc>
          <w:tcPr>
            <w:tcW w:type="dxa" w:w="5826"/>
            <w:shd w:fill="F2F2F2" w:color="auto" w:val="clear"/>
            <w:tcMar>
              <w:top w:type="dxa" w:w="90"/>
              <w:left w:type="dxa" w:w="120"/>
              <w:bottom w:type="dxa" w:w="90"/>
              <w:right w:type="dxa" w:w="120"/>
            </w:tcMar>
          </w:tcPr>
          <w:p>
            <w:pPr>
              <w:spacing w:line="252"/>
            </w:pPr>
            <w:r>
              <w:rPr>
                <w:sz w:val="19"/>
                <w:szCs w:val="19"/>
              </w:rPr>
              <w:t xml:space="preserve">Magazine licence validity and Form R inspection outcomes, without financial or commercial fields.</w:t>
            </w:r>
          </w:p>
        </w:tc>
      </w:tr>
      <w:tr>
        <w:tc>
          <w:tcPr>
            <w:tcW w:type="dxa" w:w="3200"/>
            <w:shd w:fill="FFFFFF" w:color="auto" w:val="clear"/>
            <w:tcMar>
              <w:top w:type="dxa" w:w="90"/>
              <w:left w:type="dxa" w:w="120"/>
              <w:bottom w:type="dxa" w:w="90"/>
              <w:right w:type="dxa" w:w="120"/>
            </w:tcMar>
          </w:tcPr>
          <w:p>
            <w:pPr>
              <w:spacing w:line="252"/>
            </w:pPr>
            <w:r>
              <w:rPr>
                <w:sz w:val="19"/>
                <w:szCs w:val="19"/>
              </w:rPr>
              <w:t xml:space="preserve">Blast activity summary</w:t>
            </w:r>
          </w:p>
        </w:tc>
        <w:tc>
          <w:tcPr>
            <w:tcW w:type="dxa" w:w="5826"/>
            <w:shd w:fill="FFFFFF" w:color="auto" w:val="clear"/>
            <w:tcMar>
              <w:top w:type="dxa" w:w="90"/>
              <w:left w:type="dxa" w:w="120"/>
              <w:bottom w:type="dxa" w:w="90"/>
              <w:right w:type="dxa" w:w="120"/>
            </w:tcMar>
          </w:tcPr>
          <w:p>
            <w:pPr>
              <w:spacing w:line="252"/>
            </w:pPr>
            <w:r>
              <w:rPr>
                <w:sz w:val="19"/>
                <w:szCs w:val="19"/>
              </w:rPr>
              <w:t xml:space="preserve">Aggregated blast counts, material consumed and misfire incidence by period and region.</w:t>
            </w:r>
          </w:p>
        </w:tc>
      </w:tr>
      <w:tr>
        <w:tc>
          <w:tcPr>
            <w:tcW w:type="dxa" w:w="3200"/>
            <w:shd w:fill="F2F2F2" w:color="auto" w:val="clear"/>
            <w:tcMar>
              <w:top w:type="dxa" w:w="90"/>
              <w:left w:type="dxa" w:w="120"/>
              <w:bottom w:type="dxa" w:w="90"/>
              <w:right w:type="dxa" w:w="120"/>
            </w:tcMar>
          </w:tcPr>
          <w:p>
            <w:pPr>
              <w:spacing w:line="252"/>
            </w:pPr>
            <w:r>
              <w:rPr>
                <w:sz w:val="19"/>
                <w:szCs w:val="19"/>
              </w:rPr>
              <w:t xml:space="preserve">Certification standing</w:t>
            </w:r>
          </w:p>
        </w:tc>
        <w:tc>
          <w:tcPr>
            <w:tcW w:type="dxa" w:w="5826"/>
            <w:shd w:fill="F2F2F2" w:color="auto" w:val="clear"/>
            <w:tcMar>
              <w:top w:type="dxa" w:w="90"/>
              <w:left w:type="dxa" w:w="120"/>
              <w:bottom w:type="dxa" w:w="90"/>
              <w:right w:type="dxa" w:w="120"/>
            </w:tcMar>
          </w:tcPr>
          <w:p>
            <w:pPr>
              <w:spacing w:line="252"/>
            </w:pPr>
            <w:r>
              <w:rPr>
                <w:sz w:val="19"/>
                <w:szCs w:val="19"/>
              </w:rPr>
              <w:t xml:space="preserve">Active, expiring and revoked certificates of competency across all licensed personnel.</w:t>
            </w:r>
          </w:p>
        </w:tc>
      </w:tr>
    </w:tbl>
    <w:p>
      <w:pPr>
        <w:pStyle w:val="Heading2"/>
        <w:spacing w:after="120" w:before="280"/>
      </w:pPr>
      <w:r>
        <w:rPr>
          <w:b/>
          <w:bCs/>
          <w:color w:val="1F3864"/>
          <w:sz w:val="24"/>
          <w:szCs w:val="24"/>
        </w:rPr>
        <w:t xml:space="preserve">6.2 Dashboard metrics</w:t>
      </w:r>
    </w:p>
    <w:p>
      <w:pPr>
        <w:spacing w:after="160" w:line="276"/>
      </w:pPr>
      <w:r>
        <w:rPr>
          <w:sz w:val="21"/>
          <w:szCs w:val="21"/>
        </w:rPr>
        <w:t xml:space="preserve">The mine safety dashboard refreshes as records are written, rather than on a fixed reporting cycle, and presents:</w:t>
      </w:r>
    </w:p>
    <w:p>
      <w:pPr>
        <w:pStyle w:val="ListParagraph"/>
        <w:numPr>
          <w:ilvl w:val="0"/>
          <w:numId w:val="2"/>
        </w:numPr>
        <w:spacing w:after="80" w:line="264"/>
      </w:pPr>
      <w:r>
        <w:rPr>
          <w:sz w:val="21"/>
          <w:szCs w:val="21"/>
        </w:rPr>
        <w:t xml:space="preserve">Open incidents by type, region and age.</w:t>
      </w:r>
    </w:p>
    <w:p>
      <w:pPr>
        <w:pStyle w:val="ListParagraph"/>
        <w:numPr>
          <w:ilvl w:val="0"/>
          <w:numId w:val="2"/>
        </w:numPr>
        <w:spacing w:after="80" w:line="264"/>
      </w:pPr>
      <w:r>
        <w:rPr>
          <w:sz w:val="21"/>
          <w:szCs w:val="21"/>
        </w:rPr>
        <w:t xml:space="preserve">Regional blast and misfire trends over the preceding period.</w:t>
      </w:r>
    </w:p>
    <w:p>
      <w:pPr>
        <w:pStyle w:val="ListParagraph"/>
        <w:numPr>
          <w:ilvl w:val="0"/>
          <w:numId w:val="2"/>
        </w:numPr>
        <w:spacing w:after="80" w:line="264"/>
      </w:pPr>
      <w:r>
        <w:rPr>
          <w:sz w:val="21"/>
          <w:szCs w:val="21"/>
        </w:rPr>
        <w:t xml:space="preserve">Magazines currently frozen pending investigation.</w:t>
      </w:r>
    </w:p>
    <w:p>
      <w:pPr>
        <w:pStyle w:val="ListParagraph"/>
        <w:numPr>
          <w:ilvl w:val="0"/>
          <w:numId w:val="2"/>
        </w:numPr>
        <w:spacing w:after="80" w:line="264"/>
      </w:pPr>
      <w:r>
        <w:rPr>
          <w:sz w:val="21"/>
          <w:szCs w:val="21"/>
        </w:rPr>
        <w:t xml:space="preserve">Overdue Form R inspections and expiring competency certificates.</w:t>
      </w:r>
    </w:p>
    <w:tbl>
      <w:tblPr>
        <w:tblW w:type="pct" w:w="100%"/>
        <w:tblBorders>
          <w:top w:val="single" w:color="9C7A2C" w:sz="4"/>
          <w:left w:val="single" w:color="9C7A2C" w:sz="4"/>
          <w:bottom w:val="single" w:color="9C7A2C" w:sz="4"/>
          <w:right w:val="single" w:color="9C7A2C" w:sz="4"/>
          <w:insideH w:val="none" w:color="FFFFFF" w:sz="0"/>
          <w:insideV w:val="none" w:color="FFFFFF" w:sz="0"/>
        </w:tblBorders>
      </w:tblPr>
      <w:tblGrid>
        <w:gridCol w:w="100"/>
      </w:tblGrid>
      <w:tr>
        <w:tc>
          <w:tcPr>
            <w:tcW w:type="pct" w:w="100%"/>
            <w:shd w:fill="FBF6EA" w:color="auto" w:val="clear"/>
            <w:tcMar>
              <w:top w:type="dxa" w:w="140"/>
              <w:left w:type="dxa" w:w="180"/>
              <w:bottom w:type="dxa" w:w="140"/>
              <w:right w:type="dxa" w:w="180"/>
            </w:tcMar>
          </w:tcPr>
          <w:p>
            <w:pPr>
              <w:spacing w:after="60"/>
            </w:pPr>
            <w:r>
              <w:rPr>
                <w:b/>
                <w:bCs/>
                <w:color w:val="9C7A2C"/>
                <w:sz w:val="20"/>
                <w:szCs w:val="20"/>
              </w:rPr>
              <w:t xml:space="preserve">Scope of dashboard data</w:t>
            </w:r>
          </w:p>
          <w:p>
            <w:pPr>
              <w:spacing w:after="0" w:line="264"/>
            </w:pPr>
            <w:r>
              <w:rPr>
                <w:sz w:val="20"/>
                <w:szCs w:val="20"/>
              </w:rPr>
              <w:t xml:space="preserve">Revenue, invoicing and application-throughput metrics shown on the Commission's national leadership dashboard are not part of this role's view; the mine safety dashboard is a distinct, narrower configuration.</w:t>
            </w:r>
          </w:p>
        </w:tc>
      </w:tr>
    </w:tbl>
    <w:p>
      <w:pPr>
        <w:pStyle w:val="Heading1"/>
        <w:pBdr>
          <w:bottom w:val="single" w:color="1F3864" w:sz="8" w:space="4"/>
        </w:pBdr>
        <w:spacing w:after="160" w:before="360"/>
      </w:pPr>
      <w:r>
        <w:rPr>
          <w:b/>
          <w:bCs/>
          <w:color w:val="1F3864"/>
          <w:sz w:val="30"/>
          <w:szCs w:val="30"/>
        </w:rPr>
        <w:t xml:space="preserve">7. Data Integrity and Audit Controls</w:t>
      </w:r>
    </w:p>
    <w:p>
      <w:pPr>
        <w:pStyle w:val="Heading2"/>
        <w:spacing w:after="120" w:before="280"/>
      </w:pPr>
      <w:r>
        <w:rPr>
          <w:b/>
          <w:bCs/>
          <w:color w:val="1F3864"/>
          <w:sz w:val="24"/>
          <w:szCs w:val="24"/>
        </w:rPr>
        <w:t xml:space="preserve">7.1 Append-only record model</w:t>
      </w:r>
    </w:p>
    <w:p>
      <w:pPr>
        <w:spacing w:after="160" w:line="276"/>
      </w:pPr>
      <w:r>
        <w:rPr>
          <w:sz w:val="21"/>
          <w:szCs w:val="21"/>
        </w:rPr>
        <w:t xml:space="preserve">No record visible to this role can be deleted. A correction is written as a new, signed entry, and the original remains visible alongside it — so any change to a blast record or an incident entry after the fact is itself part of the audit trail, not a replacement of it.</w:t>
      </w:r>
    </w:p>
    <w:p>
      <w:pPr>
        <w:pStyle w:val="Heading2"/>
        <w:spacing w:after="120" w:before="280"/>
      </w:pPr>
      <w:r>
        <w:rPr>
          <w:b/>
          <w:bCs/>
          <w:color w:val="1F3864"/>
          <w:sz w:val="24"/>
          <w:szCs w:val="24"/>
        </w:rPr>
        <w:t xml:space="preserve">7.2 Attribution</w:t>
      </w:r>
    </w:p>
    <w:p>
      <w:pPr>
        <w:spacing w:after="160" w:line="276"/>
      </w:pPr>
      <w:r>
        <w:rPr>
          <w:sz w:val="21"/>
          <w:szCs w:val="21"/>
        </w:rPr>
        <w:t xml:space="preserve">Every entry is signed with the authenticated credentials of the officer who made it. A blast record names the firing officer who fired it; an incident record names the Site or Safety Manager who reported it.</w:t>
      </w:r>
    </w:p>
    <w:p>
      <w:pPr>
        <w:pStyle w:val="Heading2"/>
        <w:spacing w:after="120" w:before="280"/>
      </w:pPr>
      <w:r>
        <w:rPr>
          <w:b/>
          <w:bCs/>
          <w:color w:val="1F3864"/>
          <w:sz w:val="24"/>
          <w:szCs w:val="24"/>
        </w:rPr>
        <w:t xml:space="preserve">7.3 Traceability chain</w:t>
      </w:r>
    </w:p>
    <w:p>
      <w:pPr>
        <w:spacing w:after="160" w:line="276"/>
      </w:pPr>
      <w:r>
        <w:rPr>
          <w:sz w:val="21"/>
          <w:szCs w:val="21"/>
        </w:rPr>
        <w:t xml:space="preserve">Where an incident involves recovered or unaccounted material, the same QR-coded traceability reference used for consignment tracking allows the entry to be followed back through storage, transport, dealing and import or manufacture — giving this role the means to see not just that an event occurred, but the documented history of the material involved.</w:t>
      </w:r>
    </w:p>
    <w:p>
      <w:pPr>
        <w:pStyle w:val="Heading1"/>
        <w:pBdr>
          <w:bottom w:val="single" w:color="1F3864" w:sz="8" w:space="4"/>
        </w:pBdr>
        <w:spacing w:after="160" w:before="360"/>
      </w:pPr>
      <w:r>
        <w:rPr>
          <w:b/>
          <w:bCs/>
          <w:color w:val="1F3864"/>
          <w:sz w:val="30"/>
          <w:szCs w:val="30"/>
        </w:rPr>
        <w:t xml:space="preserve">8. Reference: Statutory Forms Relevant to This Role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6626"/>
      </w:tblGrid>
      <w:tr>
        <w:trPr>
          <w:tblHeader/>
        </w:trPr>
        <w:tc>
          <w:tcPr>
            <w:tcW w:type="dxa" w:w="2400"/>
            <w:shd w:fill="1F3864" w:color="auto" w:val="clear"/>
            <w:tcMar>
              <w:top w:type="dxa" w:w="100"/>
              <w:left w:type="dxa" w:w="120"/>
              <w:bottom w:type="dxa" w:w="100"/>
              <w:right w:type="dxa" w:w="120"/>
            </w:tcMar>
          </w:tcPr>
          <w:p>
            <w:r>
              <w:rPr>
                <w:b/>
                <w:bCs/>
                <w:color w:val="FFFFFF"/>
                <w:sz w:val="19"/>
                <w:szCs w:val="19"/>
              </w:rPr>
              <w:t xml:space="preserve">Form</w:t>
            </w:r>
          </w:p>
        </w:tc>
        <w:tc>
          <w:tcPr>
            <w:tcW w:type="dxa" w:w="6626"/>
            <w:shd w:fill="1F3864" w:color="auto" w:val="clear"/>
            <w:tcMar>
              <w:top w:type="dxa" w:w="100"/>
              <w:left w:type="dxa" w:w="120"/>
              <w:bottom w:type="dxa" w:w="100"/>
              <w:right w:type="dxa" w:w="120"/>
            </w:tcMar>
          </w:tcPr>
          <w:p>
            <w:r>
              <w:rPr>
                <w:b/>
                <w:bCs/>
                <w:color w:val="FFFFFF"/>
                <w:sz w:val="19"/>
                <w:szCs w:val="19"/>
              </w:rPr>
              <w:t xml:space="preserve">Relevance to mine safety oversight</w:t>
            </w:r>
          </w:p>
        </w:tc>
      </w:tr>
      <w:tr>
        <w:tc>
          <w:tcPr>
            <w:tcW w:type="dxa" w:w="2400"/>
            <w:shd w:fill="FFFFFF" w:color="auto" w:val="clear"/>
            <w:tcMar>
              <w:top w:type="dxa" w:w="90"/>
              <w:left w:type="dxa" w:w="120"/>
              <w:bottom w:type="dxa" w:w="90"/>
              <w:right w:type="dxa" w:w="120"/>
            </w:tcMar>
          </w:tcPr>
          <w:p>
            <w:pPr>
              <w:spacing w:line="252"/>
            </w:pPr>
            <w:r>
              <w:rPr>
                <w:sz w:val="19"/>
                <w:szCs w:val="19"/>
              </w:rPr>
              <w:t xml:space="preserve">Use Book (under Form E)</w:t>
            </w:r>
          </w:p>
        </w:tc>
        <w:tc>
          <w:tcPr>
            <w:tcW w:type="dxa" w:w="6626"/>
            <w:shd w:fill="FFFFFF" w:color="auto" w:val="clear"/>
            <w:tcMar>
              <w:top w:type="dxa" w:w="90"/>
              <w:left w:type="dxa" w:w="120"/>
              <w:bottom w:type="dxa" w:w="90"/>
              <w:right w:type="dxa" w:w="120"/>
            </w:tcMar>
          </w:tcPr>
          <w:p>
            <w:pPr>
              <w:spacing w:line="252"/>
            </w:pPr>
            <w:r>
              <w:rPr>
                <w:sz w:val="19"/>
                <w:szCs w:val="19"/>
              </w:rPr>
              <w:t xml:space="preserve">Blast-by-blast record of material consumed, firing officer and misfire outcome.</w:t>
            </w:r>
          </w:p>
        </w:tc>
      </w:tr>
      <w:tr>
        <w:tc>
          <w:tcPr>
            <w:tcW w:type="dxa" w:w="2400"/>
            <w:shd w:fill="F2F2F2" w:color="auto" w:val="clear"/>
            <w:tcMar>
              <w:top w:type="dxa" w:w="90"/>
              <w:left w:type="dxa" w:w="120"/>
              <w:bottom w:type="dxa" w:w="90"/>
              <w:right w:type="dxa" w:w="120"/>
            </w:tcMar>
          </w:tcPr>
          <w:p>
            <w:pPr>
              <w:spacing w:line="252"/>
            </w:pPr>
            <w:r>
              <w:rPr>
                <w:sz w:val="19"/>
                <w:szCs w:val="19"/>
              </w:rPr>
              <w:t xml:space="preserve">Loss &amp; Incident Book</w:t>
            </w:r>
          </w:p>
        </w:tc>
        <w:tc>
          <w:tcPr>
            <w:tcW w:type="dxa" w:w="6626"/>
            <w:shd w:fill="F2F2F2" w:color="auto" w:val="clear"/>
            <w:tcMar>
              <w:top w:type="dxa" w:w="90"/>
              <w:left w:type="dxa" w:w="120"/>
              <w:bottom w:type="dxa" w:w="90"/>
              <w:right w:type="dxa" w:w="120"/>
            </w:tcMar>
          </w:tcPr>
          <w:p>
            <w:pPr>
              <w:spacing w:line="252"/>
            </w:pPr>
            <w:r>
              <w:rPr>
                <w:sz w:val="19"/>
                <w:szCs w:val="19"/>
              </w:rPr>
              <w:t xml:space="preserve">Source of the automatic incident alert and the frozen-site workflow.</w:t>
            </w:r>
          </w:p>
        </w:tc>
      </w:tr>
      <w:tr>
        <w:tc>
          <w:tcPr>
            <w:tcW w:type="dxa" w:w="2400"/>
            <w:shd w:fill="FFFFFF" w:color="auto" w:val="clear"/>
            <w:tcMar>
              <w:top w:type="dxa" w:w="90"/>
              <w:left w:type="dxa" w:w="120"/>
              <w:bottom w:type="dxa" w:w="90"/>
              <w:right w:type="dxa" w:w="120"/>
            </w:tcMar>
          </w:tcPr>
          <w:p>
            <w:pPr>
              <w:spacing w:line="252"/>
            </w:pPr>
            <w:r>
              <w:rPr>
                <w:sz w:val="19"/>
                <w:szCs w:val="19"/>
              </w:rPr>
              <w:t xml:space="preserve">Form R</w:t>
            </w:r>
          </w:p>
        </w:tc>
        <w:tc>
          <w:tcPr>
            <w:tcW w:type="dxa" w:w="6626"/>
            <w:shd w:fill="FFFFFF" w:color="auto" w:val="clear"/>
            <w:tcMar>
              <w:top w:type="dxa" w:w="90"/>
              <w:left w:type="dxa" w:w="120"/>
              <w:bottom w:type="dxa" w:w="90"/>
              <w:right w:type="dxa" w:w="120"/>
            </w:tcMar>
          </w:tcPr>
          <w:p>
            <w:pPr>
              <w:spacing w:line="252"/>
            </w:pPr>
            <w:r>
              <w:rPr>
                <w:sz w:val="19"/>
                <w:szCs w:val="19"/>
              </w:rPr>
              <w:t xml:space="preserve">Inspection outcome for magazines, plants and blast sites.</w:t>
            </w:r>
          </w:p>
        </w:tc>
      </w:tr>
      <w:tr>
        <w:tc>
          <w:tcPr>
            <w:tcW w:type="dxa" w:w="2400"/>
            <w:shd w:fill="F2F2F2" w:color="auto" w:val="clear"/>
            <w:tcMar>
              <w:top w:type="dxa" w:w="90"/>
              <w:left w:type="dxa" w:w="120"/>
              <w:bottom w:type="dxa" w:w="90"/>
              <w:right w:type="dxa" w:w="120"/>
            </w:tcMar>
          </w:tcPr>
          <w:p>
            <w:pPr>
              <w:spacing w:line="252"/>
            </w:pPr>
            <w:r>
              <w:rPr>
                <w:sz w:val="19"/>
                <w:szCs w:val="19"/>
              </w:rPr>
              <w:t xml:space="preserve">Form D / Certificate of Competency</w:t>
            </w:r>
          </w:p>
        </w:tc>
        <w:tc>
          <w:tcPr>
            <w:tcW w:type="dxa" w:w="6626"/>
            <w:shd w:fill="F2F2F2" w:color="auto" w:val="clear"/>
            <w:tcMar>
              <w:top w:type="dxa" w:w="90"/>
              <w:left w:type="dxa" w:w="120"/>
              <w:bottom w:type="dxa" w:w="90"/>
              <w:right w:type="dxa" w:w="120"/>
            </w:tcMar>
          </w:tcPr>
          <w:p>
            <w:pPr>
              <w:spacing w:line="252"/>
            </w:pPr>
            <w:r>
              <w:rPr>
                <w:sz w:val="19"/>
                <w:szCs w:val="19"/>
              </w:rPr>
              <w:t xml:space="preserve">Certification standing of every blasting and magazine officer.</w:t>
            </w:r>
          </w:p>
        </w:tc>
      </w:tr>
      <w:tr>
        <w:tc>
          <w:tcPr>
            <w:tcW w:type="dxa" w:w="2400"/>
            <w:shd w:fill="FFFFFF" w:color="auto" w:val="clear"/>
            <w:tcMar>
              <w:top w:type="dxa" w:w="90"/>
              <w:left w:type="dxa" w:w="120"/>
              <w:bottom w:type="dxa" w:w="90"/>
              <w:right w:type="dxa" w:w="120"/>
            </w:tcMar>
          </w:tcPr>
          <w:p>
            <w:pPr>
              <w:spacing w:line="252"/>
            </w:pPr>
            <w:r>
              <w:rPr>
                <w:sz w:val="19"/>
                <w:szCs w:val="19"/>
              </w:rPr>
              <w:t xml:space="preserve">Form O</w:t>
            </w:r>
          </w:p>
        </w:tc>
        <w:tc>
          <w:tcPr>
            <w:tcW w:type="dxa" w:w="6626"/>
            <w:shd w:fill="FFFFFF" w:color="auto" w:val="clear"/>
            <w:tcMar>
              <w:top w:type="dxa" w:w="90"/>
              <w:left w:type="dxa" w:w="120"/>
              <w:bottom w:type="dxa" w:w="90"/>
              <w:right w:type="dxa" w:w="120"/>
            </w:tcMar>
          </w:tcPr>
          <w:p>
            <w:pPr>
              <w:spacing w:line="252"/>
            </w:pPr>
            <w:r>
              <w:rPr>
                <w:sz w:val="19"/>
                <w:szCs w:val="19"/>
              </w:rPr>
              <w:t xml:space="preserve">Magazine licence status underlying the compliance dashboard.</w:t>
            </w:r>
          </w:p>
        </w:tc>
      </w:tr>
    </w:tbl>
    <w:p>
      <w:pPr>
        <w:pStyle w:val="Heading1"/>
        <w:pBdr>
          <w:bottom w:val="single" w:color="1F3864" w:sz="8" w:space="4"/>
        </w:pBdr>
        <w:spacing w:after="160" w:before="360"/>
      </w:pPr>
      <w:r>
        <w:rPr>
          <w:b/>
          <w:bCs/>
          <w:color w:val="1F3864"/>
          <w:sz w:val="30"/>
          <w:szCs w:val="30"/>
        </w:rPr>
        <w:t xml:space="preserve">9. Summary</w:t>
      </w:r>
    </w:p>
    <w:p>
      <w:pPr>
        <w:spacing w:after="160" w:line="276"/>
      </w:pPr>
      <w:r>
        <w:rPr>
          <w:sz w:val="21"/>
          <w:szCs w:val="21"/>
        </w:rPr>
        <w:t xml:space="preserve">The Chief Inspector of Mines role gives mine safety leadership a live, read-only, evidence-grade view of exactly the activity that bears on site safety — blasts fired, material lost, magazines breached, personnel certified — without exposing commercial data or granting any ability to alter the underlying record. The role is deliberately narrow: it is built to answer the question 'is explosives activity in the country safe, right now,' and to answer it from the same signed, tamper-evident records the Inspectorate of Explosives itself relies on.</w:t>
      </w:r>
    </w:p>
    <w:p>
      <w:pPr>
        <w:spacing w:after="200"/>
      </w:pPr>
    </w:p>
    <w:p>
      <w:pPr>
        <w:pBdr>
          <w:top w:val="single" w:color="BFBFBF" w:sz="4" w:space="8"/>
        </w:pBdr>
        <w:spacing w:before="300"/>
        <w:jc w:val="center"/>
      </w:pPr>
      <w:r>
        <w:rPr>
          <w:color w:val="777777"/>
          <w:sz w:val="16"/>
          <w:szCs w:val="16"/>
        </w:rPr>
        <w:t xml:space="preserve">MINERALS COMMISSION · Inspectorate of Explosives · Republic of Ghana</w:t>
      </w:r>
    </w:p>
    <w:p>
      <w:pPr>
        <w:jc w:val="center"/>
      </w:pPr>
      <w:r>
        <w:rPr>
          <w:color w:val="777777"/>
          <w:sz w:val="16"/>
          <w:szCs w:val="16"/>
        </w:rPr>
        <w:t xml:space="preserve">MINCOM Explosives Regulation System · Technical Reference for the Chief Inspector of Mines · Version 2.0 · July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5"/>
        <w:szCs w:val="15"/>
      </w:rPr>
      <w:t xml:space="preserve">Page </w:t>
    </w:r>
    <w:r>
      <w:rPr>
        <w:color w:val="777777"/>
        <w:sz w:val="15"/>
        <w:szCs w:val="15"/>
      </w:rPr>
      <w:fldChar w:fldCharType="begin"/>
      <w:instrText xml:space="preserve">PAGE</w:instrText>
      <w:fldChar w:fldCharType="separate"/>
      <w:fldChar w:fldCharType="end"/>
    </w:r>
    <w:r>
      <w:rPr>
        <w:color w:val="777777"/>
        <w:sz w:val="15"/>
        <w:szCs w:val="15"/>
      </w:rPr>
      <w:t xml:space="preserve"> of </w:t>
    </w:r>
    <w:r>
      <w:rPr>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777777"/>
        <w:sz w:val="15"/>
        <w:szCs w:val="15"/>
      </w:rPr>
      <w:t xml:space="preserve">MINCOM Explosives Regulation System — Technical Reference for the Chief Inspector of Mines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2026-07-28T16:32:09.760Z</dcterms:created>
  <dcterms:modified xsi:type="dcterms:W3CDTF">2026-07-28T16:32:09.774Z</dcterms:modified>
</cp:coreProperties>
</file>

<file path=docProps/custom.xml><?xml version="1.0" encoding="utf-8"?>
<Properties xmlns="http://schemas.openxmlformats.org/officeDocument/2006/custom-properties" xmlns:vt="http://schemas.openxmlformats.org/officeDocument/2006/docPropsVTypes"/>
</file>