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b3a5c"/>
          <w:sz w:val="28"/>
          <w:szCs w:val="28"/>
          <w:rtl w:val="0"/>
        </w:rPr>
        <w:t xml:space="preserve">SMART INNOVATIONS GHANA LIMITED</w:t>
      </w:r>
      <w:r w:rsidDel="00000000" w:rsidR="00000000" w:rsidRPr="00000000">
        <w:rPr>
          <w:rtl w:val="0"/>
        </w:rPr>
      </w:r>
    </w:p>
    <w:p w:rsidR="00000000" w:rsidDel="00000000" w:rsidP="00000000" w:rsidRDefault="00000000" w:rsidRPr="00000000" w14:paraId="00000002">
      <w:pPr>
        <w:spacing w:after="200" w:lineRule="auto"/>
        <w:rPr>
          <w:i w:val="1"/>
          <w:iCs w:val="1"/>
          <w:color w:val="0e7c7b"/>
          <w:sz w:val="18"/>
          <w:szCs w:val="18"/>
        </w:rPr>
      </w:pPr>
      <w:r w:rsidDel="00000000" w:rsidR="00000000" w:rsidRPr="00000000">
        <w:rPr>
          <w:i w:val="1"/>
          <w:iCs w:val="1"/>
          <w:color w:val="0e7c7b"/>
          <w:sz w:val="18"/>
          <w:szCs w:val="18"/>
          <w:rtl w:val="0"/>
        </w:rPr>
        <w:t xml:space="preserve">Technology Solutions for Energy Infrastructure Integrity</w:t>
      </w:r>
    </w:p>
    <w:p w:rsidR="00000000" w:rsidDel="00000000" w:rsidP="00000000" w:rsidRDefault="00000000" w:rsidRPr="00000000" w14:paraId="00000003">
      <w:pPr>
        <w:spacing w:after="200" w:lineRule="auto"/>
        <w:rPr>
          <w:i w:val="1"/>
          <w:iCs w:val="1"/>
          <w:color w:val="0e7c7b"/>
          <w:sz w:val="18"/>
          <w:szCs w:val="18"/>
        </w:rPr>
      </w:pP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b w:val="1"/>
          <w:bCs w:val="1"/>
          <w:color w:val="1b3a5c"/>
          <w:sz w:val="24"/>
          <w:szCs w:val="24"/>
          <w:rtl w:val="0"/>
        </w:rPr>
        <w:t xml:space="preserve">Proposal: Integrated Pipeline Monitoring &amp; Loss-Prevention Platform for GNGC</w:t>
      </w:r>
      <w:r w:rsidDel="00000000" w:rsidR="00000000" w:rsidRPr="00000000">
        <w:rPr>
          <w:rtl w:val="0"/>
        </w:rPr>
      </w:r>
    </w:p>
    <w:p w:rsidR="00000000" w:rsidDel="00000000" w:rsidP="00000000" w:rsidRDefault="00000000" w:rsidRPr="00000000" w14:paraId="00000005">
      <w:pPr>
        <w:spacing w:after="260" w:lineRule="auto"/>
        <w:rPr/>
      </w:pPr>
      <w:r w:rsidDel="00000000" w:rsidR="00000000" w:rsidRPr="00000000">
        <w:rPr>
          <w:i w:val="1"/>
          <w:iCs w:val="1"/>
          <w:color w:val="595959"/>
          <w:sz w:val="17"/>
          <w:szCs w:val="17"/>
          <w:rtl w:val="0"/>
        </w:rPr>
        <w:t xml:space="preserve">Prepared for Ghana National Gas Company Limited  |  July 2026  |  Confidential</w:t>
      </w:r>
      <w:r w:rsidDel="00000000" w:rsidR="00000000" w:rsidRPr="00000000">
        <w:rPr>
          <w:rtl w:val="0"/>
        </w:rPr>
      </w:r>
    </w:p>
    <w:p w:rsidR="00000000" w:rsidDel="00000000" w:rsidP="00000000" w:rsidRDefault="00000000" w:rsidRPr="00000000" w14:paraId="00000006">
      <w:pPr>
        <w:pStyle w:val="Heading1"/>
        <w:pBdr>
          <w:bottom w:color="0e7c7b" w:space="4" w:sz="6" w:val="single"/>
        </w:pBdr>
        <w:spacing w:after="140" w:before="320" w:lineRule="auto"/>
        <w:rPr/>
      </w:pPr>
      <w:r w:rsidDel="00000000" w:rsidR="00000000" w:rsidRPr="00000000">
        <w:rPr>
          <w:b w:val="1"/>
          <w:bCs w:val="1"/>
          <w:color w:val="1b3a5c"/>
          <w:sz w:val="27"/>
          <w:szCs w:val="27"/>
          <w:rtl w:val="0"/>
        </w:rPr>
        <w:t xml:space="preserve">1. Executive Summary</w:t>
      </w:r>
      <w:r w:rsidDel="00000000" w:rsidR="00000000" w:rsidRPr="00000000">
        <w:rPr>
          <w:rtl w:val="0"/>
        </w:rPr>
      </w:r>
    </w:p>
    <w:p w:rsidR="00000000" w:rsidDel="00000000" w:rsidP="00000000" w:rsidRDefault="00000000" w:rsidRPr="00000000" w14:paraId="00000007">
      <w:pPr>
        <w:spacing w:after="140" w:line="268" w:lineRule="auto"/>
        <w:jc w:val="both"/>
        <w:rPr/>
      </w:pPr>
      <w:r w:rsidDel="00000000" w:rsidR="00000000" w:rsidRPr="00000000">
        <w:rPr>
          <w:b w:val="0"/>
          <w:bCs w:val="0"/>
          <w:i w:val="0"/>
          <w:iCs w:val="0"/>
          <w:sz w:val="20"/>
          <w:szCs w:val="20"/>
          <w:rtl w:val="0"/>
        </w:rPr>
        <w:t xml:space="preserve">Smart Innovations Ghana Limited (SIGL) proposes an integrated monitoring platform</w:t>
      </w:r>
      <w:r w:rsidDel="00000000" w:rsidR="00000000" w:rsidRPr="00000000">
        <w:rPr>
          <w:rtl w:val="0"/>
        </w:rPr>
        <w:t xml:space="preserve">,</w:t>
      </w:r>
      <w:r w:rsidDel="00000000" w:rsidR="00000000" w:rsidRPr="00000000">
        <w:rPr>
          <w:b w:val="0"/>
          <w:bCs w:val="0"/>
          <w:i w:val="0"/>
          <w:iCs w:val="0"/>
          <w:sz w:val="20"/>
          <w:szCs w:val="20"/>
          <w:rtl w:val="0"/>
        </w:rPr>
        <w:t xml:space="preserve"> the GasGuard Suite</w:t>
      </w:r>
      <w:r w:rsidDel="00000000" w:rsidR="00000000" w:rsidRPr="00000000">
        <w:rPr>
          <w:rtl w:val="0"/>
        </w:rPr>
        <w:t xml:space="preserve">,</w:t>
      </w:r>
      <w:r w:rsidDel="00000000" w:rsidR="00000000" w:rsidRPr="00000000">
        <w:rPr>
          <w:b w:val="0"/>
          <w:bCs w:val="0"/>
          <w:i w:val="0"/>
          <w:iCs w:val="0"/>
          <w:sz w:val="20"/>
          <w:szCs w:val="20"/>
          <w:rtl w:val="0"/>
        </w:rPr>
        <w:t xml:space="preserve"> to help GNGC detect leaks, prevent theft and diversion, and reconcile custody transfer across its network. The proposal responds directly to five documented pressures on GNGC's operations: aging, capital-constrained infrastructure; dependence on a single upstream field and a cross-border import pipeline (WAGP); an offshore right-of-way monitored only by manual reporting; rising demand that is multiplying custody-transfer points; and nationally-documented losses from petroleum/gas product smuggling and LPG siphoning.</w:t>
      </w:r>
      <w:r w:rsidDel="00000000" w:rsidR="00000000" w:rsidRPr="00000000">
        <w:rPr>
          <w:rtl w:val="0"/>
        </w:rPr>
      </w:r>
    </w:p>
    <w:p w:rsidR="00000000" w:rsidDel="00000000" w:rsidP="00000000" w:rsidRDefault="00000000" w:rsidRPr="00000000" w14:paraId="00000008">
      <w:pPr>
        <w:spacing w:after="140" w:line="268" w:lineRule="auto"/>
        <w:jc w:val="both"/>
        <w:rPr/>
      </w:pPr>
      <w:r w:rsidDel="00000000" w:rsidR="00000000" w:rsidRPr="00000000">
        <w:rPr>
          <w:b w:val="0"/>
          <w:bCs w:val="0"/>
          <w:i w:val="0"/>
          <w:iCs w:val="0"/>
          <w:sz w:val="20"/>
          <w:szCs w:val="20"/>
          <w:rtl w:val="0"/>
        </w:rPr>
        <w:t xml:space="preserve">Ghana's National Petroleum Authority has cited roughly US$200 million a year in national losses from petroleum product smuggling, with 2025 fiscal-loss estimates as high as GH¢7.2 billion; LPG siphoning from bulk vehicles is separately and specifically flagged as a distinct loss category. These are national, downstream-sector figures rather than GNGC-specific ones, but the same loss mechanisms apply directly to gas liquids and LPG moving through GNGC's infrastructure. GasGuard is built to make these losses visible, locatable, and preventable.</w:t>
      </w:r>
      <w:r w:rsidDel="00000000" w:rsidR="00000000" w:rsidRPr="00000000">
        <w:rPr>
          <w:rtl w:val="0"/>
        </w:rPr>
      </w:r>
    </w:p>
    <w:p w:rsidR="00000000" w:rsidDel="00000000" w:rsidP="00000000" w:rsidRDefault="00000000" w:rsidRPr="00000000" w14:paraId="00000009">
      <w:pPr>
        <w:pStyle w:val="Heading1"/>
        <w:pBdr>
          <w:bottom w:color="0e7c7b" w:space="4" w:sz="6" w:val="single"/>
        </w:pBdr>
        <w:spacing w:after="140" w:before="320" w:lineRule="auto"/>
        <w:rPr/>
      </w:pPr>
      <w:r w:rsidDel="00000000" w:rsidR="00000000" w:rsidRPr="00000000">
        <w:rPr>
          <w:b w:val="1"/>
          <w:bCs w:val="1"/>
          <w:color w:val="1b3a5c"/>
          <w:sz w:val="27"/>
          <w:szCs w:val="27"/>
          <w:rtl w:val="0"/>
        </w:rPr>
        <w:t xml:space="preserve">2. The Problem, in Brief</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00"/>
        <w:tblGridChange w:id="0">
          <w:tblGrid>
            <w:gridCol w:w="3600"/>
            <w:gridCol w:w="5700"/>
          </w:tblGrid>
        </w:tblGridChange>
      </w:tblGrid>
      <w:tr>
        <w:trPr>
          <w:cantSplit w:val="0"/>
          <w:tblHeader w:val="0"/>
        </w:trPr>
        <w:tc>
          <w:tcPr>
            <w:shd w:fill="1b3a5c" w:val="clear"/>
            <w:tcMar>
              <w:top w:w="80.0" w:type="dxa"/>
              <w:left w:w="100.0" w:type="dxa"/>
              <w:bottom w:w="80.0" w:type="dxa"/>
              <w:right w:w="100.0" w:type="dxa"/>
            </w:tcMar>
            <w:vAlign w:val="center"/>
          </w:tcPr>
          <w:p w:rsidR="00000000" w:rsidDel="00000000" w:rsidP="00000000" w:rsidRDefault="00000000" w:rsidRPr="00000000" w14:paraId="0000000A">
            <w:pPr>
              <w:rPr/>
            </w:pPr>
            <w:r w:rsidDel="00000000" w:rsidR="00000000" w:rsidRPr="00000000">
              <w:rPr>
                <w:b w:val="1"/>
                <w:bCs w:val="1"/>
                <w:color w:val="ffffff"/>
                <w:sz w:val="17"/>
                <w:szCs w:val="17"/>
                <w:rtl w:val="0"/>
              </w:rPr>
              <w:t xml:space="preserve">Challenge</w:t>
            </w:r>
            <w:r w:rsidDel="00000000" w:rsidR="00000000" w:rsidRPr="00000000">
              <w:rPr>
                <w:rtl w:val="0"/>
              </w:rPr>
            </w:r>
          </w:p>
        </w:tc>
        <w:tc>
          <w:tcPr>
            <w:shd w:fill="1b3a5c" w:val="clear"/>
            <w:tcMar>
              <w:top w:w="80.0" w:type="dxa"/>
              <w:left w:w="100.0" w:type="dxa"/>
              <w:bottom w:w="80.0" w:type="dxa"/>
              <w:right w:w="100.0" w:type="dxa"/>
            </w:tcMar>
            <w:vAlign w:val="center"/>
          </w:tcPr>
          <w:p w:rsidR="00000000" w:rsidDel="00000000" w:rsidP="00000000" w:rsidRDefault="00000000" w:rsidRPr="00000000" w14:paraId="0000000B">
            <w:pPr>
              <w:rPr/>
            </w:pPr>
            <w:r w:rsidDel="00000000" w:rsidR="00000000" w:rsidRPr="00000000">
              <w:rPr>
                <w:b w:val="1"/>
                <w:bCs w:val="1"/>
                <w:color w:val="ffffff"/>
                <w:sz w:val="17"/>
                <w:szCs w:val="17"/>
                <w:rtl w:val="0"/>
              </w:rPr>
              <w:t xml:space="preserve">Financial / operational exposure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0C">
            <w:pPr>
              <w:rPr/>
            </w:pPr>
            <w:r w:rsidDel="00000000" w:rsidR="00000000" w:rsidRPr="00000000">
              <w:rPr>
                <w:b w:val="0"/>
                <w:bCs w:val="0"/>
                <w:color w:val="222222"/>
                <w:sz w:val="17"/>
                <w:szCs w:val="17"/>
                <w:rtl w:val="0"/>
              </w:rPr>
              <w:t xml:space="preserve">Petroleum &amp; gas product smuggling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0D">
            <w:pPr>
              <w:rPr/>
            </w:pPr>
            <w:r w:rsidDel="00000000" w:rsidR="00000000" w:rsidRPr="00000000">
              <w:rPr>
                <w:b w:val="0"/>
                <w:bCs w:val="0"/>
                <w:color w:val="222222"/>
                <w:sz w:val="17"/>
                <w:szCs w:val="17"/>
                <w:rtl w:val="0"/>
              </w:rPr>
              <w:t xml:space="preserve">~US$200M/year nationally (NPA); up to GH¢7.2B cited for 2025</w:t>
            </w:r>
            <w:r w:rsidDel="00000000" w:rsidR="00000000" w:rsidRPr="00000000">
              <w:rPr>
                <w:rtl w:val="0"/>
              </w:rPr>
            </w:r>
          </w:p>
        </w:tc>
      </w:tr>
      <w:tr>
        <w:trPr>
          <w:cantSplit w:val="0"/>
          <w:tblHeader w:val="0"/>
        </w:trPr>
        <w:tc>
          <w:tcPr>
            <w:shd w:fill="eaf1f1" w:val="clear"/>
            <w:tcMar>
              <w:top w:w="80.0" w:type="dxa"/>
              <w:left w:w="100.0" w:type="dxa"/>
              <w:bottom w:w="80.0" w:type="dxa"/>
              <w:right w:w="100.0" w:type="dxa"/>
            </w:tcMar>
            <w:vAlign w:val="center"/>
          </w:tcPr>
          <w:p w:rsidR="00000000" w:rsidDel="00000000" w:rsidP="00000000" w:rsidRDefault="00000000" w:rsidRPr="00000000" w14:paraId="0000000E">
            <w:pPr>
              <w:rPr/>
            </w:pPr>
            <w:r w:rsidDel="00000000" w:rsidR="00000000" w:rsidRPr="00000000">
              <w:rPr>
                <w:b w:val="0"/>
                <w:bCs w:val="0"/>
                <w:color w:val="222222"/>
                <w:sz w:val="17"/>
                <w:szCs w:val="17"/>
                <w:rtl w:val="0"/>
              </w:rPr>
              <w:t xml:space="preserve">LPG siphoning from bulk trucks</w:t>
            </w:r>
            <w:r w:rsidDel="00000000" w:rsidR="00000000" w:rsidRPr="00000000">
              <w:rPr>
                <w:rtl w:val="0"/>
              </w:rPr>
            </w:r>
          </w:p>
        </w:tc>
        <w:tc>
          <w:tcPr>
            <w:shd w:fill="eaf1f1" w:val="clear"/>
            <w:tcMar>
              <w:top w:w="80.0" w:type="dxa"/>
              <w:left w:w="100.0" w:type="dxa"/>
              <w:bottom w:w="80.0" w:type="dxa"/>
              <w:right w:w="100.0" w:type="dxa"/>
            </w:tcMar>
            <w:vAlign w:val="center"/>
          </w:tcPr>
          <w:p w:rsidR="00000000" w:rsidDel="00000000" w:rsidP="00000000" w:rsidRDefault="00000000" w:rsidRPr="00000000" w14:paraId="0000000F">
            <w:pPr>
              <w:rPr/>
            </w:pPr>
            <w:r w:rsidDel="00000000" w:rsidR="00000000" w:rsidRPr="00000000">
              <w:rPr>
                <w:b w:val="0"/>
                <w:bCs w:val="0"/>
                <w:color w:val="222222"/>
                <w:sz w:val="17"/>
                <w:szCs w:val="17"/>
                <w:rtl w:val="0"/>
              </w:rPr>
              <w:t xml:space="preserve">Flagged by NPA as a distinct, material loss category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0">
            <w:pPr>
              <w:rPr/>
            </w:pPr>
            <w:r w:rsidDel="00000000" w:rsidR="00000000" w:rsidRPr="00000000">
              <w:rPr>
                <w:b w:val="0"/>
                <w:bCs w:val="0"/>
                <w:color w:val="222222"/>
                <w:sz w:val="17"/>
                <w:szCs w:val="17"/>
                <w:rtl w:val="0"/>
              </w:rPr>
              <w:t xml:space="preserve">Aging infrastructure / capital limits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1">
            <w:pPr>
              <w:rPr/>
            </w:pPr>
            <w:r w:rsidDel="00000000" w:rsidR="00000000" w:rsidRPr="00000000">
              <w:rPr>
                <w:b w:val="0"/>
                <w:bCs w:val="0"/>
                <w:color w:val="222222"/>
                <w:sz w:val="17"/>
                <w:szCs w:val="17"/>
                <w:rtl w:val="0"/>
              </w:rPr>
              <w:t xml:space="preserve">GPP2 (~$700M) delayed to 2027; Tema FSRU delayed since 2017</w:t>
            </w:r>
            <w:r w:rsidDel="00000000" w:rsidR="00000000" w:rsidRPr="00000000">
              <w:rPr>
                <w:rtl w:val="0"/>
              </w:rPr>
            </w:r>
          </w:p>
        </w:tc>
      </w:tr>
      <w:tr>
        <w:trPr>
          <w:cantSplit w:val="0"/>
          <w:tblHeader w:val="0"/>
        </w:trPr>
        <w:tc>
          <w:tcPr>
            <w:shd w:fill="eaf1f1" w:val="clear"/>
            <w:tcMar>
              <w:top w:w="80.0" w:type="dxa"/>
              <w:left w:w="100.0" w:type="dxa"/>
              <w:bottom w:w="80.0" w:type="dxa"/>
              <w:right w:w="100.0" w:type="dxa"/>
            </w:tcMar>
            <w:vAlign w:val="center"/>
          </w:tcPr>
          <w:p w:rsidR="00000000" w:rsidDel="00000000" w:rsidP="00000000" w:rsidRDefault="00000000" w:rsidRPr="00000000" w14:paraId="00000012">
            <w:pPr>
              <w:rPr/>
            </w:pPr>
            <w:r w:rsidDel="00000000" w:rsidR="00000000" w:rsidRPr="00000000">
              <w:rPr>
                <w:b w:val="0"/>
                <w:bCs w:val="0"/>
                <w:color w:val="222222"/>
                <w:sz w:val="17"/>
                <w:szCs w:val="17"/>
                <w:rtl w:val="0"/>
              </w:rPr>
              <w:t xml:space="preserve">Cross-border/upstream supply risk</w:t>
            </w:r>
            <w:r w:rsidDel="00000000" w:rsidR="00000000" w:rsidRPr="00000000">
              <w:rPr>
                <w:rtl w:val="0"/>
              </w:rPr>
            </w:r>
          </w:p>
        </w:tc>
        <w:tc>
          <w:tcPr>
            <w:shd w:fill="eaf1f1" w:val="clear"/>
            <w:tcMar>
              <w:top w:w="80.0" w:type="dxa"/>
              <w:left w:w="100.0" w:type="dxa"/>
              <w:bottom w:w="80.0" w:type="dxa"/>
              <w:right w:w="100.0" w:type="dxa"/>
            </w:tcMar>
            <w:vAlign w:val="center"/>
          </w:tcPr>
          <w:p w:rsidR="00000000" w:rsidDel="00000000" w:rsidP="00000000" w:rsidRDefault="00000000" w:rsidRPr="00000000" w14:paraId="00000013">
            <w:pPr>
              <w:rPr/>
            </w:pPr>
            <w:r w:rsidDel="00000000" w:rsidR="00000000" w:rsidRPr="00000000">
              <w:rPr>
                <w:b w:val="0"/>
                <w:bCs w:val="0"/>
                <w:color w:val="222222"/>
                <w:sz w:val="17"/>
                <w:szCs w:val="17"/>
                <w:rtl w:val="0"/>
              </w:rPr>
              <w:t xml:space="preserve">Recurring WAGP interruptions from Niger Delta disruptions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4">
            <w:pPr>
              <w:rPr/>
            </w:pPr>
            <w:r w:rsidDel="00000000" w:rsidR="00000000" w:rsidRPr="00000000">
              <w:rPr>
                <w:b w:val="0"/>
                <w:bCs w:val="0"/>
                <w:color w:val="222222"/>
                <w:sz w:val="17"/>
                <w:szCs w:val="17"/>
                <w:rtl w:val="0"/>
              </w:rPr>
              <w:t xml:space="preserve">Offshore right-of-way encroachment</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rPr/>
            </w:pPr>
            <w:r w:rsidDel="00000000" w:rsidR="00000000" w:rsidRPr="00000000">
              <w:rPr>
                <w:b w:val="0"/>
                <w:bCs w:val="0"/>
                <w:color w:val="222222"/>
                <w:sz w:val="17"/>
                <w:szCs w:val="17"/>
                <w:rtl w:val="0"/>
              </w:rPr>
              <w:t xml:space="preserve">Manual, phone-in reporting only; no continuous monitoring</w:t>
            </w:r>
            <w:r w:rsidDel="00000000" w:rsidR="00000000" w:rsidRPr="00000000">
              <w:rPr>
                <w:rtl w:val="0"/>
              </w:rPr>
            </w:r>
          </w:p>
        </w:tc>
      </w:tr>
    </w:tbl>
    <w:p w:rsidR="00000000" w:rsidDel="00000000" w:rsidP="00000000" w:rsidRDefault="00000000" w:rsidRPr="00000000" w14:paraId="00000016">
      <w:pPr>
        <w:spacing w:after="180" w:before="50" w:lineRule="auto"/>
        <w:rPr/>
      </w:pPr>
      <w:r w:rsidDel="00000000" w:rsidR="00000000" w:rsidRPr="00000000">
        <w:rPr>
          <w:i w:val="1"/>
          <w:iCs w:val="1"/>
          <w:color w:val="595959"/>
          <w:sz w:val="16"/>
          <w:szCs w:val="16"/>
          <w:rtl w:val="0"/>
        </w:rPr>
        <w:t xml:space="preserve">Figures are national/publicly reported estimates, not GNGC-specific; GNGC's own figures would be confirmed during a diagnostic assessment.</w:t>
      </w:r>
      <w:r w:rsidDel="00000000" w:rsidR="00000000" w:rsidRPr="00000000">
        <w:rPr>
          <w:rtl w:val="0"/>
        </w:rPr>
      </w:r>
    </w:p>
    <w:p w:rsidR="00000000" w:rsidDel="00000000" w:rsidP="00000000" w:rsidRDefault="00000000" w:rsidRPr="00000000" w14:paraId="00000017">
      <w:pPr>
        <w:pStyle w:val="Heading1"/>
        <w:pBdr>
          <w:bottom w:color="0e7c7b" w:space="4" w:sz="6" w:val="single"/>
        </w:pBdr>
        <w:spacing w:after="140" w:before="320" w:lineRule="auto"/>
        <w:rPr/>
      </w:pPr>
      <w:r w:rsidDel="00000000" w:rsidR="00000000" w:rsidRPr="00000000">
        <w:rPr>
          <w:b w:val="1"/>
          <w:bCs w:val="1"/>
          <w:color w:val="1b3a5c"/>
          <w:sz w:val="27"/>
          <w:szCs w:val="27"/>
          <w:rtl w:val="0"/>
        </w:rPr>
        <w:t xml:space="preserve">3. Proposed Solution: The GasGuard Suite</w:t>
      </w:r>
      <w:r w:rsidDel="00000000" w:rsidR="00000000" w:rsidRPr="00000000">
        <w:rPr>
          <w:rtl w:val="0"/>
        </w:rPr>
      </w:r>
    </w:p>
    <w:p w:rsidR="00000000" w:rsidDel="00000000" w:rsidP="00000000" w:rsidRDefault="00000000" w:rsidRPr="00000000" w14:paraId="00000018">
      <w:pPr>
        <w:spacing w:after="140" w:line="268" w:lineRule="auto"/>
        <w:jc w:val="both"/>
        <w:rPr/>
      </w:pPr>
      <w:r w:rsidDel="00000000" w:rsidR="00000000" w:rsidRPr="00000000">
        <w:rPr>
          <w:b w:val="0"/>
          <w:bCs w:val="0"/>
          <w:i w:val="0"/>
          <w:iCs w:val="0"/>
          <w:sz w:val="20"/>
          <w:szCs w:val="20"/>
          <w:rtl w:val="0"/>
        </w:rPr>
        <w:t xml:space="preserve">A modular platform, adoptable in stages, with one AI-driven dashboard fusing all data sources: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GasGuard Reconcile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SCADA/mass-balance reconciliation at every custody-transfer point; the same math that flags a leak also flags unauthorized offtake.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GasGuard FiberWatch</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fiber-optic acoustic sensing on the offshore WAGP corridor, fused with vessel-tracking data, replacing manual phone-in reporting.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GasGuard SkyView</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satellite/aerial methane screening for independent, basin-wide leak and supply-risk detection.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GasGuard FieldLink</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low-cost IoT telemetry extending monitoring to legacy and remote assets without full fiber retrofit.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GasGuard TrackTrace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tamper-evident flow metering and GPS telematics on LPG bulk trucks, directly targeting the siphoning problem.</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GasGuard MarkChain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product marking (extending Ghana's existing marking scheme to gas liquids) plus a digital custody audit trail, making diverted product traceable and prosecutable.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GasGuard Fusion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the AI/ML layer combining all of the above into one prioritized alert stream for GNGC's control room and field teams.</w:t>
      </w:r>
    </w:p>
    <w:p w:rsidR="00000000" w:rsidDel="00000000" w:rsidP="00000000" w:rsidRDefault="00000000" w:rsidRPr="00000000" w14:paraId="00000020">
      <w:pPr>
        <w:pStyle w:val="Heading1"/>
        <w:pBdr>
          <w:bottom w:color="0e7c7b" w:space="4" w:sz="6" w:val="single"/>
        </w:pBdr>
        <w:spacing w:after="140" w:before="320" w:lineRule="auto"/>
        <w:rPr/>
      </w:pPr>
      <w:r w:rsidDel="00000000" w:rsidR="00000000" w:rsidRPr="00000000">
        <w:rPr>
          <w:b w:val="1"/>
          <w:bCs w:val="1"/>
          <w:color w:val="1b3a5c"/>
          <w:sz w:val="27"/>
          <w:szCs w:val="27"/>
          <w:rtl w:val="0"/>
        </w:rPr>
        <w:t xml:space="preserve">4. Why This Works</w:t>
      </w:r>
      <w:r w:rsidDel="00000000" w:rsidR="00000000" w:rsidRPr="00000000">
        <w:rPr>
          <w:rtl w:val="0"/>
        </w:rPr>
      </w:r>
    </w:p>
    <w:p w:rsidR="00000000" w:rsidDel="00000000" w:rsidP="00000000" w:rsidRDefault="00000000" w:rsidRPr="00000000" w14:paraId="00000021">
      <w:pPr>
        <w:spacing w:after="140" w:line="268" w:lineRule="auto"/>
        <w:jc w:val="both"/>
        <w:rPr/>
      </w:pPr>
      <w:r w:rsidDel="00000000" w:rsidR="00000000" w:rsidRPr="00000000">
        <w:rPr>
          <w:b w:val="0"/>
          <w:bCs w:val="0"/>
          <w:i w:val="0"/>
          <w:iCs w:val="0"/>
          <w:sz w:val="20"/>
          <w:szCs w:val="20"/>
          <w:rtl w:val="0"/>
        </w:rPr>
        <w:t xml:space="preserve">These technology categories are already proven elsewhere: Kinder Morgan reported a ~30% incident reduction and ~$3M in savings from AI-based leak detection on a 500-mile pipeline segment; Enbridge's Azure-based right-of-way AI reported a ~30% improvement in threat detection; and independent (peer-reviewed) satellite validation studies confirm this class of technology can reliably detect and quantify leaks. GNGC's own savings would depend on its network and would be established through the diagnostic phase below</w:t>
      </w:r>
      <w:r w:rsidDel="00000000" w:rsidR="00000000" w:rsidRPr="00000000">
        <w:rPr>
          <w:rtl w:val="0"/>
        </w:rPr>
        <w:t xml:space="preserve">,</w:t>
      </w:r>
      <w:r w:rsidDel="00000000" w:rsidR="00000000" w:rsidRPr="00000000">
        <w:rPr>
          <w:b w:val="0"/>
          <w:bCs w:val="0"/>
          <w:i w:val="0"/>
          <w:iCs w:val="0"/>
          <w:sz w:val="20"/>
          <w:szCs w:val="20"/>
          <w:rtl w:val="0"/>
        </w:rPr>
        <w:t xml:space="preserve"> SIGL does not project a specific figure without access to GNGC's internal data.</w:t>
      </w:r>
      <w:r w:rsidDel="00000000" w:rsidR="00000000" w:rsidRPr="00000000">
        <w:rPr>
          <w:rtl w:val="0"/>
        </w:rPr>
      </w:r>
    </w:p>
    <w:p w:rsidR="00000000" w:rsidDel="00000000" w:rsidP="00000000" w:rsidRDefault="00000000" w:rsidRPr="00000000" w14:paraId="00000022">
      <w:pPr>
        <w:pStyle w:val="Heading1"/>
        <w:pBdr>
          <w:bottom w:color="0e7c7b" w:space="4" w:sz="6" w:val="single"/>
        </w:pBdr>
        <w:spacing w:after="140" w:before="320" w:lineRule="auto"/>
        <w:rPr/>
      </w:pPr>
      <w:r w:rsidDel="00000000" w:rsidR="00000000" w:rsidRPr="00000000">
        <w:rPr>
          <w:b w:val="1"/>
          <w:bCs w:val="1"/>
          <w:color w:val="1b3a5c"/>
          <w:sz w:val="27"/>
          <w:szCs w:val="27"/>
          <w:rtl w:val="0"/>
        </w:rPr>
        <w:t xml:space="preserve">5. Approach and Commercial Structure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Phase 0 (6 weeks): joint diagnostic assessment of GNGC's infrastructure and loss data, producing a GNGC-specific business case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fixed fee, delivered regardless of further commitment.</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Phase 1: foundational rollout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Reconcile, FieldLink, and the Fusion dashboard, reusing existing metering where possible.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Phase 2: FiberWatch on the offshore corridor and TrackTrace across the LPG fleet.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Phase 3: MarkChain rollout with the NPA, and full platform integration.</w:t>
      </w:r>
    </w:p>
    <w:p w:rsidR="00000000" w:rsidDel="00000000" w:rsidP="00000000" w:rsidRDefault="00000000" w:rsidRPr="00000000" w14:paraId="00000027">
      <w:pPr>
        <w:spacing w:after="140" w:line="268" w:lineRule="auto"/>
        <w:jc w:val="both"/>
        <w:rPr/>
      </w:pPr>
      <w:r w:rsidDel="00000000" w:rsidR="00000000" w:rsidRPr="00000000">
        <w:rPr>
          <w:b w:val="0"/>
          <w:bCs w:val="0"/>
          <w:i w:val="0"/>
          <w:iCs w:val="0"/>
          <w:sz w:val="20"/>
          <w:szCs w:val="20"/>
          <w:rtl w:val="0"/>
        </w:rPr>
        <w:t xml:space="preserve">Commercially, we propose a one-time integration fee plus an annual software/support subscription, with third-party hardware (fiber, satellite, IoT, meters) passed through at cost plus integration margin. A detailed, itemized quote follows agreement on Phase 0 scope.</w:t>
      </w:r>
      <w:r w:rsidDel="00000000" w:rsidR="00000000" w:rsidRPr="00000000">
        <w:rPr>
          <w:rtl w:val="0"/>
        </w:rPr>
      </w:r>
    </w:p>
    <w:p w:rsidR="00000000" w:rsidDel="00000000" w:rsidP="00000000" w:rsidRDefault="00000000" w:rsidRPr="00000000" w14:paraId="00000028">
      <w:pPr>
        <w:pStyle w:val="Heading1"/>
        <w:pBdr>
          <w:bottom w:color="0e7c7b" w:space="4" w:sz="6" w:val="single"/>
        </w:pBdr>
        <w:spacing w:after="140" w:before="320" w:lineRule="auto"/>
        <w:rPr/>
      </w:pPr>
      <w:r w:rsidDel="00000000" w:rsidR="00000000" w:rsidRPr="00000000">
        <w:rPr>
          <w:b w:val="1"/>
          <w:bCs w:val="1"/>
          <w:color w:val="1b3a5c"/>
          <w:sz w:val="27"/>
          <w:szCs w:val="27"/>
          <w:rtl w:val="0"/>
        </w:rPr>
        <w:t xml:space="preserve">6. Why Smart Innovations Ghana Limited</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Accra-based team for on-site delivery, rapid response, and long-term support.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Vendor-neutral integration</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best-fit hardware from proven international specialists, not a single locked-in supplier.</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module set designed specifically around GNGC's own documented risks, including LPG siphoning</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a gap most standard monitoring packages don't address.</w:t>
      </w:r>
    </w:p>
    <w:p w:rsidR="00000000" w:rsidDel="00000000" w:rsidP="00000000" w:rsidRDefault="00000000" w:rsidRPr="00000000" w14:paraId="0000002C">
      <w:pPr>
        <w:pStyle w:val="Heading1"/>
        <w:pBdr>
          <w:bottom w:color="0e7c7b" w:space="4" w:sz="6" w:val="single"/>
        </w:pBdr>
        <w:spacing w:after="140" w:before="320" w:lineRule="auto"/>
        <w:rPr/>
      </w:pPr>
      <w:r w:rsidDel="00000000" w:rsidR="00000000" w:rsidRPr="00000000">
        <w:rPr>
          <w:b w:val="1"/>
          <w:bCs w:val="1"/>
          <w:color w:val="1b3a5c"/>
          <w:sz w:val="27"/>
          <w:szCs w:val="27"/>
          <w:rtl w:val="0"/>
        </w:rPr>
        <w:t xml:space="preserve">7. Next Steps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scoping meeting with GNGC's technical and procurement teams.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 mutual NDA to enable the Phase 0 data review.</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0" w:lineRule="auto"/>
        <w:ind w:left="440" w:right="0" w:hanging="26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Agreement on Phase 0 scope and fee, with the business case delivered within six weeks of kickoff.</w:t>
      </w:r>
    </w:p>
    <w:p w:rsidR="00000000" w:rsidDel="00000000" w:rsidP="00000000" w:rsidRDefault="00000000" w:rsidRPr="00000000" w14:paraId="00000030">
      <w:pPr>
        <w:spacing w:after="140" w:line="268" w:lineRule="auto"/>
        <w:jc w:val="both"/>
        <w:rPr/>
      </w:pPr>
      <w:r w:rsidDel="00000000" w:rsidR="00000000" w:rsidRPr="00000000">
        <w:rPr>
          <w:b w:val="0"/>
          <w:bCs w:val="0"/>
          <w:i w:val="0"/>
          <w:iCs w:val="0"/>
          <w:sz w:val="20"/>
          <w:szCs w:val="20"/>
          <w:rtl w:val="0"/>
        </w:rPr>
        <w:t xml:space="preserve">We welcome the opportunity to discuss this proposal further.</w:t>
      </w:r>
      <w:r w:rsidDel="00000000" w:rsidR="00000000" w:rsidRPr="00000000">
        <w:rPr>
          <w:rtl w:val="0"/>
        </w:rPr>
      </w:r>
    </w:p>
    <w:p w:rsidR="00000000" w:rsidDel="00000000" w:rsidP="00000000" w:rsidRDefault="00000000" w:rsidRPr="00000000" w14:paraId="00000031">
      <w:pPr>
        <w:spacing w:before="200" w:lineRule="auto"/>
        <w:rPr/>
      </w:pPr>
      <w:r w:rsidDel="00000000" w:rsidR="00000000" w:rsidRPr="00000000">
        <w:rPr>
          <w:i w:val="1"/>
          <w:iCs w:val="1"/>
          <w:color w:val="595959"/>
          <w:sz w:val="19"/>
          <w:szCs w:val="19"/>
          <w:rtl w:val="0"/>
        </w:rPr>
        <w:t xml:space="preserve">Smart Innovations Ghana Limited  |  Accra, Republic of Ghana  |  [Contact name, email, phone]</w:t>
      </w:r>
      <w:r w:rsidDel="00000000" w:rsidR="00000000" w:rsidRPr="00000000">
        <w:rPr>
          <w:rtl w:val="0"/>
        </w:rPr>
      </w:r>
    </w:p>
    <w:sectPr>
      <w:headerReference r:id="rId6" w:type="default"/>
      <w:footerReference r:id="rId7"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pPr>
    <w:r w:rsidDel="00000000" w:rsidR="00000000" w:rsidRPr="00000000">
      <w:rPr>
        <w:color w:val="595959"/>
        <w:sz w:val="15"/>
        <w:szCs w:val="15"/>
        <w:rtl w:val="0"/>
      </w:rPr>
      <w:t xml:space="preserve">Page </w:t>
    </w:r>
    <w:r w:rsidDel="00000000" w:rsidR="00000000" w:rsidRPr="00000000">
      <w:rPr>
        <w:color w:val="595959"/>
        <w:sz w:val="15"/>
        <w:szCs w:val="15"/>
      </w:rPr>
      <w:fldChar w:fldCharType="begin"/>
      <w:instrText xml:space="preserve">PAGE</w:instrText>
      <w:fldChar w:fldCharType="separate"/>
      <w:fldChar w:fldCharType="end"/>
    </w:r>
    <w:r w:rsidDel="00000000" w:rsidR="00000000" w:rsidRPr="00000000">
      <w:rPr>
        <w:color w:val="595959"/>
        <w:sz w:val="15"/>
        <w:szCs w:val="15"/>
        <w:rtl w:val="0"/>
      </w:rPr>
      <w:t xml:space="preserve"> of </w:t>
    </w:r>
    <w:r w:rsidDel="00000000" w:rsidR="00000000" w:rsidRPr="00000000">
      <w:rPr>
        <w:color w:val="595959"/>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Bdr>
        <w:bottom w:color="bfbfbf" w:space="4" w:sz="4" w:val="single"/>
      </w:pBdr>
      <w:jc w:val="right"/>
      <w:rPr/>
    </w:pPr>
    <w:r w:rsidDel="00000000" w:rsidR="00000000" w:rsidRPr="00000000">
      <w:rPr>
        <w:i w:val="1"/>
        <w:iCs w:val="1"/>
        <w:color w:val="595959"/>
        <w:sz w:val="15"/>
        <w:szCs w:val="15"/>
        <w:rtl w:val="0"/>
      </w:rPr>
      <w:t xml:space="preserve">Smart Innovations Ghana Limited  |  Proposal to GNGC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