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1B3A5C"/>
          <w:sz w:val="34"/>
          <w:szCs w:val="34"/>
        </w:rPr>
        <w:t xml:space="preserve">SMART INNOVATIONS GHANA LIMITED</w:t>
      </w:r>
    </w:p>
    <w:p>
      <w:pPr>
        <w:spacing w:after="1400" w:before="40"/>
      </w:pPr>
      <w:r>
        <w:rPr>
          <w:i/>
          <w:iCs/>
          <w:color w:val="0E7C7B"/>
          <w:sz w:val="22"/>
          <w:szCs w:val="22"/>
        </w:rPr>
        <w:t xml:space="preserve">Technology Solutions for Energy Infrastructure Integrity</w:t>
      </w:r>
    </w:p>
    <w:p>
      <w:pPr>
        <w:spacing w:after="100" w:before="1200"/>
        <w:jc w:val="center"/>
      </w:pPr>
      <w:r>
        <w:rPr>
          <w:color w:val="595959"/>
          <w:sz w:val="24"/>
          <w:szCs w:val="24"/>
        </w:rPr>
        <w:t xml:space="preserve">PROPOSAL FOR</w:t>
      </w:r>
    </w:p>
    <w:p>
      <w:pPr>
        <w:spacing w:after="100" w:before="0"/>
        <w:jc w:val="center"/>
      </w:pPr>
      <w:r>
        <w:rPr>
          <w:b/>
          <w:bCs/>
          <w:color w:val="1B3A5C"/>
          <w:sz w:val="32"/>
          <w:szCs w:val="32"/>
        </w:rPr>
        <w:t xml:space="preserve">AN INTEGRATED PIPELINE MONITORING,</w:t>
      </w:r>
    </w:p>
    <w:p>
      <w:pPr>
        <w:spacing w:after="100" w:before="0"/>
        <w:jc w:val="center"/>
      </w:pPr>
      <w:r>
        <w:rPr>
          <w:b/>
          <w:bCs/>
          <w:color w:val="1B3A5C"/>
          <w:sz w:val="32"/>
          <w:szCs w:val="32"/>
        </w:rPr>
        <w:t xml:space="preserve">LOSS-PREVENTION &amp; CUSTODY-INTEGRITY PLATFORM</w:t>
      </w:r>
    </w:p>
    <w:p>
      <w:pPr>
        <w:spacing w:after="500" w:before="0"/>
        <w:jc w:val="center"/>
      </w:pPr>
      <w:r>
        <w:rPr>
          <w:b/>
          <w:bCs/>
          <w:color w:val="0E7C7B"/>
          <w:sz w:val="26"/>
          <w:szCs w:val="26"/>
        </w:rPr>
        <w:t xml:space="preserve">for the Ghana National Gas Company (GNGC)</w:t>
      </w:r>
    </w:p>
    <w:p>
      <w:pPr>
        <w:spacing w:after="60" w:before="1400"/>
        <w:jc w:val="center"/>
      </w:pPr>
      <w:r>
        <w:rPr>
          <w:color w:val="595959"/>
          <w:sz w:val="20"/>
          <w:szCs w:val="20"/>
        </w:rPr>
        <w:t xml:space="preserve">Submitted to:</w:t>
      </w:r>
    </w:p>
    <w:p>
      <w:pPr>
        <w:spacing w:after="60" w:before="0"/>
        <w:jc w:val="center"/>
      </w:pPr>
      <w:r>
        <w:rPr>
          <w:b/>
          <w:bCs/>
          <w:sz w:val="22"/>
          <w:szCs w:val="22"/>
        </w:rPr>
        <w:t xml:space="preserve">Ghana National Gas Company Limited (GNGC)</w:t>
      </w:r>
    </w:p>
    <w:p>
      <w:pPr>
        <w:spacing w:after="400" w:before="0"/>
        <w:jc w:val="center"/>
      </w:pPr>
      <w:r>
        <w:rPr>
          <w:color w:val="595959"/>
          <w:sz w:val="20"/>
          <w:szCs w:val="20"/>
        </w:rPr>
        <w:t xml:space="preserve">Takoradi / Accra, Republic of Ghana</w:t>
      </w:r>
    </w:p>
    <w:p>
      <w:pPr>
        <w:spacing w:after="60" w:before="200"/>
        <w:jc w:val="center"/>
      </w:pPr>
      <w:r>
        <w:rPr>
          <w:color w:val="595959"/>
          <w:sz w:val="20"/>
          <w:szCs w:val="20"/>
        </w:rPr>
        <w:t xml:space="preserve">Submitted by:</w:t>
      </w:r>
    </w:p>
    <w:p>
      <w:pPr>
        <w:spacing w:after="60" w:before="0"/>
        <w:jc w:val="center"/>
      </w:pPr>
      <w:r>
        <w:rPr>
          <w:b/>
          <w:bCs/>
          <w:sz w:val="22"/>
          <w:szCs w:val="22"/>
        </w:rPr>
        <w:t xml:space="preserve">Smart Innovations Ghana Limited</w:t>
      </w:r>
    </w:p>
    <w:p>
      <w:pPr>
        <w:spacing w:after="400" w:before="0"/>
        <w:jc w:val="center"/>
      </w:pPr>
      <w:r>
        <w:rPr>
          <w:color w:val="595959"/>
          <w:sz w:val="20"/>
          <w:szCs w:val="20"/>
        </w:rPr>
        <w:t xml:space="preserve">Accra, Republic of Ghana</w:t>
      </w:r>
    </w:p>
    <w:p>
      <w:pPr>
        <w:spacing w:after="0" w:before="800"/>
        <w:jc w:val="center"/>
      </w:pPr>
      <w:r>
        <w:rPr>
          <w:color w:val="595959"/>
          <w:sz w:val="20"/>
          <w:szCs w:val="20"/>
        </w:rPr>
        <w:t xml:space="preserve">July 2026</w:t>
      </w:r>
    </w:p>
    <w:p>
      <w:pPr>
        <w:spacing w:after="0" w:before="40"/>
        <w:jc w:val="center"/>
      </w:pPr>
      <w:r>
        <w:rPr>
          <w:i/>
          <w:iCs/>
          <w:color w:val="595959"/>
          <w:sz w:val="18"/>
          <w:szCs w:val="18"/>
        </w:rPr>
        <w:t xml:space="preserve">CONFIDENTIAL — Prepared exclusively for GNGC evaluation purposes</w:t>
      </w:r>
    </w:p>
    <w:p>
      <w:pPr>
        <w:sectPr>
          <w:pgSz w:w="12240" w:h="15840" w:orient="portrait"/>
          <w:pgMar w:top="1440" w:right="1440" w:bottom="1440" w:left="1440" w:header="708" w:footer="708" w:gutter="0"/>
          <w:pgNumType/>
          <w:docGrid w:linePitch="360"/>
        </w:sectPr>
      </w:pPr>
    </w:p>
    <w:p>
      <w:pPr>
        <w:pStyle w:val="Heading1"/>
        <w:pBdr>
          <w:bottom w:val="single" w:color="0E7C7B" w:sz="6" w:space="4"/>
        </w:pBdr>
        <w:spacing w:after="160" w:before="360"/>
      </w:pPr>
      <w:r>
        <w:rPr>
          <w:b/>
          <w:bCs/>
          <w:color w:val="1B3A5C"/>
          <w:sz w:val="30"/>
          <w:szCs w:val="30"/>
        </w:rPr>
        <w:t xml:space="preserve">1. Executive Summary</w:t>
      </w:r>
    </w:p>
    <w:p>
      <w:pPr>
        <w:spacing w:after="160" w:line="276"/>
        <w:jc w:val="both"/>
      </w:pPr>
      <w:r>
        <w:rPr>
          <w:b w:val="false"/>
          <w:bCs w:val="false"/>
          <w:i w:val="false"/>
          <w:iCs w:val="false"/>
          <w:color w:val="222222"/>
          <w:sz w:val="21"/>
          <w:szCs w:val="21"/>
        </w:rPr>
        <w:t xml:space="preserve">Smart Innovations Ghana Limited (“SIGL”) respectfully submits this proposal to the Ghana National Gas Company Limited (“GNGC” or “Ghana Gas”) for the design, supply, integration, and support of an Integrated Pipeline Monitoring, Loss-Prevention, and Custody-Integrity Platform (the “GasGuard Suite”).</w:t>
      </w:r>
    </w:p>
    <w:p>
      <w:pPr>
        <w:spacing w:after="160" w:line="276"/>
        <w:jc w:val="both"/>
      </w:pPr>
      <w:r>
        <w:rPr>
          <w:b w:val="false"/>
          <w:bCs w:val="false"/>
          <w:i w:val="false"/>
          <w:iCs w:val="false"/>
          <w:color w:val="222222"/>
          <w:sz w:val="21"/>
          <w:szCs w:val="21"/>
        </w:rPr>
        <w:t xml:space="preserve">Ghana Gas operates within a midstream environment defined by five compounding pressures: aging and capital-constrained processing infrastructure; dependence on a single upstream field (Sankofa) and a 678 km cross-border import pipeline (the West African Gas Pipeline, WAGP) exposed to disruption outside Ghana's control; an offshore right-of-way that overlaps active fishing grounds and is still monitored by manual, phone-in reporting; rapidly rising domestic demand that is multiplying the number of custody-transfer points GNGC must reconcile; and a national downstream environment in which product smuggling and LPG siphoning are independently and repeatedly flagged by the National Petroleum Authority (NPA) as material, ongoing revenue losses.</w:t>
      </w:r>
    </w:p>
    <w:p>
      <w:pPr>
        <w:spacing w:after="160" w:line="276"/>
        <w:jc w:val="both"/>
      </w:pPr>
      <w:r>
        <w:rPr>
          <w:b w:val="false"/>
          <w:bCs w:val="false"/>
          <w:i w:val="false"/>
          <w:iCs w:val="false"/>
          <w:color w:val="222222"/>
          <w:sz w:val="21"/>
          <w:szCs w:val="21"/>
        </w:rPr>
        <w:t xml:space="preserve">Nationally reported figures illustrate the scale of the underlying problem: Ghana's National Petroleum Authority has publicly cited losses of approximately US$200 million per year from petroleum product smuggling, and separate 2025 fiscal-loss estimates for illicit fuel trade have been quoted as high as GH¢7.2 billion. These figures describe Ghana's downstream petroleum sector broadly rather than GNGC in isolation, and Ghana Gas-specific loss figures are not, to our knowledge, independently published — but the same tank-farm-to-informal-distribution pathways, and the same lack of continuous, instrumented custody reconciliation, apply directly to gas liquids and LPG moving through and around GNGC's infrastructure. Every percentage point of these losses that is prevented, detected earlier, or made prosecutable represents real, recoverable revenue for GNGC and for Ghana.</w:t>
      </w:r>
    </w:p>
    <w:p>
      <w:pPr>
        <w:spacing w:after="160" w:line="276"/>
        <w:jc w:val="both"/>
      </w:pPr>
      <w:r>
        <w:rPr>
          <w:b w:val="false"/>
          <w:bCs w:val="false"/>
          <w:i w:val="false"/>
          <w:iCs w:val="false"/>
          <w:color w:val="222222"/>
          <w:sz w:val="21"/>
          <w:szCs w:val="21"/>
        </w:rPr>
        <w:t xml:space="preserve">SIGL proposes to address this with a modular, phased platform combining computational pipeline monitoring (mass-balance reconciliation), fiber-optic distributed acoustic sensing on the offshore corridor, satellite and aerial methane/product screening, IoT telemetry for capital-constrained legacy assets, tamper-evident flow metering and GPS telematics for LPG bulk trucks, and an AI/ML fusion and anomaly-detection layer that ties all of the above into a single control-room and mobile dashboard. Every module is chosen because it directly answers a challenge documented in GNGC's own operating environment — not a generic monitoring package repackaged for Ghana.</w:t>
      </w:r>
    </w:p>
    <w:p>
      <w:pPr>
        <w:spacing w:after="160" w:line="276"/>
        <w:jc w:val="both"/>
      </w:pPr>
      <w:r>
        <w:rPr>
          <w:b w:val="false"/>
          <w:bCs w:val="false"/>
          <w:i w:val="false"/>
          <w:iCs w:val="false"/>
          <w:color w:val="222222"/>
          <w:sz w:val="21"/>
          <w:szCs w:val="21"/>
        </w:rPr>
        <w:t xml:space="preserve">As a Ghanaian-registered technology company, SIGL is positioned to deliver this platform with local implementation capacity, in-country support, and a phased commercial structure that lets GNGC prove value on a limited scope before committing to full-network deployment. We welcome the opportunity to present this proposal in person and to tailor the scope, phasing, and commercial terms to GNGC's priorities.</w:t>
      </w:r>
    </w:p>
    <w:p>
      <w:pPr>
        <w:pStyle w:val="Heading1"/>
        <w:pBdr>
          <w:bottom w:val="single" w:color="0E7C7B" w:sz="6" w:space="4"/>
        </w:pBdr>
        <w:spacing w:after="160" w:before="360"/>
      </w:pPr>
      <w:r>
        <w:rPr>
          <w:b/>
          <w:bCs/>
          <w:color w:val="1B3A5C"/>
          <w:sz w:val="30"/>
          <w:szCs w:val="30"/>
        </w:rPr>
        <w:t xml:space="preserve">2. About Smart Innovations Ghana Limited</w:t>
      </w:r>
    </w:p>
    <w:p>
      <w:pPr>
        <w:spacing w:after="160" w:line="276"/>
        <w:jc w:val="both"/>
      </w:pPr>
      <w:r>
        <w:rPr>
          <w:b w:val="false"/>
          <w:bCs w:val="false"/>
          <w:i w:val="false"/>
          <w:iCs w:val="false"/>
          <w:color w:val="222222"/>
          <w:sz w:val="21"/>
          <w:szCs w:val="21"/>
        </w:rPr>
        <w:t xml:space="preserve">Smart Innovations Ghana Limited is a Ghana-based information technology and software engineering company focused on applying data integration, IoT, and artificial intelligence to infrastructure integrity, industrial monitoring, and revenue-assurance problems for energy, utility, and logistics operators in Ghana and the wider West African sub-region.</w:t>
      </w:r>
    </w:p>
    <w:p>
      <w:pPr>
        <w:spacing w:after="160" w:line="276"/>
        <w:jc w:val="both"/>
      </w:pPr>
      <w:r>
        <w:rPr>
          <w:b w:val="false"/>
          <w:bCs w:val="false"/>
          <w:i w:val="false"/>
          <w:iCs w:val="false"/>
          <w:color w:val="222222"/>
          <w:sz w:val="21"/>
          <w:szCs w:val="21"/>
        </w:rPr>
        <w:t xml:space="preserve">Our practice is built around three capabilities directly relevant to this proposal:</w:t>
      </w:r>
    </w:p>
    <w:p>
      <w:pPr>
        <w:pStyle w:val="ListParagraph"/>
        <w:numPr>
          <w:ilvl w:val="0"/>
          <w:numId w:val="2"/>
        </w:numPr>
        <w:spacing w:after="100" w:line="270"/>
      </w:pPr>
      <w:r>
        <w:rPr>
          <w:b w:val="false"/>
          <w:bCs w:val="false"/>
          <w:sz w:val="21"/>
          <w:szCs w:val="21"/>
        </w:rPr>
        <w:t xml:space="preserve">Systems integration — connecting SCADA, telemetry, satellite data feeds, and third-party sensor networks into a single operational picture, rather than leaving operators with disconnected point-solution dashboards.</w:t>
      </w:r>
    </w:p>
    <w:p>
      <w:pPr>
        <w:pStyle w:val="ListParagraph"/>
        <w:numPr>
          <w:ilvl w:val="0"/>
          <w:numId w:val="2"/>
        </w:numPr>
        <w:spacing w:after="100" w:line="270"/>
      </w:pPr>
      <w:r>
        <w:rPr>
          <w:b w:val="false"/>
          <w:bCs w:val="false"/>
          <w:sz w:val="21"/>
          <w:szCs w:val="21"/>
        </w:rPr>
        <w:t xml:space="preserve">Applied AI/ML — building anomaly-detection and predictive-maintenance models trained on operator-specific data, with particular attention to the class-imbalance problem that affects leak- and theft-detection models everywhere (labelled loss events are inherently rare).</w:t>
      </w:r>
    </w:p>
    <w:p>
      <w:pPr>
        <w:pStyle w:val="ListParagraph"/>
        <w:numPr>
          <w:ilvl w:val="0"/>
          <w:numId w:val="2"/>
        </w:numPr>
        <w:spacing w:after="100" w:line="270"/>
      </w:pPr>
      <w:r>
        <w:rPr>
          <w:b w:val="false"/>
          <w:bCs w:val="false"/>
          <w:sz w:val="21"/>
          <w:szCs w:val="21"/>
        </w:rPr>
        <w:t xml:space="preserve">Local delivery and support — an in-country engineering and field-support team able to work alongside GNGC's own operations, integrity, and IT/OT staff, rather than a fly-in, fly-out international vendor model.</w:t>
      </w:r>
    </w:p>
    <w:p>
      <w:pPr>
        <w:spacing w:after="160" w:line="276"/>
        <w:jc w:val="both"/>
      </w:pPr>
      <w:r>
        <w:rPr>
          <w:b w:val="false"/>
          <w:bCs w:val="false"/>
          <w:i w:val="false"/>
          <w:iCs w:val="false"/>
          <w:color w:val="222222"/>
          <w:sz w:val="21"/>
          <w:szCs w:val="21"/>
        </w:rPr>
        <w:t xml:space="preserve">SIGL does not manufacture sensing hardware. Our value to GNGC is in vendor-neutral integration, software, and local delivery: we select, procure, and integrate best-fit hardware from proven international specialists (referenced throughout this proposal) and build the software and AI layer that fuses their output into decisions GNGC's control room and field teams can act on.</w:t>
      </w:r>
    </w:p>
    <w:p>
      <w:pPr>
        <w:pStyle w:val="Heading1"/>
        <w:pBdr>
          <w:bottom w:val="single" w:color="0E7C7B" w:sz="6" w:space="4"/>
        </w:pBdr>
        <w:spacing w:after="160" w:before="360"/>
      </w:pPr>
      <w:r>
        <w:rPr>
          <w:b/>
          <w:bCs/>
          <w:color w:val="1B3A5C"/>
          <w:sz w:val="30"/>
          <w:szCs w:val="30"/>
        </w:rPr>
        <w:t xml:space="preserve">3. Understanding GNGC's Operating Environment</w:t>
      </w:r>
    </w:p>
    <w:p>
      <w:pPr>
        <w:spacing w:after="160" w:line="276"/>
        <w:jc w:val="both"/>
      </w:pPr>
      <w:r>
        <w:rPr>
          <w:b w:val="false"/>
          <w:bCs w:val="false"/>
          <w:i w:val="false"/>
          <w:iCs w:val="false"/>
          <w:color w:val="222222"/>
          <w:sz w:val="21"/>
          <w:szCs w:val="21"/>
        </w:rPr>
        <w:t xml:space="preserve">This proposal is grounded in a review of GNGC's publicly documented operating challenges, cross-referenced against how comparable technologies have performed for pipeline operators elsewhere. We summarize the challenges below, with particular attention to their financial dimension, before turning to our proposed response in Section 4.</w:t>
      </w:r>
    </w:p>
    <w:p>
      <w:pPr>
        <w:pStyle w:val="Heading2"/>
        <w:spacing w:after="120" w:before="280"/>
      </w:pPr>
      <w:r>
        <w:rPr>
          <w:b/>
          <w:bCs/>
          <w:color w:val="0E7C7B"/>
          <w:sz w:val="24"/>
          <w:szCs w:val="24"/>
        </w:rPr>
        <w:t xml:space="preserve">3.1 Aging, capital-constrained infrastructure</w:t>
      </w:r>
    </w:p>
    <w:p>
      <w:pPr>
        <w:spacing w:after="160" w:line="276"/>
        <w:jc w:val="both"/>
      </w:pPr>
      <w:r>
        <w:rPr>
          <w:b w:val="false"/>
          <w:bCs w:val="false"/>
          <w:i w:val="false"/>
          <w:iCs w:val="false"/>
          <w:color w:val="222222"/>
          <w:sz w:val="21"/>
          <w:szCs w:val="21"/>
        </w:rPr>
        <w:t xml:space="preserve">The Atuabo Gas Processing Plant was commissioned in November 2014, roughly two years behind its original 2012 target, and GNGC's second processing train (GPP2, an approximately US$700 million investment) is not expected before 2027. Ghana's wider gas-to-power build-out has also been slowed by financing bottlenecks, including delayed disbursement of a US$3 billion China Development Bank facility referenced in regional press, and Tema's floating storage and regasification terminal — under construction since 2017 — had still not come online as of mid-2025. Every year these assets run behind schedule is a year of continued reliance on manual inspection and reporting practices across the network, and constrained capex directly limits how much continuous-monitoring infrastructure (fiber, IoT, ILI-ready pipe) GNGC can retrofit onto existing lines rather than specify into new builds.</w:t>
      </w:r>
    </w:p>
    <w:p>
      <w:pPr>
        <w:pStyle w:val="Heading2"/>
        <w:spacing w:after="120" w:before="280"/>
      </w:pPr>
      <w:r>
        <w:rPr>
          <w:b/>
          <w:bCs/>
          <w:color w:val="0E7C7B"/>
          <w:sz w:val="24"/>
          <w:szCs w:val="24"/>
        </w:rPr>
        <w:t xml:space="preserve">3.2 Upstream and cross-border supply exposure</w:t>
      </w:r>
    </w:p>
    <w:p>
      <w:pPr>
        <w:spacing w:after="160" w:line="276"/>
        <w:jc w:val="both"/>
      </w:pPr>
      <w:r>
        <w:rPr>
          <w:b w:val="false"/>
          <w:bCs w:val="false"/>
          <w:i w:val="false"/>
          <w:iCs w:val="false"/>
          <w:color w:val="222222"/>
          <w:sz w:val="21"/>
          <w:szCs w:val="21"/>
        </w:rPr>
        <w:t xml:space="preserve">Roughly 70% of Ghana's domestic gas supply comes from a single field (Sankofa), and Ghana additionally depends on gas delivered via the 678 km West African Gas Pipeline from Nigeria's Niger Delta through Benin and Togo. Upstream disruptions in the Niger Delta have historically interrupted supply to Ghana, Togo, and Benin for extended periods, and Nigeria's own network continues to report dozens of vandalism and theft incidents annually as of 2025–2026 — a risk that propagates into Ghana's supply reliability even though the underlying theft occurs outside Ghana's borders. Every day of unplanned supply interruption has a direct, quantifiable cost in lost throughput, standby power generation costs, and contractual exposure, even where the root cause is outside GNGC's direct control.</w:t>
      </w:r>
    </w:p>
    <w:p>
      <w:pPr>
        <w:pStyle w:val="Heading2"/>
        <w:spacing w:after="120" w:before="280"/>
      </w:pPr>
      <w:r>
        <w:rPr>
          <w:b/>
          <w:bCs/>
          <w:color w:val="0E7C7B"/>
          <w:sz w:val="24"/>
          <w:szCs w:val="24"/>
        </w:rPr>
        <w:t xml:space="preserve">3.3 Offshore right-of-way encroachment</w:t>
      </w:r>
    </w:p>
    <w:p>
      <w:pPr>
        <w:spacing w:after="160" w:line="276"/>
        <w:jc w:val="both"/>
      </w:pPr>
      <w:r>
        <w:rPr>
          <w:b w:val="false"/>
          <w:bCs w:val="false"/>
          <w:i w:val="false"/>
          <w:iCs w:val="false"/>
          <w:color w:val="222222"/>
          <w:sz w:val="21"/>
          <w:szCs w:val="21"/>
        </w:rPr>
        <w:t xml:space="preserve">WAGP's offshore route imposes a roughly 1 km restricted zone that directly overlaps active fishing grounds, and WAPCo's current process for reporting irregularities, encroachment, or damage along the pipeline is still largely a manual, phone-in channel rather than a continuously instrumented one. Anchor drags, dredging, and unauthorized activity in this corridor carry both a direct repair cost and a far larger potential cost if an undetected strike leads to a rupture or supply interruption.</w:t>
      </w:r>
    </w:p>
    <w:p>
      <w:pPr>
        <w:pStyle w:val="Heading2"/>
        <w:spacing w:after="120" w:before="280"/>
      </w:pPr>
      <w:r>
        <w:rPr>
          <w:b/>
          <w:bCs/>
          <w:color w:val="0E7C7B"/>
          <w:sz w:val="24"/>
          <w:szCs w:val="24"/>
        </w:rPr>
        <w:t xml:space="preserve">3.4 Rising demand and a multiplying custody-transfer footprint</w:t>
      </w:r>
    </w:p>
    <w:p>
      <w:pPr>
        <w:spacing w:after="160" w:line="276"/>
        <w:jc w:val="both"/>
      </w:pPr>
      <w:r>
        <w:rPr>
          <w:b w:val="false"/>
          <w:bCs w:val="false"/>
          <w:i w:val="false"/>
          <w:iCs w:val="false"/>
          <w:color w:val="222222"/>
          <w:sz w:val="21"/>
          <w:szCs w:val="21"/>
        </w:rPr>
        <w:t xml:space="preserve">Ghana's own projections put domestic gas demand at roughly 840 mmscfd by 2030, well above current domestic production, pushing Ghana toward LNG imports and a regional “gas hub” role. Every additional import terminal and pipeline lateral this creates is another custody-transfer point where volume reconciliation and monitoring integrity must be maintained — and where, without instrumentation, both accidental loss and diversion become harder to distinguish and harder to catch.</w:t>
      </w:r>
    </w:p>
    <w:p>
      <w:pPr>
        <w:pStyle w:val="Heading2"/>
        <w:spacing w:after="120" w:before="280"/>
      </w:pPr>
      <w:r>
        <w:rPr>
          <w:b/>
          <w:bCs/>
          <w:color w:val="0E7C7B"/>
          <w:sz w:val="24"/>
          <w:szCs w:val="24"/>
        </w:rPr>
        <w:t xml:space="preserve">3.5 Smuggling of gas and petroleum products — a quantified national loss</w:t>
      </w:r>
    </w:p>
    <w:p>
      <w:pPr>
        <w:spacing w:after="160" w:line="276"/>
        <w:jc w:val="both"/>
      </w:pPr>
      <w:r>
        <w:rPr>
          <w:b w:val="false"/>
          <w:bCs w:val="false"/>
          <w:i w:val="false"/>
          <w:iCs w:val="false"/>
          <w:color w:val="222222"/>
          <w:sz w:val="21"/>
          <w:szCs w:val="21"/>
        </w:rPr>
        <w:t xml:space="preserve">Product smuggling is one of the most economically significant and best-documented problems in Ghana's downstream energy sector. Ghana's National Petroleum Authority has publicly attributed losses of approximately US$200 million per year to petroleum product smuggling, and separate 2025 press and industry-association estimates have put annual fiscal losses as high as GH¢7.2 billion, driven by tax-differential arbitrage, falsified export documentation, and diversion of subsidized product. Ghana's Navy and the NPA have run repeated maritime interdiction operations against small-boat fuel-smuggling networks along the coast as recently as May 2026. While most public reporting concerns liquid fuels, LPG is explicitly implicated as well: the same tank-farm-to-informal-distribution pathways that move smuggled gasoline and diesel are structurally available for diverted LPG and natural gas liquids — the product streams GNGC's own infrastructure carries and delivers.</w:t>
      </w:r>
    </w:p>
    <w:p>
      <w:pPr>
        <w:pStyle w:val="Heading2"/>
        <w:spacing w:after="120" w:before="280"/>
      </w:pPr>
      <w:r>
        <w:rPr>
          <w:b/>
          <w:bCs/>
          <w:color w:val="0E7C7B"/>
          <w:sz w:val="24"/>
          <w:szCs w:val="24"/>
        </w:rPr>
        <w:t xml:space="preserve">3.6 Siphoning of LPG and gas liquids — a distinct, under-instrumented loss category</w:t>
      </w:r>
    </w:p>
    <w:p>
      <w:pPr>
        <w:spacing w:after="160" w:line="276"/>
        <w:jc w:val="both"/>
      </w:pPr>
      <w:r>
        <w:rPr>
          <w:b w:val="false"/>
          <w:bCs w:val="false"/>
          <w:i w:val="false"/>
          <w:iCs w:val="false"/>
          <w:color w:val="222222"/>
          <w:sz w:val="21"/>
          <w:szCs w:val="21"/>
        </w:rPr>
        <w:t xml:space="preserve">The NPA has separately and specifically flagged siphoning of LPG from bulk delivery vehicles into unauthorized surface tanks as a distinct loss category from cross-border smuggling: here, product is diverted during domestic transport and transfer, not at the border. Because LPG bulk trucks and surface-tank transfer points are numerous, mobile, and geographically dispersed compared to a fixed pipeline, this loss category is structurally invisible to conventional pipeline-style fixed sensing and has, to date, had no equivalent “continuous monitoring” answer — it is caught, if at all, after the fact through inventory reconciliation.</w:t>
      </w:r>
    </w:p>
    <w:p>
      <w:pPr>
        <w:pStyle w:val="Heading2"/>
        <w:spacing w:after="120" w:before="280"/>
      </w:pPr>
      <w:r>
        <w:rPr>
          <w:b/>
          <w:bCs/>
          <w:color w:val="0E7C7B"/>
          <w:sz w:val="24"/>
          <w:szCs w:val="24"/>
        </w:rPr>
        <w:t xml:space="preserve">3.7 The financial picture, in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tblGrid>
      <w:tr>
        <w:tc>
          <w:tcPr>
            <w:tcW w:type="dxa" w:w="3200"/>
            <w:shd w:fill="1B3A5C" w:val="clear"/>
            <w:tcMar>
              <w:top w:type="dxa" w:w="90"/>
              <w:left w:type="dxa" w:w="110"/>
              <w:bottom w:type="dxa" w:w="90"/>
              <w:right w:type="dxa" w:w="110"/>
            </w:tcMar>
            <w:vAlign w:val="center"/>
          </w:tcPr>
          <w:p>
            <w:r>
              <w:rPr>
                <w:b/>
                <w:bCs/>
                <w:color w:val="FFFFFF"/>
                <w:sz w:val="18"/>
                <w:szCs w:val="18"/>
              </w:rPr>
              <w:t xml:space="preserve">Challenge</w:t>
            </w:r>
          </w:p>
        </w:tc>
        <w:tc>
          <w:tcPr>
            <w:tcW w:type="dxa" w:w="3600"/>
            <w:shd w:fill="1B3A5C" w:val="clear"/>
            <w:tcMar>
              <w:top w:type="dxa" w:w="90"/>
              <w:left w:type="dxa" w:w="110"/>
              <w:bottom w:type="dxa" w:w="90"/>
              <w:right w:type="dxa" w:w="110"/>
            </w:tcMar>
            <w:vAlign w:val="center"/>
          </w:tcPr>
          <w:p>
            <w:r>
              <w:rPr>
                <w:b/>
                <w:bCs/>
                <w:color w:val="FFFFFF"/>
                <w:sz w:val="18"/>
                <w:szCs w:val="18"/>
              </w:rPr>
              <w:t xml:space="preserve">Reported / estimated financial exposure</w:t>
            </w:r>
          </w:p>
        </w:tc>
        <w:tc>
          <w:tcPr>
            <w:tcW w:type="dxa" w:w="3200"/>
            <w:shd w:fill="1B3A5C" w:val="clear"/>
            <w:tcMar>
              <w:top w:type="dxa" w:w="90"/>
              <w:left w:type="dxa" w:w="110"/>
              <w:bottom w:type="dxa" w:w="90"/>
              <w:right w:type="dxa" w:w="110"/>
            </w:tcMar>
            <w:vAlign w:val="center"/>
          </w:tcPr>
          <w:p>
            <w:r>
              <w:rPr>
                <w:b/>
                <w:bCs/>
                <w:color w:val="FFFFFF"/>
                <w:sz w:val="18"/>
                <w:szCs w:val="18"/>
              </w:rPr>
              <w:t xml:space="preserve">Nature of the figure</w:t>
            </w:r>
          </w:p>
        </w:tc>
      </w:tr>
      <w:tr>
        <w:tc>
          <w:tcPr>
            <w:tcW w:type="dxa" w:w="3200"/>
            <w:tcMar>
              <w:top w:type="dxa" w:w="90"/>
              <w:left w:type="dxa" w:w="110"/>
              <w:bottom w:type="dxa" w:w="90"/>
              <w:right w:type="dxa" w:w="110"/>
            </w:tcMar>
            <w:vAlign w:val="center"/>
          </w:tcPr>
          <w:p>
            <w:r>
              <w:rPr>
                <w:b w:val="false"/>
                <w:bCs w:val="false"/>
                <w:color w:val="222222"/>
                <w:sz w:val="18"/>
                <w:szCs w:val="18"/>
              </w:rPr>
              <w:t xml:space="preserve">National petroleum product smuggling</w:t>
            </w:r>
          </w:p>
        </w:tc>
        <w:tc>
          <w:tcPr>
            <w:tcW w:type="dxa" w:w="3600"/>
            <w:tcMar>
              <w:top w:type="dxa" w:w="90"/>
              <w:left w:type="dxa" w:w="110"/>
              <w:bottom w:type="dxa" w:w="90"/>
              <w:right w:type="dxa" w:w="110"/>
            </w:tcMar>
            <w:vAlign w:val="center"/>
          </w:tcPr>
          <w:p>
            <w:r>
              <w:rPr>
                <w:b w:val="false"/>
                <w:bCs w:val="false"/>
                <w:color w:val="222222"/>
                <w:sz w:val="18"/>
                <w:szCs w:val="18"/>
              </w:rPr>
              <w:t xml:space="preserve">~US$200 million/year (NPA); up to GH¢7.2 billion cited for 2025</w:t>
            </w:r>
          </w:p>
        </w:tc>
        <w:tc>
          <w:tcPr>
            <w:tcW w:type="dxa" w:w="3200"/>
            <w:tcMar>
              <w:top w:type="dxa" w:w="90"/>
              <w:left w:type="dxa" w:w="110"/>
              <w:bottom w:type="dxa" w:w="90"/>
              <w:right w:type="dxa" w:w="110"/>
            </w:tcMar>
            <w:vAlign w:val="center"/>
          </w:tcPr>
          <w:p>
            <w:r>
              <w:rPr>
                <w:b w:val="false"/>
                <w:bCs w:val="false"/>
                <w:color w:val="222222"/>
                <w:sz w:val="18"/>
                <w:szCs w:val="18"/>
              </w:rPr>
              <w:t xml:space="preserve">National downstream estimate, not GNGC-specific</w:t>
            </w:r>
          </w:p>
        </w:tc>
      </w:tr>
      <w:tr>
        <w:tc>
          <w:tcPr>
            <w:tcW w:type="dxa" w:w="3200"/>
            <w:shd w:fill="EAF1F1" w:val="clear"/>
            <w:tcMar>
              <w:top w:type="dxa" w:w="90"/>
              <w:left w:type="dxa" w:w="110"/>
              <w:bottom w:type="dxa" w:w="90"/>
              <w:right w:type="dxa" w:w="110"/>
            </w:tcMar>
            <w:vAlign w:val="center"/>
          </w:tcPr>
          <w:p>
            <w:r>
              <w:rPr>
                <w:b w:val="false"/>
                <w:bCs w:val="false"/>
                <w:color w:val="222222"/>
                <w:sz w:val="18"/>
                <w:szCs w:val="18"/>
              </w:rPr>
              <w:t xml:space="preserve">LPG siphoning from bulk vehicles</w:t>
            </w:r>
          </w:p>
        </w:tc>
        <w:tc>
          <w:tcPr>
            <w:tcW w:type="dxa" w:w="3600"/>
            <w:shd w:fill="EAF1F1" w:val="clear"/>
            <w:tcMar>
              <w:top w:type="dxa" w:w="90"/>
              <w:left w:type="dxa" w:w="110"/>
              <w:bottom w:type="dxa" w:w="90"/>
              <w:right w:type="dxa" w:w="110"/>
            </w:tcMar>
            <w:vAlign w:val="center"/>
          </w:tcPr>
          <w:p>
            <w:r>
              <w:rPr>
                <w:b w:val="false"/>
                <w:bCs w:val="false"/>
                <w:color w:val="222222"/>
                <w:sz w:val="18"/>
                <w:szCs w:val="18"/>
              </w:rPr>
              <w:t xml:space="preserve">Flagged by NPA as materially significant; no independently audited national total identified</w:t>
            </w:r>
          </w:p>
        </w:tc>
        <w:tc>
          <w:tcPr>
            <w:tcW w:type="dxa" w:w="3200"/>
            <w:shd w:fill="EAF1F1" w:val="clear"/>
            <w:tcMar>
              <w:top w:type="dxa" w:w="90"/>
              <w:left w:type="dxa" w:w="110"/>
              <w:bottom w:type="dxa" w:w="90"/>
              <w:right w:type="dxa" w:w="110"/>
            </w:tcMar>
            <w:vAlign w:val="center"/>
          </w:tcPr>
          <w:p>
            <w:r>
              <w:rPr>
                <w:b w:val="false"/>
                <w:bCs w:val="false"/>
                <w:color w:val="222222"/>
                <w:sz w:val="18"/>
                <w:szCs w:val="18"/>
              </w:rPr>
              <w:t xml:space="preserve">Distinct loss category, separately confirmed by regulator</w:t>
            </w:r>
          </w:p>
        </w:tc>
      </w:tr>
      <w:tr>
        <w:tc>
          <w:tcPr>
            <w:tcW w:type="dxa" w:w="3200"/>
            <w:tcMar>
              <w:top w:type="dxa" w:w="90"/>
              <w:left w:type="dxa" w:w="110"/>
              <w:bottom w:type="dxa" w:w="90"/>
              <w:right w:type="dxa" w:w="110"/>
            </w:tcMar>
            <w:vAlign w:val="center"/>
          </w:tcPr>
          <w:p>
            <w:r>
              <w:rPr>
                <w:b w:val="false"/>
                <w:bCs w:val="false"/>
                <w:color w:val="222222"/>
                <w:sz w:val="18"/>
                <w:szCs w:val="18"/>
              </w:rPr>
              <w:t xml:space="preserve">GPP2 second processing train delay</w:t>
            </w:r>
          </w:p>
        </w:tc>
        <w:tc>
          <w:tcPr>
            <w:tcW w:type="dxa" w:w="3600"/>
            <w:tcMar>
              <w:top w:type="dxa" w:w="90"/>
              <w:left w:type="dxa" w:w="110"/>
              <w:bottom w:type="dxa" w:w="90"/>
              <w:right w:type="dxa" w:w="110"/>
            </w:tcMar>
            <w:vAlign w:val="center"/>
          </w:tcPr>
          <w:p>
            <w:r>
              <w:rPr>
                <w:b w:val="false"/>
                <w:bCs w:val="false"/>
                <w:color w:val="222222"/>
                <w:sz w:val="18"/>
                <w:szCs w:val="18"/>
              </w:rPr>
              <w:t xml:space="preserve">~US$700 million investment deferred to 2027</w:t>
            </w:r>
          </w:p>
        </w:tc>
        <w:tc>
          <w:tcPr>
            <w:tcW w:type="dxa" w:w="3200"/>
            <w:tcMar>
              <w:top w:type="dxa" w:w="90"/>
              <w:left w:type="dxa" w:w="110"/>
              <w:bottom w:type="dxa" w:w="90"/>
              <w:right w:type="dxa" w:w="110"/>
            </w:tcMar>
            <w:vAlign w:val="center"/>
          </w:tcPr>
          <w:p>
            <w:r>
              <w:rPr>
                <w:b w:val="false"/>
                <w:bCs w:val="false"/>
                <w:color w:val="222222"/>
                <w:sz w:val="18"/>
                <w:szCs w:val="18"/>
              </w:rPr>
              <w:t xml:space="preserve">Publicly reported capital project timeline</w:t>
            </w:r>
          </w:p>
        </w:tc>
      </w:tr>
      <w:tr>
        <w:tc>
          <w:tcPr>
            <w:tcW w:type="dxa" w:w="3200"/>
            <w:shd w:fill="EAF1F1" w:val="clear"/>
            <w:tcMar>
              <w:top w:type="dxa" w:w="90"/>
              <w:left w:type="dxa" w:w="110"/>
              <w:bottom w:type="dxa" w:w="90"/>
              <w:right w:type="dxa" w:w="110"/>
            </w:tcMar>
            <w:vAlign w:val="center"/>
          </w:tcPr>
          <w:p>
            <w:r>
              <w:rPr>
                <w:b w:val="false"/>
                <w:bCs w:val="false"/>
                <w:color w:val="222222"/>
                <w:sz w:val="18"/>
                <w:szCs w:val="18"/>
              </w:rPr>
              <w:t xml:space="preserve">Tema FSRU delay</w:t>
            </w:r>
          </w:p>
        </w:tc>
        <w:tc>
          <w:tcPr>
            <w:tcW w:type="dxa" w:w="3600"/>
            <w:shd w:fill="EAF1F1" w:val="clear"/>
            <w:tcMar>
              <w:top w:type="dxa" w:w="90"/>
              <w:left w:type="dxa" w:w="110"/>
              <w:bottom w:type="dxa" w:w="90"/>
              <w:right w:type="dxa" w:w="110"/>
            </w:tcMar>
            <w:vAlign w:val="center"/>
          </w:tcPr>
          <w:p>
            <w:r>
              <w:rPr>
                <w:b w:val="false"/>
                <w:bCs w:val="false"/>
                <w:color w:val="222222"/>
                <w:sz w:val="18"/>
                <w:szCs w:val="18"/>
              </w:rPr>
              <w:t xml:space="preserve">Not operational as of mid-2025 despite construction since 2017</w:t>
            </w:r>
          </w:p>
        </w:tc>
        <w:tc>
          <w:tcPr>
            <w:tcW w:type="dxa" w:w="3200"/>
            <w:shd w:fill="EAF1F1" w:val="clear"/>
            <w:tcMar>
              <w:top w:type="dxa" w:w="90"/>
              <w:left w:type="dxa" w:w="110"/>
              <w:bottom w:type="dxa" w:w="90"/>
              <w:right w:type="dxa" w:w="110"/>
            </w:tcMar>
            <w:vAlign w:val="center"/>
          </w:tcPr>
          <w:p>
            <w:r>
              <w:rPr>
                <w:b w:val="false"/>
                <w:bCs w:val="false"/>
                <w:color w:val="222222"/>
                <w:sz w:val="18"/>
                <w:szCs w:val="18"/>
              </w:rPr>
              <w:t xml:space="preserve">Publicly reported infrastructure delay</w:t>
            </w:r>
          </w:p>
        </w:tc>
      </w:tr>
      <w:tr>
        <w:tc>
          <w:tcPr>
            <w:tcW w:type="dxa" w:w="3200"/>
            <w:tcMar>
              <w:top w:type="dxa" w:w="90"/>
              <w:left w:type="dxa" w:w="110"/>
              <w:bottom w:type="dxa" w:w="90"/>
              <w:right w:type="dxa" w:w="110"/>
            </w:tcMar>
            <w:vAlign w:val="center"/>
          </w:tcPr>
          <w:p>
            <w:r>
              <w:rPr>
                <w:b w:val="false"/>
                <w:bCs w:val="false"/>
                <w:color w:val="222222"/>
                <w:sz w:val="18"/>
                <w:szCs w:val="18"/>
              </w:rPr>
              <w:t xml:space="preserve">Upstream/WAGP supply interruption risk</w:t>
            </w:r>
          </w:p>
        </w:tc>
        <w:tc>
          <w:tcPr>
            <w:tcW w:type="dxa" w:w="3600"/>
            <w:tcMar>
              <w:top w:type="dxa" w:w="90"/>
              <w:left w:type="dxa" w:w="110"/>
              <w:bottom w:type="dxa" w:w="90"/>
              <w:right w:type="dxa" w:w="110"/>
            </w:tcMar>
            <w:vAlign w:val="center"/>
          </w:tcPr>
          <w:p>
            <w:r>
              <w:rPr>
                <w:b w:val="false"/>
                <w:bCs w:val="false"/>
                <w:color w:val="222222"/>
                <w:sz w:val="18"/>
                <w:szCs w:val="18"/>
              </w:rPr>
              <w:t xml:space="preserve">Historically extended interruptions to Ghana, Togo, Benin</w:t>
            </w:r>
          </w:p>
        </w:tc>
        <w:tc>
          <w:tcPr>
            <w:tcW w:type="dxa" w:w="3200"/>
            <w:tcMar>
              <w:top w:type="dxa" w:w="90"/>
              <w:left w:type="dxa" w:w="110"/>
              <w:bottom w:type="dxa" w:w="90"/>
              <w:right w:type="dxa" w:w="110"/>
            </w:tcMar>
            <w:vAlign w:val="center"/>
          </w:tcPr>
          <w:p>
            <w:r>
              <w:rPr>
                <w:b w:val="false"/>
                <w:bCs w:val="false"/>
                <w:color w:val="222222"/>
                <w:sz w:val="18"/>
                <w:szCs w:val="18"/>
              </w:rPr>
              <w:t xml:space="preserve">Recurring regional risk, cost not separately quantified for GNGC</w:t>
            </w:r>
          </w:p>
        </w:tc>
      </w:tr>
    </w:tbl>
    <w:p>
      <w:pPr>
        <w:spacing w:after="200" w:before="60"/>
      </w:pPr>
      <w:r>
        <w:rPr>
          <w:i/>
          <w:iCs/>
          <w:color w:val="595959"/>
          <w:sz w:val="18"/>
          <w:szCs w:val="18"/>
        </w:rPr>
        <w:t xml:space="preserve">Table 1. Summary of publicly reported and estimated financial exposures relevant to GNGC's operating environment. Figures marked “national” describe Ghana's downstream sector broadly; GNGC-specific figures are not independently published and should be validated against GNGC's internal reconciliation data during the assessment phase described in Section 6.</w:t>
      </w:r>
    </w:p>
    <w:p>
      <w:pPr>
        <w:spacing w:after="160" w:line="276"/>
        <w:jc w:val="both"/>
      </w:pPr>
      <w:r>
        <w:rPr>
          <w:b w:val="false"/>
          <w:bCs w:val="false"/>
          <w:i/>
          <w:iCs/>
          <w:color w:val="222222"/>
          <w:sz w:val="21"/>
          <w:szCs w:val="21"/>
        </w:rPr>
        <w:t xml:space="preserve">SIGL is not in a position to state a precise annual loss figure specific to GNGC's own operations — those numbers are held internally and would form part of the joint assessment we propose in Section 6. What the figures above demonstrate is that the underlying loss mechanisms (smuggling, siphoning, unreconciled custody transfer, and disruption risk) are real, material, recurring, and independently confirmed by Ghana's own regulator — which is precisely the profile of problem that continuous monitoring and mass-balance reconciliation are built to address.</w:t>
      </w:r>
    </w:p>
    <w:p>
      <w:pPr>
        <w:pStyle w:val="Heading1"/>
        <w:pBdr>
          <w:bottom w:val="single" w:color="0E7C7B" w:sz="6" w:space="4"/>
        </w:pBdr>
        <w:spacing w:after="160" w:before="360"/>
      </w:pPr>
      <w:r>
        <w:rPr>
          <w:b/>
          <w:bCs/>
          <w:color w:val="1B3A5C"/>
          <w:sz w:val="30"/>
          <w:szCs w:val="30"/>
        </w:rPr>
        <w:t xml:space="preserve">4. Proposed Solution: The GasGuard Integrated Monitoring Suite</w:t>
      </w:r>
    </w:p>
    <w:p>
      <w:pPr>
        <w:spacing w:after="160" w:line="276"/>
        <w:jc w:val="both"/>
      </w:pPr>
      <w:r>
        <w:rPr>
          <w:b w:val="false"/>
          <w:bCs w:val="false"/>
          <w:i w:val="false"/>
          <w:iCs w:val="false"/>
          <w:color w:val="222222"/>
          <w:sz w:val="21"/>
          <w:szCs w:val="21"/>
        </w:rPr>
        <w:t xml:space="preserve">SIGL proposes a single, modular platform — the GasGuard Suite — built from six components. Each component maps directly to one or more of the challenges in Section 3, and each is built on technology categories that are commercially proven in the wider pipeline-monitoring industry rather than experimental. The platform is designed so GNGC can adopt modules incrementally rather than as an all-or-nothing commitment.</w:t>
      </w:r>
    </w:p>
    <w:p>
      <w:pPr>
        <w:pStyle w:val="Heading2"/>
        <w:spacing w:after="120" w:before="280"/>
      </w:pPr>
      <w:r>
        <w:rPr>
          <w:b/>
          <w:bCs/>
          <w:color w:val="0E7C7B"/>
          <w:sz w:val="24"/>
          <w:szCs w:val="24"/>
        </w:rPr>
        <w:t xml:space="preserve">4.1 Platform architecture</w:t>
      </w:r>
    </w:p>
    <w:p>
      <w:pPr>
        <w:spacing w:after="160" w:line="276"/>
        <w:jc w:val="both"/>
      </w:pPr>
      <w:r>
        <w:rPr>
          <w:b w:val="false"/>
          <w:bCs w:val="false"/>
          <w:i w:val="false"/>
          <w:iCs w:val="false"/>
          <w:color w:val="222222"/>
          <w:sz w:val="21"/>
          <w:szCs w:val="21"/>
        </w:rPr>
        <w:t xml:space="preserve">At its core, GasGuard is a fusion layer: field-level sensing and telemetry from multiple independent sources feed into a central AI/ML anomaly-detection engine, which produces a single, prioritized alert stream and dashboard for GNGC's control room, integrity team, and field/enforcement staff — rather than five separate systems that each require their own monitor. This mirrors the “system of systems” approach now standard among the largest North American pipeline operators, adapted here for GNGC's specific mix of fixed transmission infrastructure, offshore corridor, and mobile LPG distribution.</w:t>
      </w:r>
    </w:p>
    <w:p>
      <w:pPr>
        <w:pStyle w:val="Heading2"/>
        <w:spacing w:after="120" w:before="280"/>
      </w:pPr>
      <w:r>
        <w:rPr>
          <w:b/>
          <w:bCs/>
          <w:color w:val="0E7C7B"/>
          <w:sz w:val="24"/>
          <w:szCs w:val="24"/>
        </w:rPr>
        <w:t xml:space="preserve">4.2 Module 1 — GasGuard Reconcile (SCADA/CPM mass-balance monitoring)</w:t>
      </w:r>
    </w:p>
    <w:p>
      <w:pPr>
        <w:spacing w:after="160" w:line="276"/>
        <w:jc w:val="both"/>
      </w:pPr>
      <w:r>
        <w:rPr>
          <w:b w:val="false"/>
          <w:bCs w:val="false"/>
          <w:i w:val="false"/>
          <w:iCs w:val="false"/>
          <w:color w:val="222222"/>
          <w:sz w:val="21"/>
          <w:szCs w:val="21"/>
        </w:rPr>
        <w:t xml:space="preserve">A computational pipeline monitoring layer, built on the API 1130 mass-balance approach, that reconciles input volume against delivered volume at every custody-transfer point GNGC operates or receives gas through — the processing plant, import interconnections, and pipeline laterals. This is the lowest-cost, highest-leverage module in the suite because it largely reuses metering infrastructure GNGC already has: the same discrepancy math that flags an operational leak also flags unauthorized offtake, making it directly applicable to both the safety and the theft-prevention side of GNGC's mandate.</w:t>
      </w:r>
    </w:p>
    <w:p>
      <w:pPr>
        <w:pStyle w:val="Heading2"/>
        <w:spacing w:after="120" w:before="280"/>
      </w:pPr>
      <w:r>
        <w:rPr>
          <w:b/>
          <w:bCs/>
          <w:color w:val="0E7C7B"/>
          <w:sz w:val="24"/>
          <w:szCs w:val="24"/>
        </w:rPr>
        <w:t xml:space="preserve">4.3 Module 2 — GasGuard FiberWatch (offshore distributed acoustic sensing)</w:t>
      </w:r>
    </w:p>
    <w:p>
      <w:pPr>
        <w:spacing w:after="160" w:line="276"/>
        <w:jc w:val="both"/>
      </w:pPr>
      <w:r>
        <w:rPr>
          <w:b w:val="false"/>
          <w:bCs w:val="false"/>
          <w:i w:val="false"/>
          <w:iCs w:val="false"/>
          <w:color w:val="222222"/>
          <w:sz w:val="21"/>
          <w:szCs w:val="21"/>
        </w:rPr>
        <w:t xml:space="preserve">Fiber-optic distributed acoustic sensing (DAS) deployed along the offshore WAGP corridor, fused with Automatic Identification System (AIS) vessel-tracking data, to detect anchor drags, dredging, or unauthorized activity in real time rather than relying on the current phone-in reporting channel. Fusing DAS with AIS specifically distinguishes routine fishing-vessel transit through the restricted zone from genuine encroachment, reducing false alarms in a corridor where legitimate marine traffic is constant.</w:t>
      </w:r>
    </w:p>
    <w:p>
      <w:pPr>
        <w:pStyle w:val="Heading2"/>
        <w:spacing w:after="120" w:before="280"/>
      </w:pPr>
      <w:r>
        <w:rPr>
          <w:b/>
          <w:bCs/>
          <w:color w:val="0E7C7B"/>
          <w:sz w:val="24"/>
          <w:szCs w:val="24"/>
        </w:rPr>
        <w:t xml:space="preserve">4.4 Module 3 — GasGuard SkyView (satellite and aerial screening)</w:t>
      </w:r>
    </w:p>
    <w:p>
      <w:pPr>
        <w:spacing w:after="160" w:line="276"/>
        <w:jc w:val="both"/>
      </w:pPr>
      <w:r>
        <w:rPr>
          <w:b w:val="false"/>
          <w:bCs w:val="false"/>
          <w:i w:val="false"/>
          <w:iCs w:val="false"/>
          <w:color w:val="222222"/>
          <w:sz w:val="21"/>
          <w:szCs w:val="21"/>
        </w:rPr>
        <w:t xml:space="preserve">Integration with commercial satellite methane-imaging providers and, where justified, periodic aerial survey, to provide independent, basin-wide screening of both GNGC's own infrastructure and the upstream Nigerian feeder network that supplies WAGP — giving GNGC earlier, independent warning of major supply-side incidents rather than relying solely on upstream operator disclosure.</w:t>
      </w:r>
    </w:p>
    <w:p>
      <w:pPr>
        <w:pStyle w:val="Heading2"/>
        <w:spacing w:after="120" w:before="280"/>
      </w:pPr>
      <w:r>
        <w:rPr>
          <w:b/>
          <w:bCs/>
          <w:color w:val="0E7C7B"/>
          <w:sz w:val="24"/>
          <w:szCs w:val="24"/>
        </w:rPr>
        <w:t xml:space="preserve">4.5 Module 4 — GasGuard FieldLink (IoT telemetry for legacy and gathering assets)</w:t>
      </w:r>
    </w:p>
    <w:p>
      <w:pPr>
        <w:spacing w:after="160" w:line="276"/>
        <w:jc w:val="both"/>
      </w:pPr>
      <w:r>
        <w:rPr>
          <w:b w:val="false"/>
          <w:bCs w:val="false"/>
          <w:i w:val="false"/>
          <w:iCs w:val="false"/>
          <w:color w:val="222222"/>
          <w:sz w:val="21"/>
          <w:szCs w:val="21"/>
        </w:rPr>
        <w:t xml:space="preserve">Low-power wide-area network (LPWAN) and cellular IoT sensors to extend pressure, flow, and gas-concentration telemetry to remote valve sites, laterals, and legacy infrastructure that cannot economically be retrofitted with fiber. This is deliberately the most capital-light module in the suite — IoT hardware costs continue to fall sharply — making it the most fundable near-term option for extending monitoring under GNGC's current capital constraints.</w:t>
      </w:r>
    </w:p>
    <w:p>
      <w:pPr>
        <w:pStyle w:val="Heading2"/>
        <w:spacing w:after="120" w:before="280"/>
      </w:pPr>
      <w:r>
        <w:rPr>
          <w:b/>
          <w:bCs/>
          <w:color w:val="0E7C7B"/>
          <w:sz w:val="24"/>
          <w:szCs w:val="24"/>
        </w:rPr>
        <w:t xml:space="preserve">4.6 Module 5 — GasGuard TrackTrace (LPG bulk-vehicle instrumentation)</w:t>
      </w:r>
    </w:p>
    <w:p>
      <w:pPr>
        <w:spacing w:after="160" w:line="276"/>
        <w:jc w:val="both"/>
      </w:pPr>
      <w:r>
        <w:rPr>
          <w:b w:val="false"/>
          <w:bCs w:val="false"/>
          <w:i w:val="false"/>
          <w:iCs w:val="false"/>
          <w:color w:val="222222"/>
          <w:sz w:val="21"/>
          <w:szCs w:val="21"/>
        </w:rPr>
        <w:t xml:space="preserve">Purpose-built to address the siphoning problem described in Section 3.6, this module combines sealed, tamper-alarmed flow metering at truck loading and unloading points with GPS route telematics. It applies the same “detect the discrepancy” logic used in Module 1 to road-based LPG distribution: unscheduled stops, route deviations, or volume discrepancies between depot loading and retail delivery are flagged in near real time, rather than discovered weeks later through inventory reconciliation.</w:t>
      </w:r>
    </w:p>
    <w:p>
      <w:pPr>
        <w:pStyle w:val="Heading2"/>
        <w:spacing w:after="120" w:before="280"/>
      </w:pPr>
      <w:r>
        <w:rPr>
          <w:b/>
          <w:bCs/>
          <w:color w:val="0E7C7B"/>
          <w:sz w:val="24"/>
          <w:szCs w:val="24"/>
        </w:rPr>
        <w:t xml:space="preserve">4.7 Module 6 — GasGuard MarkChain (product marking and custody audit trail)</w:t>
      </w:r>
    </w:p>
    <w:p>
      <w:pPr>
        <w:spacing w:after="160" w:line="276"/>
        <w:jc w:val="both"/>
      </w:pPr>
      <w:r>
        <w:rPr>
          <w:b w:val="false"/>
          <w:bCs w:val="false"/>
          <w:i w:val="false"/>
          <w:iCs w:val="false"/>
          <w:color w:val="222222"/>
          <w:sz w:val="21"/>
          <w:szCs w:val="21"/>
        </w:rPr>
        <w:t xml:space="preserve">A chemical or isotopic product-marking capability, extending the model of Ghana's existing Petroleum Product Marking Scheme to gas liquids and LPG, combined with a digital custody-transfer audit trail. Marking makes diverted product forensically traceable and prosecutable — directly addressing the evidentiary gap that has historically limited enforcement action against smuggling and diversion — while the audit trail turns “product went missing somewhere in the chain” into a locatable, actionable finding.</w:t>
      </w:r>
    </w:p>
    <w:p>
      <w:pPr>
        <w:pStyle w:val="Heading2"/>
        <w:spacing w:after="120" w:before="280"/>
      </w:pPr>
      <w:r>
        <w:rPr>
          <w:b/>
          <w:bCs/>
          <w:color w:val="0E7C7B"/>
          <w:sz w:val="24"/>
          <w:szCs w:val="24"/>
        </w:rPr>
        <w:t xml:space="preserve">4.8 GasGuard Fusion — the AI/ML layer and control-room dashboard</w:t>
      </w:r>
    </w:p>
    <w:p>
      <w:pPr>
        <w:spacing w:after="160" w:line="276"/>
        <w:jc w:val="both"/>
      </w:pPr>
      <w:r>
        <w:rPr>
          <w:b w:val="false"/>
          <w:bCs w:val="false"/>
          <w:i w:val="false"/>
          <w:iCs w:val="false"/>
          <w:color w:val="222222"/>
          <w:sz w:val="21"/>
          <w:szCs w:val="21"/>
        </w:rPr>
        <w:t xml:space="preserve">Sitting above all five sensing modules, an AI/ML anomaly-detection and predictive-maintenance layer combines their output into a single risk score per pipeline segment, custody point, or vehicle route, and into one dashboard for GNGC's control room and a mobile app for field and enforcement staff. Because labelled loss and leak events are inherently rare (the class-imbalance problem noted across the industry), we propose to train and continuously refine this layer on GNGC's own operating and incident data from day one, rather than deploying a generic model unadapted to GNGC's specific network.</w:t>
      </w:r>
    </w:p>
    <w:p>
      <w:pPr>
        <w:pStyle w:val="Heading2"/>
        <w:spacing w:after="120" w:before="280"/>
      </w:pPr>
      <w:r>
        <w:rPr>
          <w:b/>
          <w:bCs/>
          <w:color w:val="0E7C7B"/>
          <w:sz w:val="24"/>
          <w:szCs w:val="24"/>
        </w:rPr>
        <w:t xml:space="preserve">4.9 Challenge-to-solution mapping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shd w:fill="1B3A5C" w:val="clear"/>
            <w:tcMar>
              <w:top w:type="dxa" w:w="90"/>
              <w:left w:type="dxa" w:w="110"/>
              <w:bottom w:type="dxa" w:w="90"/>
              <w:right w:type="dxa" w:w="110"/>
            </w:tcMar>
            <w:vAlign w:val="center"/>
          </w:tcPr>
          <w:p>
            <w:r>
              <w:rPr>
                <w:b/>
                <w:bCs/>
                <w:color w:val="FFFFFF"/>
                <w:sz w:val="18"/>
                <w:szCs w:val="18"/>
              </w:rPr>
              <w:t xml:space="preserve">Challenge (Section 3)</w:t>
            </w:r>
          </w:p>
        </w:tc>
        <w:tc>
          <w:tcPr>
            <w:tcW w:type="dxa" w:w="3300"/>
            <w:shd w:fill="1B3A5C" w:val="clear"/>
            <w:tcMar>
              <w:top w:type="dxa" w:w="90"/>
              <w:left w:type="dxa" w:w="110"/>
              <w:bottom w:type="dxa" w:w="90"/>
              <w:right w:type="dxa" w:w="110"/>
            </w:tcMar>
            <w:vAlign w:val="center"/>
          </w:tcPr>
          <w:p>
            <w:r>
              <w:rPr>
                <w:b/>
                <w:bCs/>
                <w:color w:val="FFFFFF"/>
                <w:sz w:val="18"/>
                <w:szCs w:val="18"/>
              </w:rPr>
              <w:t xml:space="preserve">GasGuard module(s)</w:t>
            </w:r>
          </w:p>
        </w:tc>
        <w:tc>
          <w:tcPr>
            <w:tcW w:type="dxa" w:w="3300"/>
            <w:shd w:fill="1B3A5C" w:val="clear"/>
            <w:tcMar>
              <w:top w:type="dxa" w:w="90"/>
              <w:left w:type="dxa" w:w="110"/>
              <w:bottom w:type="dxa" w:w="90"/>
              <w:right w:type="dxa" w:w="110"/>
            </w:tcMar>
            <w:vAlign w:val="center"/>
          </w:tcPr>
          <w:p>
            <w:r>
              <w:rPr>
                <w:b/>
                <w:bCs/>
                <w:color w:val="FFFFFF"/>
                <w:sz w:val="18"/>
                <w:szCs w:val="18"/>
              </w:rPr>
              <w:t xml:space="preserve">Primary financial benefit</w:t>
            </w:r>
          </w:p>
        </w:tc>
      </w:tr>
      <w:tr>
        <w:tc>
          <w:tcPr>
            <w:tcW w:type="dxa" w:w="3400"/>
            <w:tcMar>
              <w:top w:type="dxa" w:w="90"/>
              <w:left w:type="dxa" w:w="110"/>
              <w:bottom w:type="dxa" w:w="90"/>
              <w:right w:type="dxa" w:w="110"/>
            </w:tcMar>
            <w:vAlign w:val="center"/>
          </w:tcPr>
          <w:p>
            <w:r>
              <w:rPr>
                <w:b w:val="false"/>
                <w:bCs w:val="false"/>
                <w:color w:val="222222"/>
                <w:sz w:val="18"/>
                <w:szCs w:val="18"/>
              </w:rPr>
              <w:t xml:space="preserve">Aging, capital-constrained infrastructure</w:t>
            </w:r>
          </w:p>
        </w:tc>
        <w:tc>
          <w:tcPr>
            <w:tcW w:type="dxa" w:w="3300"/>
            <w:tcMar>
              <w:top w:type="dxa" w:w="90"/>
              <w:left w:type="dxa" w:w="110"/>
              <w:bottom w:type="dxa" w:w="90"/>
              <w:right w:type="dxa" w:w="110"/>
            </w:tcMar>
            <w:vAlign w:val="center"/>
          </w:tcPr>
          <w:p>
            <w:r>
              <w:rPr>
                <w:b w:val="false"/>
                <w:bCs w:val="false"/>
                <w:color w:val="222222"/>
                <w:sz w:val="18"/>
                <w:szCs w:val="18"/>
              </w:rPr>
              <w:t xml:space="preserve">FieldLink (IoT)</w:t>
            </w:r>
          </w:p>
        </w:tc>
        <w:tc>
          <w:tcPr>
            <w:tcW w:type="dxa" w:w="3300"/>
            <w:tcMar>
              <w:top w:type="dxa" w:w="90"/>
              <w:left w:type="dxa" w:w="110"/>
              <w:bottom w:type="dxa" w:w="90"/>
              <w:right w:type="dxa" w:w="110"/>
            </w:tcMar>
            <w:vAlign w:val="center"/>
          </w:tcPr>
          <w:p>
            <w:r>
              <w:rPr>
                <w:b w:val="false"/>
                <w:bCs w:val="false"/>
                <w:color w:val="222222"/>
                <w:sz w:val="18"/>
                <w:szCs w:val="18"/>
              </w:rPr>
              <w:t xml:space="preserve">Extends monitoring without full fiber/ILI retrofit capex</w:t>
            </w:r>
          </w:p>
        </w:tc>
      </w:tr>
      <w:tr>
        <w:tc>
          <w:tcPr>
            <w:tcW w:type="dxa" w:w="3400"/>
            <w:shd w:fill="EAF1F1" w:val="clear"/>
            <w:tcMar>
              <w:top w:type="dxa" w:w="90"/>
              <w:left w:type="dxa" w:w="110"/>
              <w:bottom w:type="dxa" w:w="90"/>
              <w:right w:type="dxa" w:w="110"/>
            </w:tcMar>
            <w:vAlign w:val="center"/>
          </w:tcPr>
          <w:p>
            <w:r>
              <w:rPr>
                <w:b w:val="false"/>
                <w:bCs w:val="false"/>
                <w:color w:val="222222"/>
                <w:sz w:val="18"/>
                <w:szCs w:val="18"/>
              </w:rPr>
              <w:t xml:space="preserve">Upstream/cross-border supply exposure</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Reconcile + SkyView</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Earlier warning reduces unplanned-interruption cost</w:t>
            </w:r>
          </w:p>
        </w:tc>
      </w:tr>
      <w:tr>
        <w:tc>
          <w:tcPr>
            <w:tcW w:type="dxa" w:w="3400"/>
            <w:tcMar>
              <w:top w:type="dxa" w:w="90"/>
              <w:left w:type="dxa" w:w="110"/>
              <w:bottom w:type="dxa" w:w="90"/>
              <w:right w:type="dxa" w:w="110"/>
            </w:tcMar>
            <w:vAlign w:val="center"/>
          </w:tcPr>
          <w:p>
            <w:r>
              <w:rPr>
                <w:b w:val="false"/>
                <w:bCs w:val="false"/>
                <w:color w:val="222222"/>
                <w:sz w:val="18"/>
                <w:szCs w:val="18"/>
              </w:rPr>
              <w:t xml:space="preserve">Offshore right-of-way encroachment</w:t>
            </w:r>
          </w:p>
        </w:tc>
        <w:tc>
          <w:tcPr>
            <w:tcW w:type="dxa" w:w="3300"/>
            <w:tcMar>
              <w:top w:type="dxa" w:w="90"/>
              <w:left w:type="dxa" w:w="110"/>
              <w:bottom w:type="dxa" w:w="90"/>
              <w:right w:type="dxa" w:w="110"/>
            </w:tcMar>
            <w:vAlign w:val="center"/>
          </w:tcPr>
          <w:p>
            <w:r>
              <w:rPr>
                <w:b w:val="false"/>
                <w:bCs w:val="false"/>
                <w:color w:val="222222"/>
                <w:sz w:val="18"/>
                <w:szCs w:val="18"/>
              </w:rPr>
              <w:t xml:space="preserve">FiberWatch (DAS + AIS)</w:t>
            </w:r>
          </w:p>
        </w:tc>
        <w:tc>
          <w:tcPr>
            <w:tcW w:type="dxa" w:w="3300"/>
            <w:tcMar>
              <w:top w:type="dxa" w:w="90"/>
              <w:left w:type="dxa" w:w="110"/>
              <w:bottom w:type="dxa" w:w="90"/>
              <w:right w:type="dxa" w:w="110"/>
            </w:tcMar>
            <w:vAlign w:val="center"/>
          </w:tcPr>
          <w:p>
            <w:r>
              <w:rPr>
                <w:b w:val="false"/>
                <w:bCs w:val="false"/>
                <w:color w:val="222222"/>
                <w:sz w:val="18"/>
                <w:szCs w:val="18"/>
              </w:rPr>
              <w:t xml:space="preserve">Avoids rupture/repair cost from undetected strikes</w:t>
            </w:r>
          </w:p>
        </w:tc>
      </w:tr>
      <w:tr>
        <w:tc>
          <w:tcPr>
            <w:tcW w:type="dxa" w:w="3400"/>
            <w:shd w:fill="EAF1F1" w:val="clear"/>
            <w:tcMar>
              <w:top w:type="dxa" w:w="90"/>
              <w:left w:type="dxa" w:w="110"/>
              <w:bottom w:type="dxa" w:w="90"/>
              <w:right w:type="dxa" w:w="110"/>
            </w:tcMar>
            <w:vAlign w:val="center"/>
          </w:tcPr>
          <w:p>
            <w:r>
              <w:rPr>
                <w:b w:val="false"/>
                <w:bCs w:val="false"/>
                <w:color w:val="222222"/>
                <w:sz w:val="18"/>
                <w:szCs w:val="18"/>
              </w:rPr>
              <w:t xml:space="preserve">Rising demand / more custody points</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Reconcile + Fusion</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Volume reconciliation scales with network growth</w:t>
            </w:r>
          </w:p>
        </w:tc>
      </w:tr>
      <w:tr>
        <w:tc>
          <w:tcPr>
            <w:tcW w:type="dxa" w:w="3400"/>
            <w:tcMar>
              <w:top w:type="dxa" w:w="90"/>
              <w:left w:type="dxa" w:w="110"/>
              <w:bottom w:type="dxa" w:w="90"/>
              <w:right w:type="dxa" w:w="110"/>
            </w:tcMar>
            <w:vAlign w:val="center"/>
          </w:tcPr>
          <w:p>
            <w:r>
              <w:rPr>
                <w:b w:val="false"/>
                <w:bCs w:val="false"/>
                <w:color w:val="222222"/>
                <w:sz w:val="18"/>
                <w:szCs w:val="18"/>
              </w:rPr>
              <w:t xml:space="preserve">Smuggling of gas/petroleum products</w:t>
            </w:r>
          </w:p>
        </w:tc>
        <w:tc>
          <w:tcPr>
            <w:tcW w:type="dxa" w:w="3300"/>
            <w:tcMar>
              <w:top w:type="dxa" w:w="90"/>
              <w:left w:type="dxa" w:w="110"/>
              <w:bottom w:type="dxa" w:w="90"/>
              <w:right w:type="dxa" w:w="110"/>
            </w:tcMar>
            <w:vAlign w:val="center"/>
          </w:tcPr>
          <w:p>
            <w:r>
              <w:rPr>
                <w:b w:val="false"/>
                <w:bCs w:val="false"/>
                <w:color w:val="222222"/>
                <w:sz w:val="18"/>
                <w:szCs w:val="18"/>
              </w:rPr>
              <w:t xml:space="preserve">MarkChain + Reconcile + Fusion</w:t>
            </w:r>
          </w:p>
        </w:tc>
        <w:tc>
          <w:tcPr>
            <w:tcW w:type="dxa" w:w="3300"/>
            <w:tcMar>
              <w:top w:type="dxa" w:w="90"/>
              <w:left w:type="dxa" w:w="110"/>
              <w:bottom w:type="dxa" w:w="90"/>
              <w:right w:type="dxa" w:w="110"/>
            </w:tcMar>
            <w:vAlign w:val="center"/>
          </w:tcPr>
          <w:p>
            <w:r>
              <w:rPr>
                <w:b w:val="false"/>
                <w:bCs w:val="false"/>
                <w:color w:val="222222"/>
                <w:sz w:val="18"/>
                <w:szCs w:val="18"/>
              </w:rPr>
              <w:t xml:space="preserve">Makes losses locatable, traceable, and prosecutable</w:t>
            </w:r>
          </w:p>
        </w:tc>
      </w:tr>
      <w:tr>
        <w:tc>
          <w:tcPr>
            <w:tcW w:type="dxa" w:w="3400"/>
            <w:shd w:fill="EAF1F1" w:val="clear"/>
            <w:tcMar>
              <w:top w:type="dxa" w:w="90"/>
              <w:left w:type="dxa" w:w="110"/>
              <w:bottom w:type="dxa" w:w="90"/>
              <w:right w:type="dxa" w:w="110"/>
            </w:tcMar>
            <w:vAlign w:val="center"/>
          </w:tcPr>
          <w:p>
            <w:r>
              <w:rPr>
                <w:b w:val="false"/>
                <w:bCs w:val="false"/>
                <w:color w:val="222222"/>
                <w:sz w:val="18"/>
                <w:szCs w:val="18"/>
              </w:rPr>
              <w:t xml:space="preserve">LPG siphoning from bulk vehicles</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TrackTrace + Fusion</w:t>
            </w:r>
          </w:p>
        </w:tc>
        <w:tc>
          <w:tcPr>
            <w:tcW w:type="dxa" w:w="3300"/>
            <w:shd w:fill="EAF1F1" w:val="clear"/>
            <w:tcMar>
              <w:top w:type="dxa" w:w="90"/>
              <w:left w:type="dxa" w:w="110"/>
              <w:bottom w:type="dxa" w:w="90"/>
              <w:right w:type="dxa" w:w="110"/>
            </w:tcMar>
            <w:vAlign w:val="center"/>
          </w:tcPr>
          <w:p>
            <w:r>
              <w:rPr>
                <w:b w:val="false"/>
                <w:bCs w:val="false"/>
                <w:color w:val="222222"/>
                <w:sz w:val="18"/>
                <w:szCs w:val="18"/>
              </w:rPr>
              <w:t xml:space="preserve">Near-real-time detection of road-based diversion</w:t>
            </w:r>
          </w:p>
        </w:tc>
      </w:tr>
    </w:tbl>
    <w:p>
      <w:pPr>
        <w:spacing w:after="200" w:before="60"/>
      </w:pPr>
      <w:r>
        <w:rPr>
          <w:i/>
          <w:iCs/>
          <w:color w:val="595959"/>
          <w:sz w:val="18"/>
          <w:szCs w:val="18"/>
        </w:rPr>
        <w:t xml:space="preserve">Table 2. Mapping of GNGC's documented challenges to the corresponding GasGuard module and its primary financial rationale.</w:t>
      </w:r>
    </w:p>
    <w:p>
      <w:pPr>
        <w:pStyle w:val="Heading1"/>
        <w:pBdr>
          <w:bottom w:val="single" w:color="0E7C7B" w:sz="6" w:space="4"/>
        </w:pBdr>
        <w:spacing w:after="160" w:before="360"/>
      </w:pPr>
      <w:r>
        <w:rPr>
          <w:b/>
          <w:bCs/>
          <w:color w:val="1B3A5C"/>
          <w:sz w:val="30"/>
          <w:szCs w:val="30"/>
        </w:rPr>
        <w:t xml:space="preserve">5. Expected Benefits and Return on Investment</w:t>
      </w:r>
    </w:p>
    <w:p>
      <w:pPr>
        <w:spacing w:after="160" w:line="276"/>
        <w:jc w:val="both"/>
      </w:pPr>
      <w:r>
        <w:rPr>
          <w:b w:val="false"/>
          <w:bCs w:val="false"/>
          <w:i w:val="false"/>
          <w:iCs w:val="false"/>
          <w:color w:val="222222"/>
          <w:sz w:val="21"/>
          <w:szCs w:val="21"/>
        </w:rPr>
        <w:t xml:space="preserve">The technology categories underlying GasGuard are not experimental; each has an operating track record with major pipeline operators internationally. We cite the most relevant, publicly disclosed examples below as evidence of what comparable deployments have achieved — while being explicit that GNGC's own results will depend on its specific network, and that the figures below are operator- or vendor-disclosed rather than independently audited unless stated otherwise.</w:t>
      </w:r>
    </w:p>
    <w:p>
      <w:pPr>
        <w:pStyle w:val="ListParagraph"/>
        <w:numPr>
          <w:ilvl w:val="0"/>
          <w:numId w:val="2"/>
        </w:numPr>
        <w:spacing w:after="100" w:line="270"/>
      </w:pPr>
      <w:r>
        <w:rPr>
          <w:b w:val="false"/>
          <w:bCs w:val="false"/>
          <w:sz w:val="21"/>
          <w:szCs w:val="21"/>
        </w:rPr>
        <w:t xml:space="preserve">Kinder Morgan reported that deploying AI-powered leak detection across a roughly 500-mile Permian Basin pipeline segment reduced incidents by approximately 30% and delivered about US$3 million in savings — one of the few publicly available, quantified operator ROI figures for this technology category.</w:t>
      </w:r>
    </w:p>
    <w:p>
      <w:pPr>
        <w:pStyle w:val="ListParagraph"/>
        <w:numPr>
          <w:ilvl w:val="0"/>
          <w:numId w:val="2"/>
        </w:numPr>
        <w:spacing w:after="100" w:line="270"/>
      </w:pPr>
      <w:r>
        <w:rPr>
          <w:b w:val="false"/>
          <w:bCs w:val="false"/>
          <w:sz w:val="21"/>
          <w:szCs w:val="21"/>
        </w:rPr>
        <w:t xml:space="preserve">Enbridge's AI-enhanced, Microsoft Azure-based right-of-way threat detection was reported, in a third-party evaluation cited in peer-reviewed literature, to improve overall threat detection by approximately 30% versus prior methods.</w:t>
      </w:r>
    </w:p>
    <w:p>
      <w:pPr>
        <w:pStyle w:val="ListParagraph"/>
        <w:numPr>
          <w:ilvl w:val="0"/>
          <w:numId w:val="2"/>
        </w:numPr>
        <w:spacing w:after="100" w:line="270"/>
      </w:pPr>
      <w:r>
        <w:rPr>
          <w:b w:val="false"/>
          <w:bCs w:val="false"/>
          <w:sz w:val="21"/>
          <w:szCs w:val="21"/>
        </w:rPr>
        <w:t xml:space="preserve">GHGSat's own basin-scale satellite research found that oil and gas facilities were leaking intermittently roughly 16% of the time observations were taken — precisely the pattern that periodic, manual survey methods are most likely to miss, and that continuous or frequent monitoring is built to catch.</w:t>
      </w:r>
    </w:p>
    <w:p>
      <w:pPr>
        <w:pStyle w:val="ListParagraph"/>
        <w:numPr>
          <w:ilvl w:val="0"/>
          <w:numId w:val="2"/>
        </w:numPr>
        <w:spacing w:after="100" w:line="270"/>
      </w:pPr>
      <w:r>
        <w:rPr>
          <w:b w:val="false"/>
          <w:bCs w:val="false"/>
          <w:sz w:val="21"/>
          <w:szCs w:val="21"/>
        </w:rPr>
        <w:t xml:space="preserve">The Cheltenham, UK case (2023–2024) is one of the first peer-reviewed, independently validated demonstrations that satellite-based leak detection and quantification can be cross-checked against ground survey data — evidence that this class of technology is now scientifically credible, not only vendor-marketed.</w:t>
      </w:r>
    </w:p>
    <w:p>
      <w:pPr>
        <w:pStyle w:val="Heading2"/>
        <w:spacing w:after="120" w:before="280"/>
      </w:pPr>
      <w:r>
        <w:rPr>
          <w:b/>
          <w:bCs/>
          <w:color w:val="0E7C7B"/>
          <w:sz w:val="24"/>
          <w:szCs w:val="24"/>
        </w:rPr>
        <w:t xml:space="preserve">5.1 Illustrative financial framing for GNGC</w:t>
      </w:r>
    </w:p>
    <w:p>
      <w:pPr>
        <w:spacing w:after="160" w:line="276"/>
        <w:jc w:val="both"/>
      </w:pPr>
      <w:r>
        <w:rPr>
          <w:b w:val="false"/>
          <w:bCs w:val="false"/>
          <w:i w:val="false"/>
          <w:iCs w:val="false"/>
          <w:color w:val="222222"/>
          <w:sz w:val="21"/>
          <w:szCs w:val="21"/>
        </w:rPr>
        <w:t xml:space="preserve">Precise loss figures specific to GNGC's own network are not publicly available, so we deliberately do not present a single projected savings number in this proposal. Instead, we recommend the joint diagnostic assessment described in Section 6 as the basis for a GNGC-specific business case. As an illustrative frame only: if even a modest share of the loss mechanisms described in Section 3 (which regulators already estimate at hundreds of millions of dollars annually across Ghana's downstream sector) is attributable to, or mirrored within, product streams GNGC handles, then a monitoring investment that recovers even a fraction of that exposure — in addition to the safety, compliance, and financing benefits described below — would represent a strong return relative to the platform's cost. We are glad to build a rigorous, GNGC-specific version of this analysis once we have access to internal volume-reconciliation and incident data under NDA.</w:t>
      </w:r>
    </w:p>
    <w:p>
      <w:pPr>
        <w:pStyle w:val="Heading2"/>
        <w:spacing w:after="120" w:before="280"/>
      </w:pPr>
      <w:r>
        <w:rPr>
          <w:b/>
          <w:bCs/>
          <w:color w:val="0E7C7B"/>
          <w:sz w:val="24"/>
          <w:szCs w:val="24"/>
        </w:rPr>
        <w:t xml:space="preserve">5.2 Non-financial benefits</w:t>
      </w:r>
    </w:p>
    <w:p>
      <w:pPr>
        <w:pStyle w:val="ListParagraph"/>
        <w:numPr>
          <w:ilvl w:val="0"/>
          <w:numId w:val="2"/>
        </w:numPr>
        <w:spacing w:after="100" w:line="270"/>
      </w:pPr>
      <w:r>
        <w:rPr>
          <w:b w:val="false"/>
          <w:bCs w:val="false"/>
          <w:sz w:val="21"/>
          <w:szCs w:val="21"/>
        </w:rPr>
        <w:t xml:space="preserve">Regulatory positioning: continuous monitoring is the direction PHMSA's stalled-but-directionally-clear rulemaking and the EU's Methane Regulation are both pushing international operators toward; GNGC investing ahead of comparable domestic requirements reduces future retrofit risk.</w:t>
      </w:r>
    </w:p>
    <w:p>
      <w:pPr>
        <w:pStyle w:val="ListParagraph"/>
        <w:numPr>
          <w:ilvl w:val="0"/>
          <w:numId w:val="2"/>
        </w:numPr>
        <w:spacing w:after="100" w:line="270"/>
      </w:pPr>
      <w:r>
        <w:rPr>
          <w:b w:val="false"/>
          <w:bCs w:val="false"/>
          <w:sz w:val="21"/>
          <w:szCs w:val="21"/>
        </w:rPr>
        <w:t xml:space="preserve">Financing and insurance leverage: underwriters and lenders increasingly price continuous-monitoring discipline into financing and insurance terms; verified loss reduction and verified safety/emissions compliance can help GNGC build a stronger case to lenders for projects like GPP2 and the Tema FSRU.</w:t>
      </w:r>
    </w:p>
    <w:p>
      <w:pPr>
        <w:pStyle w:val="ListParagraph"/>
        <w:numPr>
          <w:ilvl w:val="0"/>
          <w:numId w:val="2"/>
        </w:numPr>
        <w:spacing w:after="100" w:line="270"/>
      </w:pPr>
      <w:r>
        <w:rPr>
          <w:b w:val="false"/>
          <w:bCs w:val="false"/>
          <w:sz w:val="21"/>
          <w:szCs w:val="21"/>
        </w:rPr>
        <w:t xml:space="preserve">Safety and environmental outcomes: earlier leak detection reduces both safety risk to nearby communities and methane emissions, which carry a real and rising financial cost under emerging carbon and methane-fee frameworks.</w:t>
      </w:r>
    </w:p>
    <w:p>
      <w:pPr>
        <w:pStyle w:val="Heading1"/>
        <w:pBdr>
          <w:bottom w:val="single" w:color="0E7C7B" w:sz="6" w:space="4"/>
        </w:pBdr>
        <w:spacing w:after="160" w:before="360"/>
      </w:pPr>
      <w:r>
        <w:rPr>
          <w:b/>
          <w:bCs/>
          <w:color w:val="1B3A5C"/>
          <w:sz w:val="30"/>
          <w:szCs w:val="30"/>
        </w:rPr>
        <w:t xml:space="preserve">6. Implementation Approach and Roadmap</w:t>
      </w:r>
    </w:p>
    <w:p>
      <w:pPr>
        <w:spacing w:after="160" w:line="276"/>
        <w:jc w:val="both"/>
      </w:pPr>
      <w:r>
        <w:rPr>
          <w:b w:val="false"/>
          <w:bCs w:val="false"/>
          <w:i w:val="false"/>
          <w:iCs w:val="false"/>
          <w:color w:val="222222"/>
          <w:sz w:val="21"/>
          <w:szCs w:val="21"/>
        </w:rPr>
        <w:t xml:space="preserve">We recommend a phased implementation that lets GNGC validate value before committing to full-network deployment, and that respects the capital constraints described in Section 3.1.</w:t>
      </w:r>
    </w:p>
    <w:p>
      <w:pPr>
        <w:pStyle w:val="Heading2"/>
        <w:spacing w:after="120" w:before="280"/>
      </w:pPr>
      <w:r>
        <w:rPr>
          <w:b/>
          <w:bCs/>
          <w:color w:val="0E7C7B"/>
          <w:sz w:val="24"/>
          <w:szCs w:val="24"/>
        </w:rPr>
        <w:t xml:space="preserve">Phase 0 (Weeks 1–6) — Joint diagnostic assessment</w:t>
      </w:r>
    </w:p>
    <w:p>
      <w:pPr>
        <w:spacing w:after="160" w:line="276"/>
        <w:jc w:val="both"/>
      </w:pPr>
      <w:r>
        <w:rPr>
          <w:b w:val="false"/>
          <w:bCs w:val="false"/>
          <w:i w:val="false"/>
          <w:iCs w:val="false"/>
          <w:color w:val="222222"/>
          <w:sz w:val="21"/>
          <w:szCs w:val="21"/>
        </w:rPr>
        <w:t xml:space="preserve">A joint SIGL/GNGC assessment of existing SCADA, metering, and reporting infrastructure; a review of GNGC's internal loss and incident data under NDA; and a site survey of the highest-priority segments (the Atuabo plant, the offshore WAGP corridor, and a representative sample of LPG distribution routes). This phase produces the GNGC-specific business case referenced in Section 5.1 and a prioritized deployment plan.</w:t>
      </w:r>
    </w:p>
    <w:p>
      <w:pPr>
        <w:pStyle w:val="Heading2"/>
        <w:spacing w:after="120" w:before="280"/>
      </w:pPr>
      <w:r>
        <w:rPr>
          <w:b/>
          <w:bCs/>
          <w:color w:val="0E7C7B"/>
          <w:sz w:val="24"/>
          <w:szCs w:val="24"/>
        </w:rPr>
        <w:t xml:space="preserve">Phase 1 (Months 2–8) — Foundational modules</w:t>
      </w:r>
    </w:p>
    <w:p>
      <w:pPr>
        <w:spacing w:after="160" w:line="276"/>
        <w:jc w:val="both"/>
      </w:pPr>
      <w:r>
        <w:rPr>
          <w:b w:val="false"/>
          <w:bCs w:val="false"/>
          <w:i w:val="false"/>
          <w:iCs w:val="false"/>
          <w:color w:val="222222"/>
          <w:sz w:val="21"/>
          <w:szCs w:val="21"/>
        </w:rPr>
        <w:t xml:space="preserve">Deployment of GasGuard Reconcile across existing custody-transfer points (reusing current metering wherever possible), GasGuard FieldLink at priority remote/legacy sites, and the core GasGuard Fusion dashboard. This phase is designed to deliver the fastest, lowest-capital return and to give GNGC's control room its first unified view.</w:t>
      </w:r>
    </w:p>
    <w:p>
      <w:pPr>
        <w:pStyle w:val="Heading2"/>
        <w:spacing w:after="120" w:before="280"/>
      </w:pPr>
      <w:r>
        <w:rPr>
          <w:b/>
          <w:bCs/>
          <w:color w:val="0E7C7B"/>
          <w:sz w:val="24"/>
          <w:szCs w:val="24"/>
        </w:rPr>
        <w:t xml:space="preserve">Phase 2 (Months 6–14) — Corridor and fleet instrumentation</w:t>
      </w:r>
    </w:p>
    <w:p>
      <w:pPr>
        <w:spacing w:after="160" w:line="276"/>
        <w:jc w:val="both"/>
      </w:pPr>
      <w:r>
        <w:rPr>
          <w:b w:val="false"/>
          <w:bCs w:val="false"/>
          <w:i w:val="false"/>
          <w:iCs w:val="false"/>
          <w:color w:val="222222"/>
          <w:sz w:val="21"/>
          <w:szCs w:val="21"/>
        </w:rPr>
        <w:t xml:space="preserve">Deployment of GasGuard FiberWatch on the offshore WAGP corridor and GasGuard TrackTrace across GNGC's (or its distribution partners') LPG bulk-vehicle fleet, alongside onboarding of GasGuard SkyView satellite screening.</w:t>
      </w:r>
    </w:p>
    <w:p>
      <w:pPr>
        <w:pStyle w:val="Heading2"/>
        <w:spacing w:after="120" w:before="280"/>
      </w:pPr>
      <w:r>
        <w:rPr>
          <w:b/>
          <w:bCs/>
          <w:color w:val="0E7C7B"/>
          <w:sz w:val="24"/>
          <w:szCs w:val="24"/>
        </w:rPr>
        <w:t xml:space="preserve">Phase 3 (Months 12–18) — Product marking and full fusion</w:t>
      </w:r>
    </w:p>
    <w:p>
      <w:pPr>
        <w:spacing w:after="160" w:line="276"/>
        <w:jc w:val="both"/>
      </w:pPr>
      <w:r>
        <w:rPr>
          <w:b w:val="false"/>
          <w:bCs w:val="false"/>
          <w:i w:val="false"/>
          <w:iCs w:val="false"/>
          <w:color w:val="222222"/>
          <w:sz w:val="21"/>
          <w:szCs w:val="21"/>
        </w:rPr>
        <w:t xml:space="preserve">Rollout of GasGuard MarkChain in coordination with the NPA's existing Petroleum Product Marking Scheme framework, and full integration of all modules into the AI fusion layer, with continuous model refinement against GNGC's own operating data.</w:t>
      </w:r>
    </w:p>
    <w:p>
      <w:pPr>
        <w:spacing w:after="160" w:line="276"/>
        <w:jc w:val="both"/>
      </w:pPr>
      <w:r>
        <w:rPr>
          <w:b w:val="false"/>
          <w:bCs w:val="false"/>
          <w:i w:val="false"/>
          <w:iCs w:val="false"/>
          <w:color w:val="222222"/>
          <w:sz w:val="21"/>
          <w:szCs w:val="21"/>
        </w:rPr>
        <w:t xml:space="preserve">Throughout all phases, SIGL proposes an in-country project team embedded alongside GNGC's integrity, IT/OT, and operations staff, with knowledge transfer built into every phase so that GNGC's own team can eventually operate and extend the platform independently.</w:t>
      </w:r>
    </w:p>
    <w:p>
      <w:pPr>
        <w:pStyle w:val="Heading1"/>
        <w:pBdr>
          <w:bottom w:val="single" w:color="0E7C7B" w:sz="6" w:space="4"/>
        </w:pBdr>
        <w:spacing w:after="160" w:before="360"/>
      </w:pPr>
      <w:r>
        <w:rPr>
          <w:b/>
          <w:bCs/>
          <w:color w:val="1B3A5C"/>
          <w:sz w:val="30"/>
          <w:szCs w:val="30"/>
        </w:rPr>
        <w:t xml:space="preserve">7. Why Smart Innovations Ghana Limited</w:t>
      </w:r>
    </w:p>
    <w:p>
      <w:pPr>
        <w:pStyle w:val="ListParagraph"/>
        <w:numPr>
          <w:ilvl w:val="0"/>
          <w:numId w:val="2"/>
        </w:numPr>
        <w:spacing w:after="100" w:line="270"/>
      </w:pPr>
      <w:r>
        <w:rPr>
          <w:b w:val="false"/>
          <w:bCs w:val="false"/>
          <w:sz w:val="21"/>
          <w:szCs w:val="21"/>
        </w:rPr>
        <w:t xml:space="preserve">Local presence and accountability: an Accra-based team available for on-site work, rapid incident response, and long-term support — not a remote vendor relationship.</w:t>
      </w:r>
    </w:p>
    <w:p>
      <w:pPr>
        <w:pStyle w:val="ListParagraph"/>
        <w:numPr>
          <w:ilvl w:val="0"/>
          <w:numId w:val="2"/>
        </w:numPr>
        <w:spacing w:after="100" w:line="270"/>
      </w:pPr>
      <w:r>
        <w:rPr>
          <w:b w:val="false"/>
          <w:bCs w:val="false"/>
          <w:sz w:val="21"/>
          <w:szCs w:val="21"/>
        </w:rPr>
        <w:t xml:space="preserve">Vendor-neutral integration: we select and integrate best-fit sensing hardware from proven international specialists rather than locking GNGC into a single hardware vendor's ecosystem.</w:t>
      </w:r>
    </w:p>
    <w:p>
      <w:pPr>
        <w:pStyle w:val="ListParagraph"/>
        <w:numPr>
          <w:ilvl w:val="0"/>
          <w:numId w:val="2"/>
        </w:numPr>
        <w:spacing w:after="100" w:line="270"/>
      </w:pPr>
      <w:r>
        <w:rPr>
          <w:b w:val="false"/>
          <w:bCs w:val="false"/>
          <w:sz w:val="21"/>
          <w:szCs w:val="21"/>
        </w:rPr>
        <w:t xml:space="preserve">Ghana-specific design: the module set in Section 4 was built around GNGC's documented operating environment — including the LPG siphoning and cross-border exposure issues that are largely absent from monitoring packages designed for North American or European transmission operators.</w:t>
      </w:r>
    </w:p>
    <w:p>
      <w:pPr>
        <w:pStyle w:val="ListParagraph"/>
        <w:numPr>
          <w:ilvl w:val="0"/>
          <w:numId w:val="2"/>
        </w:numPr>
        <w:spacing w:after="100" w:line="270"/>
      </w:pPr>
      <w:r>
        <w:rPr>
          <w:b w:val="false"/>
          <w:bCs w:val="false"/>
          <w:sz w:val="21"/>
          <w:szCs w:val="21"/>
        </w:rPr>
        <w:t xml:space="preserve">Phased, de-risked commercial structure: GNGC can validate the platform on a limited scope (Section 6, Phase 0–1) before committing to the full roadmap.</w:t>
      </w:r>
    </w:p>
    <w:p>
      <w:pPr>
        <w:pStyle w:val="Heading1"/>
        <w:pBdr>
          <w:bottom w:val="single" w:color="0E7C7B" w:sz="6" w:space="4"/>
        </w:pBdr>
        <w:spacing w:after="160" w:before="360"/>
      </w:pPr>
      <w:r>
        <w:rPr>
          <w:b/>
          <w:bCs/>
          <w:color w:val="1B3A5C"/>
          <w:sz w:val="30"/>
          <w:szCs w:val="30"/>
        </w:rPr>
        <w:t xml:space="preserve">8. Indicative Commercial Framework</w:t>
      </w:r>
    </w:p>
    <w:p>
      <w:pPr>
        <w:spacing w:after="160" w:line="276"/>
        <w:jc w:val="both"/>
      </w:pPr>
      <w:r>
        <w:rPr>
          <w:b w:val="false"/>
          <w:bCs w:val="false"/>
          <w:i w:val="false"/>
          <w:iCs w:val="false"/>
          <w:color w:val="222222"/>
          <w:sz w:val="21"/>
          <w:szCs w:val="21"/>
        </w:rPr>
        <w:t xml:space="preserve">Because module scope, network size, and hardware sourcing depend on the findings of the Phase 0 diagnostic assessment (Section 6), SIGL proposes a commercial structure rather than a fixed headline price at this stage:</w:t>
      </w:r>
    </w:p>
    <w:p>
      <w:pPr>
        <w:pStyle w:val="ListParagraph"/>
        <w:numPr>
          <w:ilvl w:val="0"/>
          <w:numId w:val="2"/>
        </w:numPr>
        <w:spacing w:after="100" w:line="270"/>
      </w:pPr>
      <w:r>
        <w:rPr>
          <w:b w:val="false"/>
          <w:bCs w:val="false"/>
          <w:sz w:val="21"/>
          <w:szCs w:val="21"/>
        </w:rPr>
        <w:t xml:space="preserve">Phase 0 diagnostic assessment: fixed-fee engagement, delivered as a standalone report and business case regardless of whether GNGC proceeds further.</w:t>
      </w:r>
    </w:p>
    <w:p>
      <w:pPr>
        <w:pStyle w:val="ListParagraph"/>
        <w:numPr>
          <w:ilvl w:val="0"/>
          <w:numId w:val="2"/>
        </w:numPr>
        <w:spacing w:after="100" w:line="270"/>
      </w:pPr>
      <w:r>
        <w:rPr>
          <w:b w:val="false"/>
          <w:bCs w:val="false"/>
          <w:sz w:val="21"/>
          <w:szCs w:val="21"/>
        </w:rPr>
        <w:t xml:space="preserve">Phase 1–3 deployment: a combination of one-time integration/implementation fees and an annual software-and-support subscription covering the GasGuard Fusion platform, dashboard, and model maintenance; third-party hardware (fiber interrogators, satellite subscriptions, IoT devices, tamper-evident meters) is procured and passed through at cost plus an integration margin.</w:t>
      </w:r>
    </w:p>
    <w:p>
      <w:pPr>
        <w:pStyle w:val="ListParagraph"/>
        <w:numPr>
          <w:ilvl w:val="0"/>
          <w:numId w:val="2"/>
        </w:numPr>
        <w:spacing w:after="100" w:line="270"/>
      </w:pPr>
      <w:r>
        <w:rPr>
          <w:b w:val="false"/>
          <w:bCs w:val="false"/>
          <w:sz w:val="21"/>
          <w:szCs w:val="21"/>
        </w:rPr>
        <w:t xml:space="preserve">Support: an in-country service-level agreement covering platform uptime, model retraining cadence, and field support response times, to be defined jointly during Phase 0.</w:t>
      </w:r>
    </w:p>
    <w:p>
      <w:pPr>
        <w:spacing w:after="160" w:line="276"/>
        <w:jc w:val="both"/>
      </w:pPr>
      <w:r>
        <w:rPr>
          <w:b w:val="false"/>
          <w:bCs w:val="false"/>
          <w:i w:val="false"/>
          <w:iCs w:val="false"/>
          <w:color w:val="222222"/>
          <w:sz w:val="21"/>
          <w:szCs w:val="21"/>
        </w:rPr>
        <w:t xml:space="preserve">We would welcome the opportunity to develop a detailed, itemized commercial proposal once the scope of Phase 0 is agreed with GNGC's technical and procurement teams.</w:t>
      </w:r>
    </w:p>
    <w:p>
      <w:pPr>
        <w:pStyle w:val="Heading1"/>
        <w:pBdr>
          <w:bottom w:val="single" w:color="0E7C7B" w:sz="6" w:space="4"/>
        </w:pBdr>
        <w:spacing w:after="160" w:before="360"/>
      </w:pPr>
      <w:r>
        <w:rPr>
          <w:b/>
          <w:bCs/>
          <w:color w:val="1B3A5C"/>
          <w:sz w:val="30"/>
          <w:szCs w:val="30"/>
        </w:rPr>
        <w:t xml:space="preserve">9. Key Assumptions and Risk Considerations</w:t>
      </w:r>
    </w:p>
    <w:p>
      <w:pPr>
        <w:pStyle w:val="ListParagraph"/>
        <w:numPr>
          <w:ilvl w:val="0"/>
          <w:numId w:val="2"/>
        </w:numPr>
        <w:spacing w:after="100" w:line="270"/>
      </w:pPr>
      <w:r>
        <w:rPr>
          <w:b w:val="false"/>
          <w:bCs w:val="false"/>
          <w:sz w:val="21"/>
          <w:szCs w:val="21"/>
        </w:rPr>
        <w:t xml:space="preserve">This proposal is based on publicly available information about GNGC's operating environment (Section 3) and on internationally reported technology performance (Section 5); GNGC-specific figures and constraints will be confirmed during Phase 0 and may adjust scope, sequencing, or projected benefits.</w:t>
      </w:r>
    </w:p>
    <w:p>
      <w:pPr>
        <w:pStyle w:val="ListParagraph"/>
        <w:numPr>
          <w:ilvl w:val="0"/>
          <w:numId w:val="2"/>
        </w:numPr>
        <w:spacing w:after="100" w:line="270"/>
      </w:pPr>
      <w:r>
        <w:rPr>
          <w:b w:val="false"/>
          <w:bCs w:val="false"/>
          <w:sz w:val="21"/>
          <w:szCs w:val="21"/>
        </w:rPr>
        <w:t xml:space="preserve">Satellite and aerial screening (Module 3) provide periodic, basin-wide coverage rather than continuous point-level detection; they are best suited to large-scale screening and are proposed as a complement to, not a replacement for, continuous ground-based sensing.</w:t>
      </w:r>
    </w:p>
    <w:p>
      <w:pPr>
        <w:pStyle w:val="ListParagraph"/>
        <w:numPr>
          <w:ilvl w:val="0"/>
          <w:numId w:val="2"/>
        </w:numPr>
        <w:spacing w:after="100" w:line="270"/>
      </w:pPr>
      <w:r>
        <w:rPr>
          <w:b w:val="false"/>
          <w:bCs w:val="false"/>
          <w:sz w:val="21"/>
          <w:szCs w:val="21"/>
        </w:rPr>
        <w:t xml:space="preserve">Product marking (Module 6) requires coordination with the NPA and relevant regulatory bodies; SIGL proposes to support, not replace, GNGC's existing regulatory relationships in this area.</w:t>
      </w:r>
    </w:p>
    <w:p>
      <w:pPr>
        <w:pStyle w:val="ListParagraph"/>
        <w:numPr>
          <w:ilvl w:val="0"/>
          <w:numId w:val="2"/>
        </w:numPr>
        <w:spacing w:after="100" w:line="270"/>
      </w:pPr>
      <w:r>
        <w:rPr>
          <w:b w:val="false"/>
          <w:bCs w:val="false"/>
          <w:sz w:val="21"/>
          <w:szCs w:val="21"/>
        </w:rPr>
        <w:t xml:space="preserve">As with any system bridging operational technology (OT) and IT networks, GasGuard's architecture will need to be engineered to GNGC's cybersecurity requirements from the outset; SIGL treats this as a foundational design constraint, not an add-on.</w:t>
      </w:r>
    </w:p>
    <w:p>
      <w:pPr>
        <w:pStyle w:val="Heading1"/>
        <w:pBdr>
          <w:bottom w:val="single" w:color="0E7C7B" w:sz="6" w:space="4"/>
        </w:pBdr>
        <w:spacing w:after="160" w:before="360"/>
      </w:pPr>
      <w:r>
        <w:rPr>
          <w:b/>
          <w:bCs/>
          <w:color w:val="1B3A5C"/>
          <w:sz w:val="30"/>
          <w:szCs w:val="30"/>
        </w:rPr>
        <w:t xml:space="preserve">10. Next Steps</w:t>
      </w:r>
    </w:p>
    <w:p>
      <w:pPr>
        <w:spacing w:after="160" w:line="276"/>
        <w:jc w:val="both"/>
      </w:pPr>
      <w:r>
        <w:rPr>
          <w:b w:val="false"/>
          <w:bCs w:val="false"/>
          <w:i w:val="false"/>
          <w:iCs w:val="false"/>
          <w:color w:val="222222"/>
          <w:sz w:val="21"/>
          <w:szCs w:val="21"/>
        </w:rPr>
        <w:t xml:space="preserve">SIGL proposes the following immediate next steps:</w:t>
      </w:r>
    </w:p>
    <w:p>
      <w:pPr>
        <w:pStyle w:val="ListParagraph"/>
        <w:numPr>
          <w:ilvl w:val="0"/>
          <w:numId w:val="2"/>
        </w:numPr>
        <w:spacing w:after="100" w:line="270"/>
      </w:pPr>
      <w:r>
        <w:rPr>
          <w:b w:val="false"/>
          <w:bCs w:val="false"/>
          <w:sz w:val="21"/>
          <w:szCs w:val="21"/>
        </w:rPr>
        <w:t xml:space="preserve">A joint scoping meeting with GNGC's technical, integrity, and procurement teams to review this proposal and confirm priority segments and assets.</w:t>
      </w:r>
    </w:p>
    <w:p>
      <w:pPr>
        <w:pStyle w:val="ListParagraph"/>
        <w:numPr>
          <w:ilvl w:val="0"/>
          <w:numId w:val="2"/>
        </w:numPr>
        <w:spacing w:after="100" w:line="270"/>
      </w:pPr>
      <w:r>
        <w:rPr>
          <w:b w:val="false"/>
          <w:bCs w:val="false"/>
          <w:sz w:val="21"/>
          <w:szCs w:val="21"/>
        </w:rPr>
        <w:t xml:space="preserve">Execution of a mutual non-disclosure agreement to enable the data review required for the Phase 0 diagnostic assessment.</w:t>
      </w:r>
    </w:p>
    <w:p>
      <w:pPr>
        <w:pStyle w:val="ListParagraph"/>
        <w:numPr>
          <w:ilvl w:val="0"/>
          <w:numId w:val="2"/>
        </w:numPr>
        <w:spacing w:after="100" w:line="270"/>
      </w:pPr>
      <w:r>
        <w:rPr>
          <w:b w:val="false"/>
          <w:bCs w:val="false"/>
          <w:sz w:val="21"/>
          <w:szCs w:val="21"/>
        </w:rPr>
        <w:t xml:space="preserve">Agreement on Phase 0 scope, timeline, and fixed fee, with delivery of the GNGC-specific business case within six weeks of kickoff.</w:t>
      </w:r>
    </w:p>
    <w:p>
      <w:pPr>
        <w:spacing w:after="160" w:line="276"/>
        <w:jc w:val="both"/>
      </w:pPr>
      <w:r>
        <w:rPr>
          <w:b w:val="false"/>
          <w:bCs w:val="false"/>
          <w:i w:val="false"/>
          <w:iCs w:val="false"/>
          <w:color w:val="222222"/>
          <w:sz w:val="21"/>
          <w:szCs w:val="21"/>
        </w:rPr>
        <w:t xml:space="preserve">We thank GNGC for the opportunity to present this proposal and look forward to discussing it further at your convenience.</w:t>
      </w:r>
    </w:p>
    <w:p>
      <w:pPr>
        <w:pBdr>
          <w:bottom w:val="single" w:color="BFBFBF" w:sz="4" w:space="1"/>
        </w:pBdr>
        <w:spacing w:after="200" w:before="100"/>
      </w:pPr>
    </w:p>
    <w:p>
      <w:pPr>
        <w:spacing w:after="160" w:line="276"/>
        <w:jc w:val="both"/>
      </w:pPr>
      <w:r>
        <w:rPr>
          <w:b w:val="false"/>
          <w:bCs w:val="false"/>
          <w:i/>
          <w:iCs/>
          <w:color w:val="222222"/>
          <w:sz w:val="21"/>
          <w:szCs w:val="21"/>
        </w:rPr>
        <w:t xml:space="preserve">Smart Innovations Ghana Limited
Accra, Republic of Ghana
[Contact name, title, email, and telephone to be inserted]</w:t>
      </w:r>
    </w:p>
    <w:p>
      <w:r>
        <w:br w:type="page"/>
      </w:r>
    </w:p>
    <w:p>
      <w:pPr>
        <w:pStyle w:val="Heading1"/>
        <w:pBdr>
          <w:bottom w:val="single" w:color="0E7C7B" w:sz="6" w:space="4"/>
        </w:pBdr>
        <w:spacing w:after="160" w:before="360"/>
      </w:pPr>
      <w:r>
        <w:rPr>
          <w:b/>
          <w:bCs/>
          <w:color w:val="1B3A5C"/>
          <w:sz w:val="30"/>
          <w:szCs w:val="30"/>
        </w:rPr>
        <w:t xml:space="preserve">Appendix A: Underlying Technology Reference</w:t>
      </w:r>
    </w:p>
    <w:p>
      <w:pPr>
        <w:spacing w:after="160" w:line="276"/>
        <w:jc w:val="both"/>
      </w:pPr>
      <w:r>
        <w:rPr>
          <w:b w:val="false"/>
          <w:bCs w:val="false"/>
          <w:i w:val="false"/>
          <w:iCs w:val="false"/>
          <w:color w:val="222222"/>
          <w:sz w:val="21"/>
          <w:szCs w:val="21"/>
        </w:rPr>
        <w:t xml:space="preserve">The table below summarizes the underlying monitoring technology categories referenced throughout this proposal, drawn from a broader industry review of pipeline monitoring technologies, and is provided for GNGC's technical evaluation team.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2400"/>
      </w:tblGrid>
      <w:tr>
        <w:tc>
          <w:tcPr>
            <w:tcW w:type="dxa" w:w="2600"/>
            <w:shd w:fill="1B3A5C" w:val="clear"/>
            <w:tcMar>
              <w:top w:type="dxa" w:w="90"/>
              <w:left w:type="dxa" w:w="110"/>
              <w:bottom w:type="dxa" w:w="90"/>
              <w:right w:type="dxa" w:w="110"/>
            </w:tcMar>
            <w:vAlign w:val="center"/>
          </w:tcPr>
          <w:p>
            <w:r>
              <w:rPr>
                <w:b/>
                <w:bCs/>
                <w:color w:val="FFFFFF"/>
                <w:sz w:val="18"/>
                <w:szCs w:val="18"/>
              </w:rPr>
              <w:t xml:space="preserve">Technology</w:t>
            </w:r>
          </w:p>
        </w:tc>
        <w:tc>
          <w:tcPr>
            <w:tcW w:type="dxa" w:w="2000"/>
            <w:shd w:fill="1B3A5C" w:val="clear"/>
            <w:tcMar>
              <w:top w:type="dxa" w:w="90"/>
              <w:left w:type="dxa" w:w="110"/>
              <w:bottom w:type="dxa" w:w="90"/>
              <w:right w:type="dxa" w:w="110"/>
            </w:tcMar>
            <w:vAlign w:val="center"/>
          </w:tcPr>
          <w:p>
            <w:r>
              <w:rPr>
                <w:b/>
                <w:bCs/>
                <w:color w:val="FFFFFF"/>
                <w:sz w:val="18"/>
                <w:szCs w:val="18"/>
              </w:rPr>
              <w:t xml:space="preserve">Detection speed</w:t>
            </w:r>
          </w:p>
        </w:tc>
        <w:tc>
          <w:tcPr>
            <w:tcW w:type="dxa" w:w="2000"/>
            <w:shd w:fill="1B3A5C" w:val="clear"/>
            <w:tcMar>
              <w:top w:type="dxa" w:w="90"/>
              <w:left w:type="dxa" w:w="110"/>
              <w:bottom w:type="dxa" w:w="90"/>
              <w:right w:type="dxa" w:w="110"/>
            </w:tcMar>
            <w:vAlign w:val="center"/>
          </w:tcPr>
          <w:p>
            <w:r>
              <w:rPr>
                <w:b/>
                <w:bCs/>
                <w:color w:val="FFFFFF"/>
                <w:sz w:val="18"/>
                <w:szCs w:val="18"/>
              </w:rPr>
              <w:t xml:space="preserve">Relative cost</w:t>
            </w:r>
          </w:p>
        </w:tc>
        <w:tc>
          <w:tcPr>
            <w:tcW w:type="dxa" w:w="2000"/>
            <w:shd w:fill="1B3A5C" w:val="clear"/>
            <w:tcMar>
              <w:top w:type="dxa" w:w="90"/>
              <w:left w:type="dxa" w:w="110"/>
              <w:bottom w:type="dxa" w:w="90"/>
              <w:right w:type="dxa" w:w="110"/>
            </w:tcMar>
            <w:vAlign w:val="center"/>
          </w:tcPr>
          <w:p>
            <w:r>
              <w:rPr>
                <w:b/>
                <w:bCs/>
                <w:color w:val="FFFFFF"/>
                <w:sz w:val="18"/>
                <w:szCs w:val="18"/>
              </w:rPr>
              <w:t xml:space="preserve">Maturity</w:t>
            </w:r>
          </w:p>
        </w:tc>
        <w:tc>
          <w:tcPr>
            <w:tcW w:type="dxa" w:w="2400"/>
            <w:shd w:fill="1B3A5C" w:val="clear"/>
            <w:tcMar>
              <w:top w:type="dxa" w:w="90"/>
              <w:left w:type="dxa" w:w="110"/>
              <w:bottom w:type="dxa" w:w="90"/>
              <w:right w:type="dxa" w:w="110"/>
            </w:tcMar>
            <w:vAlign w:val="center"/>
          </w:tcPr>
          <w:p>
            <w:r>
              <w:rPr>
                <w:b/>
                <w:bCs/>
                <w:color w:val="FFFFFF"/>
                <w:sz w:val="18"/>
                <w:szCs w:val="18"/>
              </w:rPr>
              <w:t xml:space="preserve">Relevant GasGuard module</w:t>
            </w:r>
          </w:p>
        </w:tc>
      </w:tr>
      <w:tr>
        <w:tc>
          <w:tcPr>
            <w:tcW w:type="dxa" w:w="2600"/>
            <w:tcMar>
              <w:top w:type="dxa" w:w="90"/>
              <w:left w:type="dxa" w:w="110"/>
              <w:bottom w:type="dxa" w:w="90"/>
              <w:right w:type="dxa" w:w="110"/>
            </w:tcMar>
            <w:vAlign w:val="center"/>
          </w:tcPr>
          <w:p>
            <w:r>
              <w:rPr>
                <w:b w:val="false"/>
                <w:bCs w:val="false"/>
                <w:color w:val="222222"/>
                <w:sz w:val="18"/>
                <w:szCs w:val="18"/>
              </w:rPr>
              <w:t xml:space="preserve">SCADA / CPM mass balance</w:t>
            </w:r>
          </w:p>
        </w:tc>
        <w:tc>
          <w:tcPr>
            <w:tcW w:type="dxa" w:w="2000"/>
            <w:tcMar>
              <w:top w:type="dxa" w:w="90"/>
              <w:left w:type="dxa" w:w="110"/>
              <w:bottom w:type="dxa" w:w="90"/>
              <w:right w:type="dxa" w:w="110"/>
            </w:tcMar>
            <w:vAlign w:val="center"/>
          </w:tcPr>
          <w:p>
            <w:r>
              <w:rPr>
                <w:b w:val="false"/>
                <w:bCs w:val="false"/>
                <w:color w:val="222222"/>
                <w:sz w:val="18"/>
                <w:szCs w:val="18"/>
              </w:rPr>
              <w:t xml:space="preserve">Seconds–minutes</w:t>
            </w:r>
          </w:p>
        </w:tc>
        <w:tc>
          <w:tcPr>
            <w:tcW w:type="dxa" w:w="2000"/>
            <w:tcMar>
              <w:top w:type="dxa" w:w="90"/>
              <w:left w:type="dxa" w:w="110"/>
              <w:bottom w:type="dxa" w:w="90"/>
              <w:right w:type="dxa" w:w="110"/>
            </w:tcMar>
            <w:vAlign w:val="center"/>
          </w:tcPr>
          <w:p>
            <w:r>
              <w:rPr>
                <w:b w:val="false"/>
                <w:bCs w:val="false"/>
                <w:color w:val="222222"/>
                <w:sz w:val="18"/>
                <w:szCs w:val="18"/>
              </w:rPr>
              <w:t xml:space="preserve">Low incremental</w:t>
            </w:r>
          </w:p>
        </w:tc>
        <w:tc>
          <w:tcPr>
            <w:tcW w:type="dxa" w:w="2000"/>
            <w:tcMar>
              <w:top w:type="dxa" w:w="90"/>
              <w:left w:type="dxa" w:w="110"/>
              <w:bottom w:type="dxa" w:w="90"/>
              <w:right w:type="dxa" w:w="110"/>
            </w:tcMar>
            <w:vAlign w:val="center"/>
          </w:tcPr>
          <w:p>
            <w:r>
              <w:rPr>
                <w:b w:val="false"/>
                <w:bCs w:val="false"/>
                <w:color w:val="222222"/>
                <w:sz w:val="18"/>
                <w:szCs w:val="18"/>
              </w:rPr>
              <w:t xml:space="preserve">Proven, near-universal</w:t>
            </w:r>
          </w:p>
        </w:tc>
        <w:tc>
          <w:tcPr>
            <w:tcW w:type="dxa" w:w="2400"/>
            <w:tcMar>
              <w:top w:type="dxa" w:w="90"/>
              <w:left w:type="dxa" w:w="110"/>
              <w:bottom w:type="dxa" w:w="90"/>
              <w:right w:type="dxa" w:w="110"/>
            </w:tcMar>
            <w:vAlign w:val="center"/>
          </w:tcPr>
          <w:p>
            <w:r>
              <w:rPr>
                <w:b w:val="false"/>
                <w:bCs w:val="false"/>
                <w:color w:val="222222"/>
                <w:sz w:val="18"/>
                <w:szCs w:val="18"/>
              </w:rPr>
              <w:t xml:space="preserve">Reconcile</w:t>
            </w:r>
          </w:p>
        </w:tc>
      </w:tr>
      <w:tr>
        <w:tc>
          <w:tcPr>
            <w:tcW w:type="dxa" w:w="2600"/>
            <w:shd w:fill="EAF1F1" w:val="clear"/>
            <w:tcMar>
              <w:top w:type="dxa" w:w="90"/>
              <w:left w:type="dxa" w:w="110"/>
              <w:bottom w:type="dxa" w:w="90"/>
              <w:right w:type="dxa" w:w="110"/>
            </w:tcMar>
            <w:vAlign w:val="center"/>
          </w:tcPr>
          <w:p>
            <w:r>
              <w:rPr>
                <w:b w:val="false"/>
                <w:bCs w:val="false"/>
                <w:color w:val="222222"/>
                <w:sz w:val="18"/>
                <w:szCs w:val="18"/>
              </w:rPr>
              <w:t xml:space="preserve">Fiber optic DAS</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Near real-time</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High capital / low if dark fiber exists</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Proven on new-build</w:t>
            </w:r>
          </w:p>
        </w:tc>
        <w:tc>
          <w:tcPr>
            <w:tcW w:type="dxa" w:w="2400"/>
            <w:shd w:fill="EAF1F1" w:val="clear"/>
            <w:tcMar>
              <w:top w:type="dxa" w:w="90"/>
              <w:left w:type="dxa" w:w="110"/>
              <w:bottom w:type="dxa" w:w="90"/>
              <w:right w:type="dxa" w:w="110"/>
            </w:tcMar>
            <w:vAlign w:val="center"/>
          </w:tcPr>
          <w:p>
            <w:r>
              <w:rPr>
                <w:b w:val="false"/>
                <w:bCs w:val="false"/>
                <w:color w:val="222222"/>
                <w:sz w:val="18"/>
                <w:szCs w:val="18"/>
              </w:rPr>
              <w:t xml:space="preserve">FiberWatch</w:t>
            </w:r>
          </w:p>
        </w:tc>
      </w:tr>
      <w:tr>
        <w:tc>
          <w:tcPr>
            <w:tcW w:type="dxa" w:w="2600"/>
            <w:tcMar>
              <w:top w:type="dxa" w:w="90"/>
              <w:left w:type="dxa" w:w="110"/>
              <w:bottom w:type="dxa" w:w="90"/>
              <w:right w:type="dxa" w:w="110"/>
            </w:tcMar>
            <w:vAlign w:val="center"/>
          </w:tcPr>
          <w:p>
            <w:r>
              <w:rPr>
                <w:b w:val="false"/>
                <w:bCs w:val="false"/>
                <w:color w:val="222222"/>
                <w:sz w:val="18"/>
                <w:szCs w:val="18"/>
              </w:rPr>
              <w:t xml:space="preserve">Satellite methane imaging</w:t>
            </w:r>
          </w:p>
        </w:tc>
        <w:tc>
          <w:tcPr>
            <w:tcW w:type="dxa" w:w="2000"/>
            <w:tcMar>
              <w:top w:type="dxa" w:w="90"/>
              <w:left w:type="dxa" w:w="110"/>
              <w:bottom w:type="dxa" w:w="90"/>
              <w:right w:type="dxa" w:w="110"/>
            </w:tcMar>
            <w:vAlign w:val="center"/>
          </w:tcPr>
          <w:p>
            <w:r>
              <w:rPr>
                <w:b w:val="false"/>
                <w:bCs w:val="false"/>
                <w:color w:val="222222"/>
                <w:sz w:val="18"/>
                <w:szCs w:val="18"/>
              </w:rPr>
              <w:t xml:space="preserve">Days–weeks revisit</w:t>
            </w:r>
          </w:p>
        </w:tc>
        <w:tc>
          <w:tcPr>
            <w:tcW w:type="dxa" w:w="2000"/>
            <w:tcMar>
              <w:top w:type="dxa" w:w="90"/>
              <w:left w:type="dxa" w:w="110"/>
              <w:bottom w:type="dxa" w:w="90"/>
              <w:right w:type="dxa" w:w="110"/>
            </w:tcMar>
            <w:vAlign w:val="center"/>
          </w:tcPr>
          <w:p>
            <w:r>
              <w:rPr>
                <w:b w:val="false"/>
                <w:bCs w:val="false"/>
                <w:color w:val="222222"/>
                <w:sz w:val="18"/>
                <w:szCs w:val="18"/>
              </w:rPr>
              <w:t xml:space="preserve">Low per-mile</w:t>
            </w:r>
          </w:p>
        </w:tc>
        <w:tc>
          <w:tcPr>
            <w:tcW w:type="dxa" w:w="2000"/>
            <w:tcMar>
              <w:top w:type="dxa" w:w="90"/>
              <w:left w:type="dxa" w:w="110"/>
              <w:bottom w:type="dxa" w:w="90"/>
              <w:right w:type="dxa" w:w="110"/>
            </w:tcMar>
            <w:vAlign w:val="center"/>
          </w:tcPr>
          <w:p>
            <w:r>
              <w:rPr>
                <w:b w:val="false"/>
                <w:bCs w:val="false"/>
                <w:color w:val="222222"/>
                <w:sz w:val="18"/>
                <w:szCs w:val="18"/>
              </w:rPr>
              <w:t xml:space="preserve">Proven for screening</w:t>
            </w:r>
          </w:p>
        </w:tc>
        <w:tc>
          <w:tcPr>
            <w:tcW w:type="dxa" w:w="2400"/>
            <w:tcMar>
              <w:top w:type="dxa" w:w="90"/>
              <w:left w:type="dxa" w:w="110"/>
              <w:bottom w:type="dxa" w:w="90"/>
              <w:right w:type="dxa" w:w="110"/>
            </w:tcMar>
            <w:vAlign w:val="center"/>
          </w:tcPr>
          <w:p>
            <w:r>
              <w:rPr>
                <w:b w:val="false"/>
                <w:bCs w:val="false"/>
                <w:color w:val="222222"/>
                <w:sz w:val="18"/>
                <w:szCs w:val="18"/>
              </w:rPr>
              <w:t xml:space="preserve">SkyView</w:t>
            </w:r>
          </w:p>
        </w:tc>
      </w:tr>
      <w:tr>
        <w:tc>
          <w:tcPr>
            <w:tcW w:type="dxa" w:w="2600"/>
            <w:shd w:fill="EAF1F1" w:val="clear"/>
            <w:tcMar>
              <w:top w:type="dxa" w:w="90"/>
              <w:left w:type="dxa" w:w="110"/>
              <w:bottom w:type="dxa" w:w="90"/>
              <w:right w:type="dxa" w:w="110"/>
            </w:tcMar>
            <w:vAlign w:val="center"/>
          </w:tcPr>
          <w:p>
            <w:r>
              <w:rPr>
                <w:b w:val="false"/>
                <w:bCs w:val="false"/>
                <w:color w:val="222222"/>
                <w:sz w:val="18"/>
                <w:szCs w:val="18"/>
              </w:rPr>
              <w:t xml:space="preserve">IoT sensor networks</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Near real-time</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Low, falling</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Proven, expanding</w:t>
            </w:r>
          </w:p>
        </w:tc>
        <w:tc>
          <w:tcPr>
            <w:tcW w:type="dxa" w:w="2400"/>
            <w:shd w:fill="EAF1F1" w:val="clear"/>
            <w:tcMar>
              <w:top w:type="dxa" w:w="90"/>
              <w:left w:type="dxa" w:w="110"/>
              <w:bottom w:type="dxa" w:w="90"/>
              <w:right w:type="dxa" w:w="110"/>
            </w:tcMar>
            <w:vAlign w:val="center"/>
          </w:tcPr>
          <w:p>
            <w:r>
              <w:rPr>
                <w:b w:val="false"/>
                <w:bCs w:val="false"/>
                <w:color w:val="222222"/>
                <w:sz w:val="18"/>
                <w:szCs w:val="18"/>
              </w:rPr>
              <w:t xml:space="preserve">FieldLink</w:t>
            </w:r>
          </w:p>
        </w:tc>
      </w:tr>
      <w:tr>
        <w:tc>
          <w:tcPr>
            <w:tcW w:type="dxa" w:w="2600"/>
            <w:tcMar>
              <w:top w:type="dxa" w:w="90"/>
              <w:left w:type="dxa" w:w="110"/>
              <w:bottom w:type="dxa" w:w="90"/>
              <w:right w:type="dxa" w:w="110"/>
            </w:tcMar>
            <w:vAlign w:val="center"/>
          </w:tcPr>
          <w:p>
            <w:r>
              <w:rPr>
                <w:b w:val="false"/>
                <w:bCs w:val="false"/>
                <w:color w:val="222222"/>
                <w:sz w:val="18"/>
                <w:szCs w:val="18"/>
              </w:rPr>
              <w:t xml:space="preserve">GPS telematics + tamper-evident metering</w:t>
            </w:r>
          </w:p>
        </w:tc>
        <w:tc>
          <w:tcPr>
            <w:tcW w:type="dxa" w:w="2000"/>
            <w:tcMar>
              <w:top w:type="dxa" w:w="90"/>
              <w:left w:type="dxa" w:w="110"/>
              <w:bottom w:type="dxa" w:w="90"/>
              <w:right w:type="dxa" w:w="110"/>
            </w:tcMar>
            <w:vAlign w:val="center"/>
          </w:tcPr>
          <w:p>
            <w:r>
              <w:rPr>
                <w:b w:val="false"/>
                <w:bCs w:val="false"/>
                <w:color w:val="222222"/>
                <w:sz w:val="18"/>
                <w:szCs w:val="18"/>
              </w:rPr>
              <w:t xml:space="preserve">Near real-time</w:t>
            </w:r>
          </w:p>
        </w:tc>
        <w:tc>
          <w:tcPr>
            <w:tcW w:type="dxa" w:w="2000"/>
            <w:tcMar>
              <w:top w:type="dxa" w:w="90"/>
              <w:left w:type="dxa" w:w="110"/>
              <w:bottom w:type="dxa" w:w="90"/>
              <w:right w:type="dxa" w:w="110"/>
            </w:tcMar>
            <w:vAlign w:val="center"/>
          </w:tcPr>
          <w:p>
            <w:r>
              <w:rPr>
                <w:b w:val="false"/>
                <w:bCs w:val="false"/>
                <w:color w:val="222222"/>
                <w:sz w:val="18"/>
                <w:szCs w:val="18"/>
              </w:rPr>
              <w:t xml:space="preserve">Low–moderate</w:t>
            </w:r>
          </w:p>
        </w:tc>
        <w:tc>
          <w:tcPr>
            <w:tcW w:type="dxa" w:w="2000"/>
            <w:tcMar>
              <w:top w:type="dxa" w:w="90"/>
              <w:left w:type="dxa" w:w="110"/>
              <w:bottom w:type="dxa" w:w="90"/>
              <w:right w:type="dxa" w:w="110"/>
            </w:tcMar>
            <w:vAlign w:val="center"/>
          </w:tcPr>
          <w:p>
            <w:r>
              <w:rPr>
                <w:b w:val="false"/>
                <w:bCs w:val="false"/>
                <w:color w:val="222222"/>
                <w:sz w:val="18"/>
                <w:szCs w:val="18"/>
              </w:rPr>
              <w:t xml:space="preserve">Proven (adapted from fleet logistics)</w:t>
            </w:r>
          </w:p>
        </w:tc>
        <w:tc>
          <w:tcPr>
            <w:tcW w:type="dxa" w:w="2400"/>
            <w:tcMar>
              <w:top w:type="dxa" w:w="90"/>
              <w:left w:type="dxa" w:w="110"/>
              <w:bottom w:type="dxa" w:w="90"/>
              <w:right w:type="dxa" w:w="110"/>
            </w:tcMar>
            <w:vAlign w:val="center"/>
          </w:tcPr>
          <w:p>
            <w:r>
              <w:rPr>
                <w:b w:val="false"/>
                <w:bCs w:val="false"/>
                <w:color w:val="222222"/>
                <w:sz w:val="18"/>
                <w:szCs w:val="18"/>
              </w:rPr>
              <w:t xml:space="preserve">TrackTrace</w:t>
            </w:r>
          </w:p>
        </w:tc>
      </w:tr>
      <w:tr>
        <w:tc>
          <w:tcPr>
            <w:tcW w:type="dxa" w:w="2600"/>
            <w:shd w:fill="EAF1F1" w:val="clear"/>
            <w:tcMar>
              <w:top w:type="dxa" w:w="90"/>
              <w:left w:type="dxa" w:w="110"/>
              <w:bottom w:type="dxa" w:w="90"/>
              <w:right w:type="dxa" w:w="110"/>
            </w:tcMar>
            <w:vAlign w:val="center"/>
          </w:tcPr>
          <w:p>
            <w:r>
              <w:rPr>
                <w:b w:val="false"/>
                <w:bCs w:val="false"/>
                <w:color w:val="222222"/>
                <w:sz w:val="18"/>
                <w:szCs w:val="18"/>
              </w:rPr>
              <w:t xml:space="preserve">Product marking / tracers</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Post-hoc, forensic</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Moderate</w:t>
            </w:r>
          </w:p>
        </w:tc>
        <w:tc>
          <w:tcPr>
            <w:tcW w:type="dxa" w:w="2000"/>
            <w:shd w:fill="EAF1F1" w:val="clear"/>
            <w:tcMar>
              <w:top w:type="dxa" w:w="90"/>
              <w:left w:type="dxa" w:w="110"/>
              <w:bottom w:type="dxa" w:w="90"/>
              <w:right w:type="dxa" w:w="110"/>
            </w:tcMar>
            <w:vAlign w:val="center"/>
          </w:tcPr>
          <w:p>
            <w:r>
              <w:rPr>
                <w:b w:val="false"/>
                <w:bCs w:val="false"/>
                <w:color w:val="222222"/>
                <w:sz w:val="18"/>
                <w:szCs w:val="18"/>
              </w:rPr>
              <w:t xml:space="preserve">Proven (existing NPA scheme)</w:t>
            </w:r>
          </w:p>
        </w:tc>
        <w:tc>
          <w:tcPr>
            <w:tcW w:type="dxa" w:w="2400"/>
            <w:shd w:fill="EAF1F1" w:val="clear"/>
            <w:tcMar>
              <w:top w:type="dxa" w:w="90"/>
              <w:left w:type="dxa" w:w="110"/>
              <w:bottom w:type="dxa" w:w="90"/>
              <w:right w:type="dxa" w:w="110"/>
            </w:tcMar>
            <w:vAlign w:val="center"/>
          </w:tcPr>
          <w:p>
            <w:r>
              <w:rPr>
                <w:b w:val="false"/>
                <w:bCs w:val="false"/>
                <w:color w:val="222222"/>
                <w:sz w:val="18"/>
                <w:szCs w:val="18"/>
              </w:rPr>
              <w:t xml:space="preserve">MarkChain</w:t>
            </w:r>
          </w:p>
        </w:tc>
      </w:tr>
      <w:tr>
        <w:tc>
          <w:tcPr>
            <w:tcW w:type="dxa" w:w="2600"/>
            <w:tcMar>
              <w:top w:type="dxa" w:w="90"/>
              <w:left w:type="dxa" w:w="110"/>
              <w:bottom w:type="dxa" w:w="90"/>
              <w:right w:type="dxa" w:w="110"/>
            </w:tcMar>
            <w:vAlign w:val="center"/>
          </w:tcPr>
          <w:p>
            <w:r>
              <w:rPr>
                <w:b w:val="false"/>
                <w:bCs w:val="false"/>
                <w:color w:val="222222"/>
                <w:sz w:val="18"/>
                <w:szCs w:val="18"/>
              </w:rPr>
              <w:t xml:space="preserve">AI/ML fusion &amp; anomaly detection</w:t>
            </w:r>
          </w:p>
        </w:tc>
        <w:tc>
          <w:tcPr>
            <w:tcW w:type="dxa" w:w="2000"/>
            <w:tcMar>
              <w:top w:type="dxa" w:w="90"/>
              <w:left w:type="dxa" w:w="110"/>
              <w:bottom w:type="dxa" w:w="90"/>
              <w:right w:type="dxa" w:w="110"/>
            </w:tcMar>
            <w:vAlign w:val="center"/>
          </w:tcPr>
          <w:p>
            <w:r>
              <w:rPr>
                <w:b w:val="false"/>
                <w:bCs w:val="false"/>
                <w:color w:val="222222"/>
                <w:sz w:val="18"/>
                <w:szCs w:val="18"/>
              </w:rPr>
              <w:t xml:space="preserve">Real-time</w:t>
            </w:r>
          </w:p>
        </w:tc>
        <w:tc>
          <w:tcPr>
            <w:tcW w:type="dxa" w:w="2000"/>
            <w:tcMar>
              <w:top w:type="dxa" w:w="90"/>
              <w:left w:type="dxa" w:w="110"/>
              <w:bottom w:type="dxa" w:w="90"/>
              <w:right w:type="dxa" w:w="110"/>
            </w:tcMar>
            <w:vAlign w:val="center"/>
          </w:tcPr>
          <w:p>
            <w:r>
              <w:rPr>
                <w:b w:val="false"/>
                <w:bCs w:val="false"/>
                <w:color w:val="222222"/>
                <w:sz w:val="18"/>
                <w:szCs w:val="18"/>
              </w:rPr>
              <w:t xml:space="preserve">Moderate–high (software)</w:t>
            </w:r>
          </w:p>
        </w:tc>
        <w:tc>
          <w:tcPr>
            <w:tcW w:type="dxa" w:w="2000"/>
            <w:tcMar>
              <w:top w:type="dxa" w:w="90"/>
              <w:left w:type="dxa" w:w="110"/>
              <w:bottom w:type="dxa" w:w="90"/>
              <w:right w:type="dxa" w:w="110"/>
            </w:tcMar>
            <w:vAlign w:val="center"/>
          </w:tcPr>
          <w:p>
            <w:r>
              <w:rPr>
                <w:b w:val="false"/>
                <w:bCs w:val="false"/>
                <w:color w:val="222222"/>
                <w:sz w:val="18"/>
                <w:szCs w:val="18"/>
              </w:rPr>
              <w:t xml:space="preserve">Early-commercial, maturing fast</w:t>
            </w:r>
          </w:p>
        </w:tc>
        <w:tc>
          <w:tcPr>
            <w:tcW w:type="dxa" w:w="2400"/>
            <w:tcMar>
              <w:top w:type="dxa" w:w="90"/>
              <w:left w:type="dxa" w:w="110"/>
              <w:bottom w:type="dxa" w:w="90"/>
              <w:right w:type="dxa" w:w="110"/>
            </w:tcMar>
            <w:vAlign w:val="center"/>
          </w:tcPr>
          <w:p>
            <w:r>
              <w:rPr>
                <w:b w:val="false"/>
                <w:bCs w:val="false"/>
                <w:color w:val="222222"/>
                <w:sz w:val="18"/>
                <w:szCs w:val="18"/>
              </w:rPr>
              <w:t xml:space="preserve">Fusion</w:t>
            </w:r>
          </w:p>
        </w:tc>
      </w:tr>
    </w:tbl>
    <w:p>
      <w:r>
        <w:br w:type="page"/>
      </w:r>
    </w:p>
    <w:p>
      <w:pPr>
        <w:pStyle w:val="Heading1"/>
        <w:pBdr>
          <w:bottom w:val="single" w:color="0E7C7B" w:sz="6" w:space="4"/>
        </w:pBdr>
        <w:spacing w:after="160" w:before="360"/>
      </w:pPr>
      <w:r>
        <w:rPr>
          <w:b/>
          <w:bCs/>
          <w:color w:val="1B3A5C"/>
          <w:sz w:val="30"/>
          <w:szCs w:val="30"/>
        </w:rPr>
        <w:t xml:space="preserve">Appendix B: Key Sources Referenced</w:t>
      </w:r>
    </w:p>
    <w:p>
      <w:pPr>
        <w:spacing w:after="160" w:line="276"/>
        <w:jc w:val="both"/>
      </w:pPr>
      <w:r>
        <w:rPr>
          <w:b w:val="false"/>
          <w:bCs w:val="false"/>
          <w:i/>
          <w:iCs/>
          <w:color w:val="222222"/>
          <w:sz w:val="21"/>
          <w:szCs w:val="21"/>
        </w:rPr>
        <w:t xml:space="preserve">This proposal draws on publicly available reporting, including: the National Petroleum Authority's public statements on petroleum product smuggling losses (GhanaWeb); 2025 fiscal-loss estimates for illicit fuel trade (OnuaOnline); Ghana Navy/NPA maritime interdiction reporting (Ghanamma, May 2026); GNGC and Atuabo plant profiles (The Energy Year, Grokipedia); Ghana's regional gas-hub and demand projections (Ghana Upstream, GNBCC); WAGP operational and protection-zone information (WAPCo, WAGPA, BankTrack); Nigerian pipeline vandalism reporting (EnviroNews Nigeria); and internationally disclosed pipeline-monitoring case studies including Kinder Morgan's Permian Basin deployment (StockTitan, EnkiAI), Enbridge's Azure-based Integrity Engine (Klover.ai, ScienceDirect), and the peer-reviewed Cheltenham satellite-leak validation study (Atmospheric Measurement Techniques, 2024; ESA).</w:t>
      </w:r>
    </w:p>
    <w:p>
      <w:pPr>
        <w:spacing w:after="160" w:line="276"/>
        <w:jc w:val="both"/>
      </w:pPr>
      <w:r>
        <w:rPr>
          <w:b w:val="false"/>
          <w:bCs w:val="false"/>
          <w:i/>
          <w:iCs/>
          <w:color w:val="222222"/>
          <w:sz w:val="21"/>
          <w:szCs w:val="21"/>
        </w:rPr>
        <w:t xml:space="preserve">A complete, itemized source list is available on request and can be provided alongside the detailed commercial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Smart Innovations Ghana Limited  |  Proposal to GNGC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2026-07-26T14:35:34.226Z</dcterms:created>
  <dcterms:modified xsi:type="dcterms:W3CDTF">2026-07-26T14:35:34.242Z</dcterms:modified>
</cp:coreProperties>
</file>

<file path=docProps/custom.xml><?xml version="1.0" encoding="utf-8"?>
<Properties xmlns="http://schemas.openxmlformats.org/officeDocument/2006/custom-properties" xmlns:vt="http://schemas.openxmlformats.org/officeDocument/2006/docPropsVTypes"/>
</file>