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400" w:before="0"/>
        <w:jc w:val="center"/>
      </w:pPr>
      <w:r>
        <w:rPr>
          <w:rFonts w:ascii="Arial" w:cs="Arial" w:eastAsia="Arial" w:hAnsi="Arial"/>
          <w:b/>
          <w:bCs/>
          <w:color w:val="64748B"/>
          <w:sz w:val="18"/>
          <w:szCs w:val="18"/>
        </w:rPr>
        <w:t xml:space="preserve">CONFIDENTIAL — COMMERCIAL IN CONFIDENCE</w:t>
      </w:r>
    </w:p>
    <w:p>
      <w:pPr>
        <w:spacing w:after="80" w:before="0"/>
        <w:jc w:val="center"/>
      </w:pPr>
      <w:r>
        <w:rPr>
          <w:rFonts w:ascii="Arial" w:cs="Arial" w:eastAsia="Arial" w:hAnsi="Arial"/>
          <w:b/>
          <w:bCs/>
          <w:color w:val="085041"/>
          <w:sz w:val="72"/>
          <w:szCs w:val="72"/>
        </w:rPr>
        <w:t xml:space="preserve">GridIQ West Africa</w:t>
      </w:r>
    </w:p>
    <w:p>
      <w:pPr>
        <w:spacing w:after="480" w:before="0"/>
        <w:jc w:val="center"/>
      </w:pPr>
      <w:r>
        <w:rPr>
          <w:rFonts w:ascii="Arial" w:cs="Arial" w:eastAsia="Arial" w:hAnsi="Arial"/>
          <w:color w:val="0D1F2D"/>
          <w:sz w:val="30"/>
          <w:szCs w:val="30"/>
        </w:rPr>
        <w:t xml:space="preserve">Comprehensive Platform Strategy &amp; Intelligence Brief</w:t>
      </w:r>
    </w:p>
    <w:p>
      <w:pPr>
        <w:pBdr>
          <w:bottom w:val="single" w:color="0D9E75" w:sz="12"/>
        </w:pBdr>
        <w:spacing w:after="480" w:before="0"/>
      </w:pPr>
    </w:p>
    <w:p>
      <w:pPr>
        <w:spacing w:after="480" w:before="0"/>
        <w:jc w:val="center"/>
      </w:pPr>
      <w:r>
        <w:rPr>
          <w:rFonts w:ascii="Arial" w:cs="Arial" w:eastAsia="Arial" w:hAnsi="Arial"/>
          <w:color w:val="0D1F2D"/>
          <w:sz w:val="26"/>
          <w:szCs w:val="26"/>
        </w:rPr>
        <w:t xml:space="preserve">AI-Powered Grid Loss Intelligence and Real-Time Energy Data Platform
for ECOWAS Distribution Utilities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shd w:fill="F2F4F3" w:val="clear"/>
            <w:tcMar>
              <w:top w:type="dxa" w:w="120"/>
              <w:left w:type="dxa" w:w="120"/>
              <w:bottom w:type="dxa" w:w="40"/>
              <w:right w:type="dxa" w:w="120"/>
            </w:tcMar>
          </w:tcPr>
          <w:p>
            <w:pPr>
              <w:spacing w:after="0" w:before="0"/>
              <w:jc w:val="center"/>
            </w:pPr>
            <w:r>
              <w:rPr>
                <w:rFonts w:ascii="Arial" w:cs="Arial" w:eastAsia="Arial" w:hAnsi="Arial"/>
                <w:b/>
                <w:bCs/>
                <w:color w:val="0D9E75"/>
                <w:sz w:val="40"/>
                <w:szCs w:val="40"/>
              </w:rPr>
              <w:t xml:space="preserve">26.6 GW</w:t>
            </w:r>
          </w:p>
        </w:tc>
        <w:tc>
          <w:tcPr>
            <w:tcW w:type="dxa" w:w="2340"/>
            <w:tcBorders>
              <w:top w:val="nil" w:color="FFFFFF" w:sz="0"/>
              <w:left w:val="nil" w:color="FFFFFF" w:sz="0"/>
              <w:bottom w:val="nil" w:color="FFFFFF" w:sz="0"/>
              <w:right w:val="nil" w:color="FFFFFF" w:sz="0"/>
            </w:tcBorders>
            <w:shd w:fill="F2F4F3" w:val="clear"/>
            <w:tcMar>
              <w:top w:type="dxa" w:w="120"/>
              <w:left w:type="dxa" w:w="120"/>
              <w:bottom w:type="dxa" w:w="40"/>
              <w:right w:type="dxa" w:w="120"/>
            </w:tcMar>
          </w:tcPr>
          <w:p>
            <w:pPr>
              <w:spacing w:after="0" w:before="0"/>
              <w:jc w:val="center"/>
            </w:pPr>
            <w:r>
              <w:rPr>
                <w:rFonts w:ascii="Arial" w:cs="Arial" w:eastAsia="Arial" w:hAnsi="Arial"/>
                <w:b/>
                <w:bCs/>
                <w:color w:val="0D9E75"/>
                <w:sz w:val="40"/>
                <w:szCs w:val="40"/>
              </w:rPr>
              <w:t xml:space="preserve">21.3%</w:t>
            </w:r>
          </w:p>
        </w:tc>
        <w:tc>
          <w:tcPr>
            <w:tcW w:type="dxa" w:w="2340"/>
            <w:tcBorders>
              <w:top w:val="nil" w:color="FFFFFF" w:sz="0"/>
              <w:left w:val="nil" w:color="FFFFFF" w:sz="0"/>
              <w:bottom w:val="nil" w:color="FFFFFF" w:sz="0"/>
              <w:right w:val="nil" w:color="FFFFFF" w:sz="0"/>
            </w:tcBorders>
            <w:shd w:fill="F2F4F3" w:val="clear"/>
            <w:tcMar>
              <w:top w:type="dxa" w:w="120"/>
              <w:left w:type="dxa" w:w="120"/>
              <w:bottom w:type="dxa" w:w="40"/>
              <w:right w:type="dxa" w:w="120"/>
            </w:tcMar>
          </w:tcPr>
          <w:p>
            <w:pPr>
              <w:spacing w:after="0" w:before="0"/>
              <w:jc w:val="center"/>
            </w:pPr>
            <w:r>
              <w:rPr>
                <w:rFonts w:ascii="Arial" w:cs="Arial" w:eastAsia="Arial" w:hAnsi="Arial"/>
                <w:b/>
                <w:bCs/>
                <w:color w:val="0D9E75"/>
                <w:sz w:val="40"/>
                <w:szCs w:val="40"/>
              </w:rPr>
              <w:t xml:space="preserve">170M+</w:t>
            </w:r>
          </w:p>
        </w:tc>
        <w:tc>
          <w:tcPr>
            <w:tcW w:type="dxa" w:w="2340"/>
            <w:tcBorders>
              <w:top w:val="nil" w:color="FFFFFF" w:sz="0"/>
              <w:left w:val="nil" w:color="FFFFFF" w:sz="0"/>
              <w:bottom w:val="nil" w:color="FFFFFF" w:sz="0"/>
              <w:right w:val="nil" w:color="FFFFFF" w:sz="0"/>
            </w:tcBorders>
            <w:shd w:fill="F2F4F3" w:val="clear"/>
            <w:tcMar>
              <w:top w:type="dxa" w:w="120"/>
              <w:left w:type="dxa" w:w="120"/>
              <w:bottom w:type="dxa" w:w="40"/>
              <w:right w:type="dxa" w:w="120"/>
            </w:tcMar>
          </w:tcPr>
          <w:p>
            <w:pPr>
              <w:spacing w:after="0" w:before="0"/>
              <w:jc w:val="center"/>
            </w:pPr>
            <w:r>
              <w:rPr>
                <w:rFonts w:ascii="Arial" w:cs="Arial" w:eastAsia="Arial" w:hAnsi="Arial"/>
                <w:b/>
                <w:bCs/>
                <w:color w:val="0D9E75"/>
                <w:sz w:val="40"/>
                <w:szCs w:val="40"/>
              </w:rPr>
              <w:t xml:space="preserve">$1.2B+</w:t>
            </w:r>
          </w:p>
        </w:tc>
      </w:tr>
      <w:tr>
        <w:tc>
          <w:tcPr>
            <w:tcW w:type="dxa" w:w="2340"/>
            <w:tcBorders>
              <w:top w:val="nil" w:color="FFFFFF" w:sz="0"/>
              <w:left w:val="nil" w:color="FFFFFF" w:sz="0"/>
              <w:bottom w:val="nil" w:color="FFFFFF" w:sz="0"/>
              <w:right w:val="nil" w:color="FFFFFF" w:sz="0"/>
            </w:tcBorders>
            <w:shd w:fill="F2F4F3" w:val="clear"/>
            <w:tcMar>
              <w:top w:type="dxa" w:w="0"/>
              <w:left w:type="dxa" w:w="120"/>
              <w:bottom w:type="dxa" w:w="120"/>
              <w:right w:type="dxa" w:w="120"/>
            </w:tcMar>
          </w:tcPr>
          <w:p>
            <w:pPr>
              <w:spacing w:after="0" w:before="0"/>
              <w:jc w:val="center"/>
            </w:pPr>
            <w:r>
              <w:rPr>
                <w:rFonts w:ascii="Arial" w:cs="Arial" w:eastAsia="Arial" w:hAnsi="Arial"/>
                <w:color w:val="64748B"/>
                <w:sz w:val="18"/>
                <w:szCs w:val="18"/>
              </w:rPr>
              <w:t xml:space="preserve">Installed Capacity — ECOWAS</w:t>
            </w:r>
          </w:p>
        </w:tc>
        <w:tc>
          <w:tcPr>
            <w:tcW w:type="dxa" w:w="2340"/>
            <w:tcBorders>
              <w:top w:val="nil" w:color="FFFFFF" w:sz="0"/>
              <w:left w:val="nil" w:color="FFFFFF" w:sz="0"/>
              <w:bottom w:val="nil" w:color="FFFFFF" w:sz="0"/>
              <w:right w:val="nil" w:color="FFFFFF" w:sz="0"/>
            </w:tcBorders>
            <w:shd w:fill="F2F4F3" w:val="clear"/>
            <w:tcMar>
              <w:top w:type="dxa" w:w="0"/>
              <w:left w:type="dxa" w:w="120"/>
              <w:bottom w:type="dxa" w:w="120"/>
              <w:right w:type="dxa" w:w="120"/>
            </w:tcMar>
          </w:tcPr>
          <w:p>
            <w:pPr>
              <w:spacing w:after="0" w:before="0"/>
              <w:jc w:val="center"/>
            </w:pPr>
            <w:r>
              <w:rPr>
                <w:rFonts w:ascii="Arial" w:cs="Arial" w:eastAsia="Arial" w:hAnsi="Arial"/>
                <w:color w:val="64748B"/>
                <w:sz w:val="18"/>
                <w:szCs w:val="18"/>
              </w:rPr>
              <w:t xml:space="preserve">Regional Average Grid Losses</w:t>
            </w:r>
          </w:p>
        </w:tc>
        <w:tc>
          <w:tcPr>
            <w:tcW w:type="dxa" w:w="2340"/>
            <w:tcBorders>
              <w:top w:val="nil" w:color="FFFFFF" w:sz="0"/>
              <w:left w:val="nil" w:color="FFFFFF" w:sz="0"/>
              <w:bottom w:val="nil" w:color="FFFFFF" w:sz="0"/>
              <w:right w:val="nil" w:color="FFFFFF" w:sz="0"/>
            </w:tcBorders>
            <w:shd w:fill="F2F4F3" w:val="clear"/>
            <w:tcMar>
              <w:top w:type="dxa" w:w="0"/>
              <w:left w:type="dxa" w:w="120"/>
              <w:bottom w:type="dxa" w:w="120"/>
              <w:right w:type="dxa" w:w="120"/>
            </w:tcMar>
          </w:tcPr>
          <w:p>
            <w:pPr>
              <w:spacing w:after="0" w:before="0"/>
              <w:jc w:val="center"/>
            </w:pPr>
            <w:r>
              <w:rPr>
                <w:rFonts w:ascii="Arial" w:cs="Arial" w:eastAsia="Arial" w:hAnsi="Arial"/>
                <w:color w:val="64748B"/>
                <w:sz w:val="18"/>
                <w:szCs w:val="18"/>
              </w:rPr>
              <w:t xml:space="preserve">People Without Electricity Access</w:t>
            </w:r>
          </w:p>
        </w:tc>
        <w:tc>
          <w:tcPr>
            <w:tcW w:type="dxa" w:w="2340"/>
            <w:tcBorders>
              <w:top w:val="nil" w:color="FFFFFF" w:sz="0"/>
              <w:left w:val="nil" w:color="FFFFFF" w:sz="0"/>
              <w:bottom w:val="nil" w:color="FFFFFF" w:sz="0"/>
              <w:right w:val="nil" w:color="FFFFFF" w:sz="0"/>
            </w:tcBorders>
            <w:shd w:fill="F2F4F3" w:val="clear"/>
            <w:tcMar>
              <w:top w:type="dxa" w:w="0"/>
              <w:left w:type="dxa" w:w="120"/>
              <w:bottom w:type="dxa" w:w="120"/>
              <w:right w:type="dxa" w:w="120"/>
            </w:tcMar>
          </w:tcPr>
          <w:p>
            <w:pPr>
              <w:spacing w:after="0" w:before="0"/>
              <w:jc w:val="center"/>
            </w:pPr>
            <w:r>
              <w:rPr>
                <w:rFonts w:ascii="Arial" w:cs="Arial" w:eastAsia="Arial" w:hAnsi="Arial"/>
                <w:color w:val="64748B"/>
                <w:sz w:val="18"/>
                <w:szCs w:val="18"/>
              </w:rPr>
              <w:t xml:space="preserve">Estimated Annual NTL Revenue Loss</w:t>
            </w:r>
          </w:p>
        </w:tc>
      </w:tr>
    </w:tbl>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085041"/>
          <w:sz w:val="22"/>
          <w:szCs w:val="22"/>
        </w:rPr>
        <w:t xml:space="preserve">RenewBiz  ·  AFCEN  ·  Smart Innovation</w:t>
      </w:r>
    </w:p>
    <w:p>
      <w:pPr>
        <w:spacing w:after="0" w:before="0"/>
        <w:jc w:val="center"/>
      </w:pPr>
      <w:r>
        <w:rPr>
          <w:rFonts w:ascii="Arial" w:cs="Arial" w:eastAsia="Arial" w:hAnsi="Arial"/>
          <w:color w:val="64748B"/>
          <w:sz w:val="22"/>
          <w:szCs w:val="22"/>
        </w:rPr>
        <w:t xml:space="preserve">2025</w:t>
      </w:r>
    </w:p>
    <w:p>
      <w:pPr>
        <w:spacing w:after="0" w:before="0"/>
      </w:pPr>
      <w:r>
        <w:br w:type="page"/>
      </w:r>
    </w:p>
    <w:p>
      <w:pPr>
        <w:pStyle w:val="Heading1"/>
        <w:pBdr>
          <w:bottom w:val="single" w:color="0D9E75" w:sz="8"/>
        </w:pBdr>
        <w:spacing w:after="240" w:before="480"/>
      </w:pPr>
      <w:r>
        <w:rPr>
          <w:rFonts w:ascii="Arial" w:cs="Arial" w:eastAsia="Arial" w:hAnsi="Arial"/>
          <w:b/>
          <w:bCs/>
          <w:color w:val="085041"/>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01</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THE OPPORTUNITY</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1. The Opportunity</w:t>
      </w:r>
    </w:p>
    <w:p>
      <w:pPr>
        <w:pStyle w:val="Heading2"/>
        <w:spacing w:after="160" w:before="360"/>
      </w:pPr>
      <w:r>
        <w:rPr>
          <w:rFonts w:ascii="Arial" w:cs="Arial" w:eastAsia="Arial" w:hAnsi="Arial"/>
          <w:b/>
          <w:bCs/>
          <w:color w:val="0D1F2D"/>
          <w:sz w:val="28"/>
          <w:szCs w:val="28"/>
        </w:rPr>
        <w:t xml:space="preserve">1.1 The Market Thesis</w:t>
      </w:r>
    </w:p>
    <w:p>
      <w:pPr>
        <w:spacing w:after="160" w:before="0"/>
      </w:pPr>
      <w:r>
        <w:rPr>
          <w:rFonts w:ascii="Arial" w:cs="Arial" w:eastAsia="Arial" w:hAnsi="Arial"/>
          <w:color w:val="1A1A1A"/>
          <w:sz w:val="24"/>
          <w:szCs w:val="24"/>
        </w:rPr>
        <w:t xml:space="preserve">West Africa's electricity sector presents one of the most precisely defined value-recovery opportunities in global energy markets. The problem is not a shortage of generation capacity, nor is it — at its root — a shortage of finance. The problem is that West African utilities systematically fail to capture the commercial value of the electricity they already produce. GridIQ West Africa is built to solve exactly this problem: to make invisible loss visible, quantifiable, and recoverable — and to transform that recovery data into a credible signal for the development finance institutions and private investors whose capital is needed to scale the sector.</w:t>
      </w:r>
    </w:p>
    <w:p>
      <w:pPr>
        <w:spacing w:after="160" w:before="0"/>
      </w:pPr>
      <w:r>
        <w:rPr>
          <w:rFonts w:ascii="Arial" w:cs="Arial" w:eastAsia="Arial" w:hAnsi="Arial"/>
          <w:color w:val="1A1A1A"/>
          <w:sz w:val="24"/>
          <w:szCs w:val="24"/>
        </w:rPr>
        <w:t xml:space="preserve">The core market thesis is deceptively simple: recovering revenue from existing generation is faster, cheaper, and less politically complex than building new generation capacity. A distribution utility that reduces its non-technical losses (NTL) by five percentage points does not need a new power plant, a new transmission line, or a new tariff order. It needs a data platform that shows it where its revenue is going, and an operational system that allows it to act on that information.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0D9E75" w:val="clear"/>
          </w:tcPr>
          <w:p>
            <w:pPr>
              <w:spacing w:after="160" w:before="0"/>
            </w:pPr>
            <w:r>
              <w:rPr>
                <w:rFonts w:ascii="Arial" w:cs="Arial" w:eastAsia="Arial" w:hAnsi="Arial"/>
                <w:color w:val="1A1A1A"/>
                <w:sz w:val="24"/>
                <w:szCs w:val="24"/>
              </w:rPr>
              <w:t xml:space="preserve"/>
            </w:r>
          </w:p>
        </w:tc>
        <w:tc>
          <w:tcPr>
            <w:tcW w:type="dxa" w:w="9200"/>
            <w:tcBorders>
              <w:top w:val="nil" w:color="FFFFFF" w:sz="0"/>
              <w:left w:val="nil" w:color="FFFFFF" w:sz="0"/>
              <w:bottom w:val="nil" w:color="FFFFFF" w:sz="0"/>
              <w:right w:val="nil" w:color="FFFFFF" w:sz="0"/>
            </w:tcBorders>
            <w:shd w:fill="F2F4F3" w:val="clear"/>
            <w:tcMar>
              <w:top w:type="dxa" w:w="120"/>
              <w:left w:type="dxa" w:w="180"/>
              <w:bottom w:type="dxa" w:w="120"/>
              <w:right w:type="dxa" w:w="120"/>
            </w:tcMar>
          </w:tcPr>
          <w:p>
            <w:pPr>
              <w:spacing w:after="0" w:before="0"/>
            </w:pPr>
            <w:r>
              <w:rPr>
                <w:rFonts w:ascii="Arial" w:cs="Arial" w:eastAsia="Arial" w:hAnsi="Arial"/>
                <w:color w:val="0D1F2D"/>
                <w:sz w:val="23"/>
                <w:szCs w:val="23"/>
              </w:rPr>
              <w:t xml:space="preserve">GridIQ's entry point is not the energy access gap — it is the revenue capture gap. Solving the second creates the financial sustainability to close the first.</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1.2 The Scale of the Opportunity</w:t>
      </w:r>
    </w:p>
    <w:p>
      <w:pPr>
        <w:spacing w:after="160" w:before="0"/>
      </w:pPr>
      <w:r>
        <w:rPr>
          <w:rFonts w:ascii="Arial" w:cs="Arial" w:eastAsia="Arial" w:hAnsi="Arial"/>
          <w:color w:val="1A1A1A"/>
          <w:sz w:val="24"/>
          <w:szCs w:val="24"/>
        </w:rPr>
        <w:t xml:space="preserve">The ECOWAS regional electricity system generated 96,057 GWh in 2023, representing a 7.4% year-on-year increase against a combined installed capacity of 26.6 GW. Yet 57.7% electrification across a population of 400 million means approximately 170 million people remain without reliable electricity access. The gap between generation and access is not primarily a physical infrastructure gap — it is a commercial viability gap. Utilities that cannot collect revenue from their existing customers cannot finance the grid extensions, maintenance programmes, and Power Purchase Agreements that would bring new customers onto the system.</w:t>
      </w:r>
    </w:p>
    <w:p>
      <w:pPr>
        <w:spacing w:after="160" w:before="0"/>
      </w:pPr>
      <w:r>
        <w:rPr>
          <w:rFonts w:ascii="Arial" w:cs="Arial" w:eastAsia="Arial" w:hAnsi="Arial"/>
          <w:color w:val="1A1A1A"/>
          <w:sz w:val="24"/>
          <w:szCs w:val="24"/>
        </w:rPr>
        <w:t xml:space="preserve">The ECOWAS regional average for total transmission and distribution losses stands at 21.3%, against a global efficiency benchmark of 8–10%. The non-technical component of these losses — electricity that is stolen, meter-bypassed, or administratively lost through billing fraud — represents the recoverable portion. Across the eight primary ECOWAS distribution utilities, GridIQ's addressable NTL market conservatively represents over $1.2 billion in annual unrecovered revenue. This is not potential future revenue. It is revenue currently being lost from electricity that has already been generated and delivered.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900"/>
        <w:gridCol w:w="1900"/>
        <w:gridCol w:w="1560"/>
      </w:tblGrid>
      <w:tr>
        <w:tc>
          <w:tcPr>
            <w:tcW w:type="dxa" w:w="24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Utility (Country)</w:t>
            </w:r>
          </w:p>
        </w:tc>
        <w:tc>
          <w:tcPr>
            <w:tcW w:type="dxa" w:w="16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Total Losses</w:t>
            </w:r>
          </w:p>
        </w:tc>
        <w:tc>
          <w:tcPr>
            <w:tcW w:type="dxa" w:w="19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Non-Technical Losses</w:t>
            </w:r>
          </w:p>
        </w:tc>
        <w:tc>
          <w:tcPr>
            <w:tcW w:type="dxa" w:w="19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Phase</w:t>
            </w:r>
          </w:p>
        </w:tc>
        <w:tc>
          <w:tcPr>
            <w:tcW w:type="dxa" w:w="156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Risk Level</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1"/>
                <w:szCs w:val="21"/>
              </w:rPr>
              <w:t xml:space="preserve">EDG (Guinea)</w:t>
            </w:r>
          </w:p>
        </w:tc>
        <w:tc>
          <w:tcPr>
            <w:tcW w:type="dxa" w:w="16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21"/>
                <w:szCs w:val="21"/>
              </w:rPr>
              <w:t xml:space="preserve">41.0%</w:t>
            </w:r>
          </w:p>
        </w:tc>
        <w:tc>
          <w:tcPr>
            <w:tcW w:type="dxa" w:w="19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color w:val="EF9F27"/>
                <w:sz w:val="21"/>
                <w:szCs w:val="21"/>
              </w:rPr>
              <w:t xml:space="preserve">31.9%</w:t>
            </w:r>
          </w:p>
        </w:tc>
        <w:tc>
          <w:tcPr>
            <w:tcW w:type="dxa" w:w="19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color w:val="64748B"/>
                <w:sz w:val="20"/>
                <w:szCs w:val="20"/>
              </w:rPr>
              <w:t xml:space="preserve">Phase 1 Target</w:t>
            </w:r>
          </w:p>
        </w:tc>
        <w:tc>
          <w:tcPr>
            <w:tcW w:type="dxa" w:w="15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18"/>
                <w:szCs w:val="18"/>
              </w:rPr>
              <w:t xml:space="preserve">CRITICAL</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D1F2D"/>
                <w:sz w:val="21"/>
                <w:szCs w:val="21"/>
              </w:rPr>
              <w:t xml:space="preserve">EDSA (Sierra Leone)</w:t>
            </w:r>
          </w:p>
        </w:tc>
        <w:tc>
          <w:tcPr>
            <w:tcW w:type="dxa" w:w="16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21"/>
                <w:szCs w:val="21"/>
              </w:rPr>
              <w:t xml:space="preserve">~38.0%</w:t>
            </w:r>
          </w:p>
        </w:tc>
        <w:tc>
          <w:tcPr>
            <w:tcW w:type="dxa" w:w="19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color w:val="EF9F27"/>
                <w:sz w:val="21"/>
                <w:szCs w:val="21"/>
              </w:rPr>
              <w:t xml:space="preserve">~25%</w:t>
            </w:r>
          </w:p>
        </w:tc>
        <w:tc>
          <w:tcPr>
            <w:tcW w:type="dxa" w:w="19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color w:val="64748B"/>
                <w:sz w:val="20"/>
                <w:szCs w:val="20"/>
              </w:rPr>
              <w:t xml:space="preserve">Phase 1 Primary</w:t>
            </w:r>
          </w:p>
        </w:tc>
        <w:tc>
          <w:tcPr>
            <w:tcW w:type="dxa" w:w="15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18"/>
                <w:szCs w:val="18"/>
              </w:rPr>
              <w:t xml:space="preserve">CRITICAL</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1"/>
                <w:szCs w:val="21"/>
              </w:rPr>
              <w:t xml:space="preserve">ECG (Ghana)</w:t>
            </w:r>
          </w:p>
        </w:tc>
        <w:tc>
          <w:tcPr>
            <w:tcW w:type="dxa" w:w="16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21"/>
                <w:szCs w:val="21"/>
              </w:rPr>
              <w:t xml:space="preserve">~28.4%</w:t>
            </w:r>
          </w:p>
        </w:tc>
        <w:tc>
          <w:tcPr>
            <w:tcW w:type="dxa" w:w="19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color w:val="EF9F27"/>
                <w:sz w:val="21"/>
                <w:szCs w:val="21"/>
              </w:rPr>
              <w:t xml:space="preserve">~12–17%</w:t>
            </w:r>
          </w:p>
        </w:tc>
        <w:tc>
          <w:tcPr>
            <w:tcW w:type="dxa" w:w="19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color w:val="64748B"/>
                <w:sz w:val="20"/>
                <w:szCs w:val="20"/>
              </w:rPr>
              <w:t xml:space="preserve">Phase 2</w:t>
            </w:r>
          </w:p>
        </w:tc>
        <w:tc>
          <w:tcPr>
            <w:tcW w:type="dxa" w:w="15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b/>
                <w:bCs/>
                <w:color w:val="EF9F27"/>
                <w:sz w:val="18"/>
                <w:szCs w:val="18"/>
              </w:rPr>
              <w:t xml:space="preserve">HIGH</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D1F2D"/>
                <w:sz w:val="21"/>
                <w:szCs w:val="21"/>
              </w:rPr>
              <w:t xml:space="preserve">NEDCO (Ghana)</w:t>
            </w:r>
          </w:p>
        </w:tc>
        <w:tc>
          <w:tcPr>
            <w:tcW w:type="dxa" w:w="16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21"/>
                <w:szCs w:val="21"/>
              </w:rPr>
              <w:t xml:space="preserve">~26.5%</w:t>
            </w:r>
          </w:p>
        </w:tc>
        <w:tc>
          <w:tcPr>
            <w:tcW w:type="dxa" w:w="19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color w:val="EF9F27"/>
                <w:sz w:val="21"/>
                <w:szCs w:val="21"/>
              </w:rPr>
              <w:t xml:space="preserve">~10–14%</w:t>
            </w:r>
          </w:p>
        </w:tc>
        <w:tc>
          <w:tcPr>
            <w:tcW w:type="dxa" w:w="19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color w:val="64748B"/>
                <w:sz w:val="20"/>
                <w:szCs w:val="20"/>
              </w:rPr>
              <w:t xml:space="preserve">Phase 2</w:t>
            </w:r>
          </w:p>
        </w:tc>
        <w:tc>
          <w:tcPr>
            <w:tcW w:type="dxa" w:w="15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EF9F27"/>
                <w:sz w:val="18"/>
                <w:szCs w:val="18"/>
              </w:rPr>
              <w:t xml:space="preserve">HIGH</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1"/>
                <w:szCs w:val="21"/>
              </w:rPr>
              <w:t xml:space="preserve">NAWEC (Gambia)</w:t>
            </w:r>
          </w:p>
        </w:tc>
        <w:tc>
          <w:tcPr>
            <w:tcW w:type="dxa" w:w="16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21"/>
                <w:szCs w:val="21"/>
              </w:rPr>
              <w:t xml:space="preserve">~22.7%</w:t>
            </w:r>
          </w:p>
        </w:tc>
        <w:tc>
          <w:tcPr>
            <w:tcW w:type="dxa" w:w="19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color w:val="EF9F27"/>
                <w:sz w:val="21"/>
                <w:szCs w:val="21"/>
              </w:rPr>
              <w:t xml:space="preserve">~10%</w:t>
            </w:r>
          </w:p>
        </w:tc>
        <w:tc>
          <w:tcPr>
            <w:tcW w:type="dxa" w:w="19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color w:val="64748B"/>
                <w:sz w:val="20"/>
                <w:szCs w:val="20"/>
              </w:rPr>
              <w:t xml:space="preserve">Phase 3</w:t>
            </w:r>
          </w:p>
        </w:tc>
        <w:tc>
          <w:tcPr>
            <w:tcW w:type="dxa" w:w="15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b/>
                <w:bCs/>
                <w:color w:val="EF9F27"/>
                <w:sz w:val="18"/>
                <w:szCs w:val="18"/>
              </w:rPr>
              <w:t xml:space="preserve">HIGH</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D1F2D"/>
                <w:sz w:val="21"/>
                <w:szCs w:val="21"/>
              </w:rPr>
              <w:t xml:space="preserve">SBEE (Benin)</w:t>
            </w:r>
          </w:p>
        </w:tc>
        <w:tc>
          <w:tcPr>
            <w:tcW w:type="dxa" w:w="16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21"/>
                <w:szCs w:val="21"/>
              </w:rPr>
              <w:t xml:space="preserve">~22.2%</w:t>
            </w:r>
          </w:p>
        </w:tc>
        <w:tc>
          <w:tcPr>
            <w:tcW w:type="dxa" w:w="19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color w:val="EF9F27"/>
                <w:sz w:val="21"/>
                <w:szCs w:val="21"/>
              </w:rPr>
              <w:t xml:space="preserve">~8%</w:t>
            </w:r>
          </w:p>
        </w:tc>
        <w:tc>
          <w:tcPr>
            <w:tcW w:type="dxa" w:w="19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color w:val="64748B"/>
                <w:sz w:val="20"/>
                <w:szCs w:val="20"/>
              </w:rPr>
              <w:t xml:space="preserve">Phase 3</w:t>
            </w:r>
          </w:p>
        </w:tc>
        <w:tc>
          <w:tcPr>
            <w:tcW w:type="dxa" w:w="15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EF9F27"/>
                <w:sz w:val="18"/>
                <w:szCs w:val="18"/>
              </w:rPr>
              <w:t xml:space="preserve">HIGH</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1"/>
                <w:szCs w:val="21"/>
              </w:rPr>
              <w:t xml:space="preserve">SENELEC (Senegal)</w:t>
            </w:r>
          </w:p>
        </w:tc>
        <w:tc>
          <w:tcPr>
            <w:tcW w:type="dxa" w:w="16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21"/>
                <w:szCs w:val="21"/>
              </w:rPr>
              <w:t xml:space="preserve">~17.4%</w:t>
            </w:r>
          </w:p>
        </w:tc>
        <w:tc>
          <w:tcPr>
            <w:tcW w:type="dxa" w:w="19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color w:val="EF9F27"/>
                <w:sz w:val="21"/>
                <w:szCs w:val="21"/>
              </w:rPr>
              <w:t xml:space="preserve">~5%</w:t>
            </w:r>
          </w:p>
        </w:tc>
        <w:tc>
          <w:tcPr>
            <w:tcW w:type="dxa" w:w="19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color w:val="64748B"/>
                <w:sz w:val="20"/>
                <w:szCs w:val="20"/>
              </w:rPr>
              <w:t xml:space="preserve">Phase 3</w:t>
            </w:r>
          </w:p>
        </w:tc>
        <w:tc>
          <w:tcPr>
            <w:tcW w:type="dxa" w:w="15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vAlign w:val="center"/>
          </w:tcPr>
          <w:p>
            <w:pPr>
              <w:spacing w:after="0" w:before="0"/>
              <w:jc w:val="center"/>
            </w:pPr>
            <w:r>
              <w:rPr>
                <w:rFonts w:ascii="Arial" w:cs="Arial" w:eastAsia="Arial" w:hAnsi="Arial"/>
                <w:b/>
                <w:bCs/>
                <w:color w:val="0D9E75"/>
                <w:sz w:val="18"/>
                <w:szCs w:val="18"/>
              </w:rPr>
              <w:t xml:space="preserve">MODERATE</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D1F2D"/>
                <w:sz w:val="21"/>
                <w:szCs w:val="21"/>
              </w:rPr>
              <w:t xml:space="preserve">CIE (Côte d'Ivoire)</w:t>
            </w:r>
          </w:p>
        </w:tc>
        <w:tc>
          <w:tcPr>
            <w:tcW w:type="dxa" w:w="16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D85A30"/>
                <w:sz w:val="21"/>
                <w:szCs w:val="21"/>
              </w:rPr>
              <w:t xml:space="preserve">8.7%</w:t>
            </w:r>
          </w:p>
        </w:tc>
        <w:tc>
          <w:tcPr>
            <w:tcW w:type="dxa" w:w="19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color w:val="EF9F27"/>
                <w:sz w:val="21"/>
                <w:szCs w:val="21"/>
              </w:rPr>
              <w:t xml:space="preserve">~3%</w:t>
            </w:r>
          </w:p>
        </w:tc>
        <w:tc>
          <w:tcPr>
            <w:tcW w:type="dxa" w:w="19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color w:val="64748B"/>
                <w:sz w:val="20"/>
                <w:szCs w:val="20"/>
              </w:rPr>
              <w:t xml:space="preserve">Benchmark</w:t>
            </w:r>
          </w:p>
        </w:tc>
        <w:tc>
          <w:tcPr>
            <w:tcW w:type="dxa" w:w="15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085041"/>
                <w:sz w:val="18"/>
                <w:szCs w:val="18"/>
              </w:rPr>
              <w:t xml:space="preserve">BEST PRACTICE</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1.3 The Structural Paradox</w:t>
      </w:r>
    </w:p>
    <w:p>
      <w:pPr>
        <w:spacing w:after="160" w:before="0"/>
      </w:pPr>
      <w:r>
        <w:rPr>
          <w:rFonts w:ascii="Arial" w:cs="Arial" w:eastAsia="Arial" w:hAnsi="Arial"/>
          <w:color w:val="1A1A1A"/>
          <w:sz w:val="24"/>
          <w:szCs w:val="24"/>
        </w:rPr>
        <w:t xml:space="preserve">West Africa's electricity sector is trapped in a self-reinforcing cycle of underperformance that conventional interventions have failed to break. Generation investment increases system capacity but does not improve utility finances if losses remain unaddressed. Tariff increases are politically unsustainable when utilities are demonstrably failing to recover existing revenue. DFI lending is constrained by the absence of reliable utility performance data, which itself results from the same operational failures that generate the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9E75" w:sz="6"/>
              <w:left w:val="single" w:color="0D9E75" w:sz="6"/>
              <w:bottom w:val="single" w:color="0D9E75" w:sz="6"/>
              <w:right w:val="single" w:color="0D9E75" w:sz="6"/>
            </w:tcBorders>
            <w:shd w:fill="085041" w:val="clear"/>
            <w:tcMar>
              <w:top w:type="dxa" w:w="100"/>
              <w:left w:type="dxa" w:w="120"/>
              <w:bottom w:type="dxa" w:w="100"/>
              <w:right w:type="dxa" w:w="120"/>
            </w:tcMar>
          </w:tcPr>
          <w:p>
            <w:pPr>
              <w:spacing w:after="0" w:before="0"/>
              <w:jc w:val="center"/>
            </w:pPr>
            <w:r>
              <w:rPr>
                <w:rFonts w:ascii="Arial" w:cs="Arial" w:eastAsia="Arial" w:hAnsi="Arial"/>
                <w:b/>
                <w:bCs/>
                <w:color w:val="FFFFFF"/>
                <w:sz w:val="22"/>
                <w:szCs w:val="22"/>
              </w:rPr>
              <w:t xml:space="preserve">The Causal Link</w:t>
            </w:r>
          </w:p>
        </w:tc>
        <w:tc>
          <w:tcPr>
            <w:tcW w:type="dxa" w:w="6560"/>
            <w:tcBorders>
              <w:top w:val="single" w:color="0D9E75" w:sz="6"/>
              <w:left w:val="single" w:color="0D9E75" w:sz="6"/>
              <w:bottom w:val="single" w:color="0D9E75" w:sz="6"/>
              <w:right w:val="single" w:color="0D9E75" w:sz="6"/>
            </w:tcBorders>
            <w:shd w:fill="085041" w:val="clear"/>
            <w:tcMar>
              <w:top w:type="dxa" w:w="100"/>
              <w:left w:type="dxa" w:w="120"/>
              <w:bottom w:type="dxa" w:w="100"/>
              <w:right w:type="dxa" w:w="120"/>
            </w:tcMar>
          </w:tcPr>
          <w:p>
            <w:pPr>
              <w:spacing w:after="0" w:before="0"/>
              <w:jc w:val="center"/>
            </w:pPr>
            <w:r>
              <w:rPr>
                <w:rFonts w:ascii="Arial" w:cs="Arial" w:eastAsia="Arial" w:hAnsi="Arial"/>
                <w:b/>
                <w:bCs/>
                <w:color w:val="FFFFFF"/>
                <w:sz w:val="22"/>
                <w:szCs w:val="22"/>
              </w:rPr>
              <w:t xml:space="preserve">Consequence</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No feeder-level metering</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Losses are geographically invisible. No spatial attribution is possible until month-end billing reconciliation, by which time actionable intervention is impossible.</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Losses undetected</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 targeted investigation or enforcement. NTL normalises across networks and grows as theft methods adapt to utility responses.</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Revenue shortfall</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Non-cost-reflective tariffs compounded by unrecovered NTL create structural insolvency risk across most ECOWAS utilities.</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Utility debt accumulates</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Utilities cannot service PPA obligations, cannot invest in infrastructure maintenance, and cannot attract further lending.</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Grid reliability falls</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Customers self-generate on diesel at high cost; utility revenue base shrinks further as commercial customers defect.</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Private capital exits</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DFI lending is constrained; private investment is deterred; energy access investment stagnates across the region.</w:t>
            </w:r>
          </w:p>
        </w:tc>
      </w:tr>
    </w:tbl>
    <w:p>
      <w:pPr>
        <w:spacing w:after="80" w:before="0"/>
      </w:pPr>
      <w:r>
        <w:t xml:space="preserve"/>
      </w:r>
    </w:p>
    <w:p>
      <w:pPr>
        <w:spacing w:after="160" w:before="0"/>
      </w:pPr>
      <w:r>
        <w:rPr>
          <w:rFonts w:ascii="Arial" w:cs="Arial" w:eastAsia="Arial" w:hAnsi="Arial"/>
          <w:color w:val="1A1A1A"/>
          <w:sz w:val="24"/>
          <w:szCs w:val="24"/>
        </w:rPr>
        <w:t xml:space="preserve">GridIQ interrupts this cycle at its source. By making loss visible, geographically attributed, and commercially quantified in real time, it creates the conditions under which utilities can act, investors can lend, and regulators can govern.</w:t>
      </w:r>
    </w:p>
    <w:p>
      <w:pPr>
        <w:pStyle w:val="Heading2"/>
        <w:spacing w:after="160" w:before="360"/>
      </w:pPr>
      <w:r>
        <w:rPr>
          <w:rFonts w:ascii="Arial" w:cs="Arial" w:eastAsia="Arial" w:hAnsi="Arial"/>
          <w:b/>
          <w:bCs/>
          <w:color w:val="0D1F2D"/>
          <w:sz w:val="28"/>
          <w:szCs w:val="28"/>
        </w:rPr>
        <w:t xml:space="preserve">1.4 The Data Blindness Dimension</w:t>
      </w:r>
    </w:p>
    <w:p>
      <w:pPr>
        <w:spacing w:after="160" w:before="0"/>
      </w:pPr>
      <w:r>
        <w:rPr>
          <w:rFonts w:ascii="Arial" w:cs="Arial" w:eastAsia="Arial" w:hAnsi="Arial"/>
          <w:color w:val="1A1A1A"/>
          <w:sz w:val="24"/>
          <w:szCs w:val="24"/>
        </w:rPr>
        <w:t xml:space="preserve">Parallel to the loss crisis is a data crisis that amplifies it. The ECOWAS Energy Information System (EIS) relies on voluntary, manual reporting by national energy ministries and utilities. For most ECOWAS member states, reporting lags of two to eight years are the norm. DFIs conducting investment due diligence cannot obtain current, verified utility performance data, forcing them to apply higher risk premiums — or to decline to invest entirely. This data vacuum is not a secondary problem. It is the mechanism by which the loss crisis becomes a capital crisis.</w:t>
      </w:r>
    </w:p>
    <w:p>
      <w:pPr>
        <w:spacing w:after="160" w:before="0"/>
      </w:pPr>
      <w:r>
        <w:rPr>
          <w:rFonts w:ascii="Arial" w:cs="Arial" w:eastAsia="Arial" w:hAnsi="Arial"/>
          <w:color w:val="1A1A1A"/>
          <w:sz w:val="24"/>
          <w:szCs w:val="24"/>
        </w:rPr>
        <w:t xml:space="preserve">GridIQ's automated EIS reporting pipeline — which exports verified, utility-co-validated grid performance data to ECOWAS regulators via a standardised REST API — addresses this dimension directly. In doing so, it creates a new category of value: real-time, credible regional energy intelligence that currently does not exist at any price.</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02</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THE PROBLEM BEING SOLVED</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2. The Problem Being Solved</w:t>
      </w:r>
    </w:p>
    <w:p>
      <w:pPr>
        <w:pStyle w:val="Heading2"/>
        <w:spacing w:after="160" w:before="360"/>
      </w:pPr>
      <w:r>
        <w:rPr>
          <w:rFonts w:ascii="Arial" w:cs="Arial" w:eastAsia="Arial" w:hAnsi="Arial"/>
          <w:b/>
          <w:bCs/>
          <w:color w:val="0D1F2D"/>
          <w:sz w:val="28"/>
          <w:szCs w:val="28"/>
        </w:rPr>
        <w:t xml:space="preserve">2.1 Non-Technical Losses — The Invisible Crisis</w:t>
      </w:r>
    </w:p>
    <w:p>
      <w:pPr>
        <w:spacing w:after="160" w:before="0"/>
      </w:pPr>
      <w:r>
        <w:rPr>
          <w:rFonts w:ascii="Arial" w:cs="Arial" w:eastAsia="Arial" w:hAnsi="Arial"/>
          <w:color w:val="1A1A1A"/>
          <w:sz w:val="24"/>
          <w:szCs w:val="24"/>
        </w:rPr>
        <w:t xml:space="preserve">Non-technical losses (NTL) refer to electricity that is delivered to the distribution network but for which no revenue is collected. The causes are multiple and interacting: meter tampering and bypass, illegal reconnection after disconnection, fraudulent billing by utility staff, token manipulation in prepaid systems, and administrative errors in billing reconciliation. Unlike technical losses — which result from resistance in conductors and transformers and can be reduced through infrastructure investment — non-technical losses are primarily a governance, data, and enforcement problem.</w:t>
      </w:r>
    </w:p>
    <w:p>
      <w:pPr>
        <w:spacing w:after="160" w:before="0"/>
      </w:pPr>
      <w:r>
        <w:rPr>
          <w:rFonts w:ascii="Arial" w:cs="Arial" w:eastAsia="Arial" w:hAnsi="Arial"/>
          <w:color w:val="1A1A1A"/>
          <w:sz w:val="24"/>
          <w:szCs w:val="24"/>
        </w:rPr>
        <w:t xml:space="preserve">The ECOWAS regional NTL average is conservatively estimated at 12–16% of total generation. At the extreme end, EDG in Guinea and EDSA in Sierra Leone report NTL components of 31.9% and approximately 25% respectively. These figures are not anomalies — they represent the structural norm for utilities operating without feeder-level metering, without spatial loss mapping, and without AI-assisted anomaly detection on their meter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0D9E75" w:val="clear"/>
          </w:tcPr>
          <w:p>
            <w:pPr>
              <w:spacing w:after="160" w:before="0"/>
            </w:pPr>
            <w:r>
              <w:rPr>
                <w:rFonts w:ascii="Arial" w:cs="Arial" w:eastAsia="Arial" w:hAnsi="Arial"/>
                <w:color w:val="1A1A1A"/>
                <w:sz w:val="24"/>
                <w:szCs w:val="24"/>
              </w:rPr>
              <w:t xml:space="preserve"/>
            </w:r>
          </w:p>
        </w:tc>
        <w:tc>
          <w:tcPr>
            <w:tcW w:type="dxa" w:w="9200"/>
            <w:tcBorders>
              <w:top w:val="nil" w:color="FFFFFF" w:sz="0"/>
              <w:left w:val="nil" w:color="FFFFFF" w:sz="0"/>
              <w:bottom w:val="nil" w:color="FFFFFF" w:sz="0"/>
              <w:right w:val="nil" w:color="FFFFFF" w:sz="0"/>
            </w:tcBorders>
            <w:shd w:fill="F2F4F3" w:val="clear"/>
            <w:tcMar>
              <w:top w:type="dxa" w:w="120"/>
              <w:left w:type="dxa" w:w="180"/>
              <w:bottom w:type="dxa" w:w="120"/>
              <w:right w:type="dxa" w:w="120"/>
            </w:tcMar>
          </w:tcPr>
          <w:p>
            <w:pPr>
              <w:spacing w:after="0" w:before="0"/>
            </w:pPr>
            <w:r>
              <w:rPr>
                <w:rFonts w:ascii="Arial" w:cs="Arial" w:eastAsia="Arial" w:hAnsi="Arial"/>
                <w:color w:val="0D1F2D"/>
                <w:sz w:val="23"/>
                <w:szCs w:val="23"/>
              </w:rPr>
              <w:t xml:space="preserve">For every 10 units of electricity generated in the ECOWAS region, more than 2 are lost, stolen, or unaccounted for before reaching a paying customer. The majority of this loss is recoverable.</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2.2 Why Previous Interventions Have Failed</w:t>
      </w:r>
    </w:p>
    <w:p>
      <w:pPr>
        <w:spacing w:after="160" w:before="0"/>
      </w:pPr>
      <w:r>
        <w:rPr>
          <w:rFonts w:ascii="Arial" w:cs="Arial" w:eastAsia="Arial" w:hAnsi="Arial"/>
          <w:color w:val="1A1A1A"/>
          <w:sz w:val="24"/>
          <w:szCs w:val="24"/>
        </w:rPr>
        <w:t xml:space="preserve">The failure of previous NTL reduction efforts in West Africa is not accidental — it reflects six specific, systemic gaps that technology deployments have consistently overlooked.</w:t>
      </w:r>
    </w:p>
    <w:p>
      <w:pPr>
        <w:pStyle w:val="Heading3"/>
        <w:spacing w:after="120" w:before="240"/>
      </w:pPr>
      <w:r>
        <w:rPr>
          <w:rFonts w:ascii="Arial" w:cs="Arial" w:eastAsia="Arial" w:hAnsi="Arial"/>
          <w:b/>
          <w:bCs/>
          <w:color w:val="0D9E75"/>
          <w:sz w:val="24"/>
          <w:szCs w:val="24"/>
        </w:rPr>
        <w:t xml:space="preserve">2.2.1 No Spatial Loss Attribution</w:t>
      </w:r>
    </w:p>
    <w:p>
      <w:pPr>
        <w:spacing w:after="160" w:before="0"/>
      </w:pPr>
      <w:r>
        <w:rPr>
          <w:rFonts w:ascii="Arial" w:cs="Arial" w:eastAsia="Arial" w:hAnsi="Arial"/>
          <w:color w:val="1A1A1A"/>
          <w:sz w:val="24"/>
          <w:szCs w:val="24"/>
        </w:rPr>
        <w:t xml:space="preserve">Without metering at feeder and distribution transformer level, losses can only be estimated at aggregate utility level. There is no mechanism to determine whether the losses originate in a specific industrial corridor, a dense informal settlement, or a particular feeder serving agricultural customers. Geographic attribution is the prerequisite for any targeted intervention — and it has been absent from every ECOWAS utility network that GridIQ is designed to serve.</w:t>
      </w:r>
    </w:p>
    <w:p>
      <w:pPr>
        <w:pStyle w:val="Heading3"/>
        <w:spacing w:after="120" w:before="240"/>
      </w:pPr>
      <w:r>
        <w:rPr>
          <w:rFonts w:ascii="Arial" w:cs="Arial" w:eastAsia="Arial" w:hAnsi="Arial"/>
          <w:b/>
          <w:bCs/>
          <w:color w:val="0D9E75"/>
          <w:sz w:val="24"/>
          <w:szCs w:val="24"/>
        </w:rPr>
        <w:t xml:space="preserve">2.2.2 Prepaid Meter Data Siloed in Vendor Systems</w:t>
      </w:r>
    </w:p>
    <w:p>
      <w:pPr>
        <w:spacing w:after="160" w:before="0"/>
      </w:pPr>
      <w:r>
        <w:rPr>
          <w:rFonts w:ascii="Arial" w:cs="Arial" w:eastAsia="Arial" w:hAnsi="Arial"/>
          <w:color w:val="1A1A1A"/>
          <w:sz w:val="24"/>
          <w:szCs w:val="24"/>
        </w:rPr>
        <w:t xml:space="preserve">The dominant metering paradigm across ECOWAS utilities is the Conlog and Hexing prepaid meter, operated through token-purchase systems. These systems generate rich transactional data — purchase frequency, token amounts, consumption patterns, geographic clustering of meter activity — that is potentially highly informative for NTL detection. However, this data sits in vendor-proprietary systems with no integration into utility GIS or billing platforms. No platform has previously bridged this gap for the ECOWAS market.</w:t>
      </w:r>
    </w:p>
    <w:p>
      <w:pPr>
        <w:pStyle w:val="Heading3"/>
        <w:spacing w:after="120" w:before="240"/>
      </w:pPr>
      <w:r>
        <w:rPr>
          <w:rFonts w:ascii="Arial" w:cs="Arial" w:eastAsia="Arial" w:hAnsi="Arial"/>
          <w:b/>
          <w:bCs/>
          <w:color w:val="0D9E75"/>
          <w:sz w:val="24"/>
          <w:szCs w:val="24"/>
        </w:rPr>
        <w:t xml:space="preserve">2.2.3 Internal Collusion Unaddressed</w:t>
      </w:r>
    </w:p>
    <w:p>
      <w:pPr>
        <w:spacing w:after="160" w:before="0"/>
      </w:pPr>
      <w:r>
        <w:rPr>
          <w:rFonts w:ascii="Arial" w:cs="Arial" w:eastAsia="Arial" w:hAnsi="Arial"/>
          <w:color w:val="1A1A1A"/>
          <w:sz w:val="24"/>
          <w:szCs w:val="24"/>
        </w:rPr>
        <w:t xml:space="preserve">A significant share of NTL in ECOWAS utilities originates not from customers but from within the utility itself. Billing staff manipulating reads, token vending agents generating fraudulent credits, field technicians accepting payments not to disconnect — these are documented failure modes in utilities across the region. When a technology platform surfaces an anomaly alert and that alert is reviewed by the staff member responsible for the anomaly, the detection system is neutralised. No previous platform deployed in this market has incorporated an internal fraud detection architecture to address this failure mode.</w:t>
      </w:r>
    </w:p>
    <w:p>
      <w:pPr>
        <w:pStyle w:val="Heading3"/>
        <w:spacing w:after="120" w:before="240"/>
      </w:pPr>
      <w:r>
        <w:rPr>
          <w:rFonts w:ascii="Arial" w:cs="Arial" w:eastAsia="Arial" w:hAnsi="Arial"/>
          <w:b/>
          <w:bCs/>
          <w:color w:val="0D9E75"/>
          <w:sz w:val="24"/>
          <w:szCs w:val="24"/>
        </w:rPr>
        <w:t xml:space="preserve">2.2.4 Detection Without Enforcement Capability</w:t>
      </w:r>
    </w:p>
    <w:p>
      <w:pPr>
        <w:spacing w:after="160" w:before="0"/>
      </w:pPr>
      <w:r>
        <w:rPr>
          <w:rFonts w:ascii="Arial" w:cs="Arial" w:eastAsia="Arial" w:hAnsi="Arial"/>
          <w:color w:val="1A1A1A"/>
          <w:sz w:val="24"/>
          <w:szCs w:val="24"/>
        </w:rPr>
        <w:t xml:space="preserve">Even well-functioning NTL detection systems fail to recover revenue if the detected theft cannot be acted upon. Most ECOWAS utilities have revenue protection units that are understaffed, underfunded, and legally under-empowered. Field agents frequently encounter physical obstruction in informal settlements. Legal recourse is slow. Without a formal enforcement architecture — including Ministry-level backing and community engagement protocols — a detection system produces alerts that accumulate without generating recoveries.</w:t>
      </w:r>
    </w:p>
    <w:p>
      <w:pPr>
        <w:pStyle w:val="Heading3"/>
        <w:spacing w:after="120" w:before="240"/>
      </w:pPr>
      <w:r>
        <w:rPr>
          <w:rFonts w:ascii="Arial" w:cs="Arial" w:eastAsia="Arial" w:hAnsi="Arial"/>
          <w:b/>
          <w:bCs/>
          <w:color w:val="0D9E75"/>
          <w:sz w:val="24"/>
          <w:szCs w:val="24"/>
        </w:rPr>
        <w:t xml:space="preserve">2.2.5 Community Resistance to Enforcement</w:t>
      </w:r>
    </w:p>
    <w:p>
      <w:pPr>
        <w:spacing w:after="160" w:before="0"/>
      </w:pPr>
      <w:r>
        <w:rPr>
          <w:rFonts w:ascii="Arial" w:cs="Arial" w:eastAsia="Arial" w:hAnsi="Arial"/>
          <w:color w:val="1A1A1A"/>
          <w:sz w:val="24"/>
          <w:szCs w:val="24"/>
        </w:rPr>
        <w:t xml:space="preserve">In dense informal settlements across Freetown, Conakry, and Accra, electricity connections that technically constitute theft often represent the only affordable means of access for households that have been waiting years for formal connection. Community attitudes to utility enforcement in these areas range from passive non-cooperation to active resistance. Enforcement that is experienced as punitive rather than regularising tends to generate backlash that can paralyse field operations and create political problems for the utility.</w:t>
      </w:r>
    </w:p>
    <w:p>
      <w:pPr>
        <w:pStyle w:val="Heading3"/>
        <w:spacing w:after="120" w:before="240"/>
      </w:pPr>
      <w:r>
        <w:rPr>
          <w:rFonts w:ascii="Arial" w:cs="Arial" w:eastAsia="Arial" w:hAnsi="Arial"/>
          <w:b/>
          <w:bCs/>
          <w:color w:val="0D9E75"/>
          <w:sz w:val="24"/>
          <w:szCs w:val="24"/>
        </w:rPr>
        <w:t xml:space="preserve">2.2.6 The ECOWAS EIS Data Gap</w:t>
      </w:r>
    </w:p>
    <w:p>
      <w:pPr>
        <w:spacing w:after="160" w:before="0"/>
      </w:pPr>
      <w:r>
        <w:rPr>
          <w:rFonts w:ascii="Arial" w:cs="Arial" w:eastAsia="Arial" w:hAnsi="Arial"/>
          <w:color w:val="1A1A1A"/>
          <w:sz w:val="24"/>
          <w:szCs w:val="24"/>
        </w:rPr>
        <w:t xml:space="preserve">Even where individual utilities achieve progress in loss reduction, this knowledge does not reach the ECOWAS regulators, DFIs, and national planning ministries who need it to make capital allocation decisions. The ECOWAS Energy Information System relies on voluntary, manual reporting with two-to-eight year lags. The result is a systemic information failure that amplifies the loss crisis into a capital market failure: investors cannot price risk accurately, DFIs cannot verify impact, and regulators cannot govern effectively.</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03</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PLATFORM ARCHITECTURE — THE FULL STACK</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3. Platform Architecture — The Full Stack</w:t>
      </w:r>
    </w:p>
    <w:p>
      <w:pPr>
        <w:pStyle w:val="Heading2"/>
        <w:spacing w:after="160" w:before="360"/>
      </w:pPr>
      <w:r>
        <w:rPr>
          <w:rFonts w:ascii="Arial" w:cs="Arial" w:eastAsia="Arial" w:hAnsi="Arial"/>
          <w:b/>
          <w:bCs/>
          <w:color w:val="0D1F2D"/>
          <w:sz w:val="28"/>
          <w:szCs w:val="28"/>
        </w:rPr>
        <w:t xml:space="preserve">3.1 System Overview: Detect, Recover, Report</w:t>
      </w:r>
    </w:p>
    <w:p>
      <w:pPr>
        <w:spacing w:after="160" w:before="0"/>
      </w:pPr>
      <w:r>
        <w:rPr>
          <w:rFonts w:ascii="Arial" w:cs="Arial" w:eastAsia="Arial" w:hAnsi="Arial"/>
          <w:color w:val="1A1A1A"/>
          <w:sz w:val="24"/>
          <w:szCs w:val="24"/>
        </w:rPr>
        <w:t xml:space="preserve">GridIQ West Africa is a cloud-hosted, IoT-enabled AI platform operating across three interconnected functions that together constitute the region's first integrated grid intelligence stack. The three functions are not sequential stages — they operate in parallel and reinforce each other continuously.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DETECT</w:t>
            </w:r>
          </w:p>
        </w:tc>
        <w:tc>
          <w:tcPr>
            <w:tcW w:type="dxa" w:w="78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IoT sensors at distribution transformers and primary feeder measurement points generate continuous power flow data. An AI engine compares injected power against metered customer consumption to isolate loss zones in real time, with geographic attribution at transformer and feeder level.</w:t>
            </w:r>
          </w:p>
        </w:tc>
      </w:tr>
      <w:tr>
        <w:tc>
          <w:tcPr>
            <w:tcW w:type="dxa" w:w="15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RECOVER</w:t>
            </w:r>
          </w:p>
        </w:tc>
        <w:tc>
          <w:tcPr>
            <w:tcW w:type="dxa" w:w="78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Utility operators receive georeferenced alerts identifying specific transformers, feeders, or customer account clusters with anomalous loss signatures. A ranked investigation queue guides field teams to the highest-priority sites. A community regularisation programme offers informal users a legal pathway before enforcement action.</w:t>
            </w:r>
          </w:p>
        </w:tc>
      </w:tr>
      <w:tr>
        <w:tc>
          <w:tcPr>
            <w:tcW w:type="dxa" w:w="15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REPORT</w:t>
            </w:r>
          </w:p>
        </w:tc>
        <w:tc>
          <w:tcPr>
            <w:tcW w:type="dxa" w:w="78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Verified, structured grid performance data is automatically exported to the ECOWAS EIS via a standardised REST API on a monthly basis, replacing manual reporting with a live, utility-co-validated data pipeline. DFI-format impact reports are auto-generated for grant accountability.</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3.2 Component 1: Smart Meter Analytics Engine</w:t>
      </w:r>
    </w:p>
    <w:p>
      <w:pPr>
        <w:spacing w:after="160" w:before="0"/>
      </w:pPr>
      <w:r>
        <w:rPr>
          <w:rFonts w:ascii="Arial" w:cs="Arial" w:eastAsia="Arial" w:hAnsi="Arial"/>
          <w:color w:val="1A1A1A"/>
          <w:sz w:val="24"/>
          <w:szCs w:val="24"/>
        </w:rPr>
        <w:t xml:space="preserve">Technology: Supervised ML + Time-Series Anomaly Detection</w:t>
      </w:r>
    </w:p>
    <w:p>
      <w:pPr>
        <w:spacing w:after="160" w:before="0"/>
      </w:pPr>
      <w:r>
        <w:rPr>
          <w:rFonts w:ascii="Arial" w:cs="Arial" w:eastAsia="Arial" w:hAnsi="Arial"/>
          <w:color w:val="1A1A1A"/>
          <w:sz w:val="24"/>
          <w:szCs w:val="24"/>
        </w:rPr>
        <w:t xml:space="preserve">The Smart Meter Analytics Engine is GridIQ's most technically distinctive component. It performs AI and machine learning analysis on the utility's Conlog and Hexing prepaid token transaction histories — the event-by-event record of when meters receive tokens, in what amounts, and with what consumption patterns between purchases. The engine compares each account's consumption profile against expected patterns derived from its historical data, its meter group, its geographic cluster, and its tariff category, flagging billing anomalies, meter bypassing signatures, and theft indicators.</w:t>
      </w:r>
    </w:p>
    <w:p>
      <w:pPr>
        <w:spacing w:after="160" w:before="0"/>
      </w:pPr>
      <w:r>
        <w:rPr>
          <w:rFonts w:ascii="Arial" w:cs="Arial" w:eastAsia="Arial" w:hAnsi="Arial"/>
          <w:color w:val="1A1A1A"/>
          <w:sz w:val="24"/>
          <w:szCs w:val="24"/>
        </w:rPr>
        <w:t xml:space="preserve">Critically, the engine is calibrated specifically for token-purchase event streams rather than monthly billing cycles. This is not a design preference — it is a technical requirement. The dominant ECOWAS metering paradigm does not produce monthly reads. It produces irregular token-purchase events that require a fundamentally different analytical approach. GridIQ is the first NTL detection engine adapted to this paradigm at commercial scale in the ECOWAS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0D9E75" w:val="clear"/>
          </w:tcPr>
          <w:p>
            <w:pPr>
              <w:spacing w:after="160" w:before="0"/>
            </w:pPr>
            <w:r>
              <w:rPr>
                <w:rFonts w:ascii="Arial" w:cs="Arial" w:eastAsia="Arial" w:hAnsi="Arial"/>
                <w:color w:val="1A1A1A"/>
                <w:sz w:val="24"/>
                <w:szCs w:val="24"/>
              </w:rPr>
              <w:t xml:space="preserve"/>
            </w:r>
          </w:p>
        </w:tc>
        <w:tc>
          <w:tcPr>
            <w:tcW w:type="dxa" w:w="9200"/>
            <w:tcBorders>
              <w:top w:val="nil" w:color="FFFFFF" w:sz="0"/>
              <w:left w:val="nil" w:color="FFFFFF" w:sz="0"/>
              <w:bottom w:val="nil" w:color="FFFFFF" w:sz="0"/>
              <w:right w:val="nil" w:color="FFFFFF" w:sz="0"/>
            </w:tcBorders>
            <w:shd w:fill="F2F4F3" w:val="clear"/>
            <w:tcMar>
              <w:top w:type="dxa" w:w="120"/>
              <w:left w:type="dxa" w:w="180"/>
              <w:bottom w:type="dxa" w:w="120"/>
              <w:right w:type="dxa" w:w="120"/>
            </w:tcMar>
          </w:tcPr>
          <w:p>
            <w:pPr>
              <w:spacing w:after="0" w:before="0"/>
            </w:pPr>
            <w:r>
              <w:rPr>
                <w:rFonts w:ascii="Arial" w:cs="Arial" w:eastAsia="Arial" w:hAnsi="Arial"/>
                <w:color w:val="0D1F2D"/>
                <w:sz w:val="23"/>
                <w:szCs w:val="23"/>
              </w:rPr>
              <w:t xml:space="preserve">The AI models are trained on the specific token-purchase event structures of Conlog and Hexing prepaid systems. This training data constitutes a proprietary asset that cannot be acquired by competitors without full utility partnership and multi-year data collection.</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3.3 Component 2: IoT Grid Node Monitoring</w:t>
      </w:r>
    </w:p>
    <w:p>
      <w:pPr>
        <w:spacing w:after="160" w:before="0"/>
      </w:pPr>
      <w:r>
        <w:rPr>
          <w:rFonts w:ascii="Arial" w:cs="Arial" w:eastAsia="Arial" w:hAnsi="Arial"/>
          <w:color w:val="1A1A1A"/>
          <w:sz w:val="24"/>
          <w:szCs w:val="24"/>
        </w:rPr>
        <w:t xml:space="preserve">Technology: IoT Edge Devices; 4G/LoRaWAN Connectivity; IP65 Enclosures; 48-Hour Battery Backup</w:t>
      </w:r>
    </w:p>
    <w:p>
      <w:pPr>
        <w:spacing w:after="160" w:before="0"/>
      </w:pPr>
      <w:r>
        <w:rPr>
          <w:rFonts w:ascii="Arial" w:cs="Arial" w:eastAsia="Arial" w:hAnsi="Arial"/>
          <w:color w:val="1A1A1A"/>
          <w:sz w:val="24"/>
          <w:szCs w:val="24"/>
        </w:rPr>
        <w:t xml:space="preserve">The hardware layer consists of ruggedised smart sensors deployed at distribution transformers and primary feeder measurement points in the pilot zone. Each sensor captures voltage, current, active power, reactive power, and power factor at 15-minute intervals. The sensors are designed specifically for West African substation environments: IP65-rated enclosures for humid and dusty conditions, primary 4G cellular connectivity with LoRaWAN gateway fallback for substations with poor cellular coverage, and 48-hour battery backup to maintain data collection during power outages.</w:t>
      </w:r>
    </w:p>
    <w:p>
      <w:pPr>
        <w:spacing w:after="160" w:before="0"/>
      </w:pPr>
      <w:r>
        <w:rPr>
          <w:rFonts w:ascii="Arial" w:cs="Arial" w:eastAsia="Arial" w:hAnsi="Arial"/>
          <w:color w:val="1A1A1A"/>
          <w:sz w:val="24"/>
          <w:szCs w:val="24"/>
        </w:rPr>
        <w:t xml:space="preserve">The initial pilot deployment comprises 10 sensors covering a defined pilot zone. Data is transmitted to the cloud platform continuously, with local edge buffering ensuring no data loss during connectivity interruptions. The sensor network provides the ground truth against which the Smart Meter Analytics Engine's anomaly detections are validated — creating a cross-verification layer that significantly reduces false positive rates.</w:t>
      </w:r>
    </w:p>
    <w:p>
      <w:pPr>
        <w:pStyle w:val="Heading2"/>
        <w:spacing w:after="160" w:before="360"/>
      </w:pPr>
      <w:r>
        <w:rPr>
          <w:rFonts w:ascii="Arial" w:cs="Arial" w:eastAsia="Arial" w:hAnsi="Arial"/>
          <w:b/>
          <w:bCs/>
          <w:color w:val="0D1F2D"/>
          <w:sz w:val="28"/>
          <w:szCs w:val="28"/>
        </w:rPr>
        <w:t xml:space="preserve">3.4 Component 3: Real-Time GIS Loss Dashboard</w:t>
      </w:r>
    </w:p>
    <w:p>
      <w:pPr>
        <w:spacing w:after="160" w:before="0"/>
      </w:pPr>
      <w:r>
        <w:rPr>
          <w:rFonts w:ascii="Arial" w:cs="Arial" w:eastAsia="Arial" w:hAnsi="Arial"/>
          <w:color w:val="1A1A1A"/>
          <w:sz w:val="24"/>
          <w:szCs w:val="24"/>
        </w:rPr>
        <w:t xml:space="preserve">Technology: Responsive Web Application; English/French Interface; 2G/3G-Optimised</w:t>
      </w:r>
    </w:p>
    <w:p>
      <w:pPr>
        <w:spacing w:after="160" w:before="0"/>
      </w:pPr>
      <w:r>
        <w:rPr>
          <w:rFonts w:ascii="Arial" w:cs="Arial" w:eastAsia="Arial" w:hAnsi="Arial"/>
          <w:color w:val="1A1A1A"/>
          <w:sz w:val="24"/>
          <w:szCs w:val="24"/>
        </w:rPr>
        <w:t xml:space="preserve">The GIS Loss Dashboard is the primary user interface for utility operations staff. It is built as a progressive web application optimised for the bandwidth conditions of ECOWAS utility offices — functional at 2G speeds, with graceful degradation for intermittent connectivity. The interface is fully bilingual in English and French, reflecting the linguistic geography of the target market.</w:t>
      </w:r>
    </w:p>
    <w:p>
      <w:pPr>
        <w:spacing w:after="160" w:before="0"/>
      </w:pPr>
      <w:r>
        <w:rPr>
          <w:rFonts w:ascii="Arial" w:cs="Arial" w:eastAsia="Arial" w:hAnsi="Arial"/>
          <w:color w:val="1A1A1A"/>
          <w:sz w:val="24"/>
          <w:szCs w:val="24"/>
        </w:rPr>
        <w:t xml:space="preserve">The dashboard delivers six integrated operational modules:</w:t>
      </w:r>
    </w:p>
    <w:p>
      <w:pPr>
        <w:pStyle w:val="ListParagraph"/>
        <w:numPr>
          <w:ilvl w:val="0"/>
          <w:numId w:val="2"/>
        </w:numPr>
        <w:spacing w:after="80" w:before="40"/>
      </w:pPr>
      <w:r>
        <w:rPr>
          <w:rFonts w:ascii="Arial" w:cs="Arial" w:eastAsia="Arial" w:hAnsi="Arial"/>
          <w:b/>
          <w:bCs/>
          <w:color w:val="1A1A1A"/>
          <w:sz w:val="24"/>
          <w:szCs w:val="24"/>
        </w:rPr>
        <w:t xml:space="preserve">Live Loss Map: </w:t>
      </w:r>
      <w:r>
        <w:rPr>
          <w:rFonts w:ascii="Arial" w:cs="Arial" w:eastAsia="Arial" w:hAnsi="Arial"/>
          <w:color w:val="1A1A1A"/>
          <w:sz w:val="24"/>
          <w:szCs w:val="24"/>
        </w:rPr>
        <w:t xml:space="preserve">Feeders and transformer zones colour-coded by NTL severity, updated every 15 minutes from IoT sensor data. Provides an immediate visual overview of the loss landscape across the entire pilot zone.</w:t>
      </w:r>
    </w:p>
    <w:p>
      <w:pPr>
        <w:pStyle w:val="ListParagraph"/>
        <w:numPr>
          <w:ilvl w:val="0"/>
          <w:numId w:val="2"/>
        </w:numPr>
        <w:spacing w:after="80" w:before="40"/>
      </w:pPr>
      <w:r>
        <w:rPr>
          <w:rFonts w:ascii="Arial" w:cs="Arial" w:eastAsia="Arial" w:hAnsi="Arial"/>
          <w:b/>
          <w:bCs/>
          <w:color w:val="1A1A1A"/>
          <w:sz w:val="24"/>
          <w:szCs w:val="24"/>
        </w:rPr>
        <w:t xml:space="preserve">Zone Drill-Down: </w:t>
      </w:r>
      <w:r>
        <w:rPr>
          <w:rFonts w:ascii="Arial" w:cs="Arial" w:eastAsia="Arial" w:hAnsi="Arial"/>
          <w:color w:val="1A1A1A"/>
          <w:sz w:val="24"/>
          <w:szCs w:val="24"/>
        </w:rPr>
        <w:t xml:space="preserve">Injected energy versus billed energy per zone, with trend charts showing loss trajectory over time. Enables root-cause analysis at feeder and transformer level.</w:t>
      </w:r>
    </w:p>
    <w:p>
      <w:pPr>
        <w:pStyle w:val="ListParagraph"/>
        <w:numPr>
          <w:ilvl w:val="0"/>
          <w:numId w:val="2"/>
        </w:numPr>
        <w:spacing w:after="80" w:before="40"/>
      </w:pPr>
      <w:r>
        <w:rPr>
          <w:rFonts w:ascii="Arial" w:cs="Arial" w:eastAsia="Arial" w:hAnsi="Arial"/>
          <w:b/>
          <w:bCs/>
          <w:color w:val="1A1A1A"/>
          <w:sz w:val="24"/>
          <w:szCs w:val="24"/>
        </w:rPr>
        <w:t xml:space="preserve">Alert Feed: </w:t>
      </w:r>
      <w:r>
        <w:rPr>
          <w:rFonts w:ascii="Arial" w:cs="Arial" w:eastAsia="Arial" w:hAnsi="Arial"/>
          <w:color w:val="1A1A1A"/>
          <w:sz w:val="24"/>
          <w:szCs w:val="24"/>
        </w:rPr>
        <w:t xml:space="preserve">Real-time display of theft signatures and tamper events as they are detected, with timestamp, geographic location, meter ID, and anomaly classification.</w:t>
      </w:r>
    </w:p>
    <w:p>
      <w:pPr>
        <w:pStyle w:val="ListParagraph"/>
        <w:numPr>
          <w:ilvl w:val="0"/>
          <w:numId w:val="2"/>
        </w:numPr>
        <w:spacing w:after="80" w:before="40"/>
      </w:pPr>
      <w:r>
        <w:rPr>
          <w:rFonts w:ascii="Arial" w:cs="Arial" w:eastAsia="Arial" w:hAnsi="Arial"/>
          <w:b/>
          <w:bCs/>
          <w:color w:val="1A1A1A"/>
          <w:sz w:val="24"/>
          <w:szCs w:val="24"/>
        </w:rPr>
        <w:t xml:space="preserve">Investigation Queue: </w:t>
      </w:r>
      <w:r>
        <w:rPr>
          <w:rFonts w:ascii="Arial" w:cs="Arial" w:eastAsia="Arial" w:hAnsi="Arial"/>
          <w:color w:val="1A1A1A"/>
          <w:sz w:val="24"/>
          <w:szCs w:val="24"/>
        </w:rPr>
        <w:t xml:space="preserve">Ranked list of customer accounts with anomalous consumption profiles, complete with GPS coordinates for field dispatch. Ranked by estimated revenue impact and confidence score.</w:t>
      </w:r>
    </w:p>
    <w:p>
      <w:pPr>
        <w:pStyle w:val="ListParagraph"/>
        <w:numPr>
          <w:ilvl w:val="0"/>
          <w:numId w:val="2"/>
        </w:numPr>
        <w:spacing w:after="80" w:before="40"/>
      </w:pPr>
      <w:r>
        <w:rPr>
          <w:rFonts w:ascii="Arial" w:cs="Arial" w:eastAsia="Arial" w:hAnsi="Arial"/>
          <w:b/>
          <w:bCs/>
          <w:color w:val="1A1A1A"/>
          <w:sz w:val="24"/>
          <w:szCs w:val="24"/>
        </w:rPr>
        <w:t xml:space="preserve">Monthly Performance Report: </w:t>
      </w:r>
      <w:r>
        <w:rPr>
          <w:rFonts w:ascii="Arial" w:cs="Arial" w:eastAsia="Arial" w:hAnsi="Arial"/>
          <w:color w:val="1A1A1A"/>
          <w:sz w:val="24"/>
          <w:szCs w:val="24"/>
        </w:rPr>
        <w:t xml:space="preserve">Auto-generated PDF report for utility management, covering NTL trends, revenue recovery trajectory, maintenance priorities, and EIS data summary.</w:t>
      </w:r>
    </w:p>
    <w:p>
      <w:pPr>
        <w:pStyle w:val="ListParagraph"/>
        <w:numPr>
          <w:ilvl w:val="0"/>
          <w:numId w:val="2"/>
        </w:numPr>
        <w:spacing w:after="80" w:before="40"/>
      </w:pPr>
      <w:r>
        <w:rPr>
          <w:rFonts w:ascii="Arial" w:cs="Arial" w:eastAsia="Arial" w:hAnsi="Arial"/>
          <w:b/>
          <w:bCs/>
          <w:color w:val="1A1A1A"/>
          <w:sz w:val="24"/>
          <w:szCs w:val="24"/>
        </w:rPr>
        <w:t xml:space="preserve">EIS One-Click Export: </w:t>
      </w:r>
      <w:r>
        <w:rPr>
          <w:rFonts w:ascii="Arial" w:cs="Arial" w:eastAsia="Arial" w:hAnsi="Arial"/>
          <w:color w:val="1A1A1A"/>
          <w:sz w:val="24"/>
          <w:szCs w:val="24"/>
        </w:rPr>
        <w:t xml:space="preserve">Structured data submission to the ECOWAS EIS in standardised JSON schema. Utility management co-validates data before each submission, ensuring accountability for the data that reaches ECOWAS regulators.</w:t>
      </w:r>
    </w:p>
    <w:p>
      <w:pPr>
        <w:pStyle w:val="Heading2"/>
        <w:spacing w:after="160" w:before="360"/>
      </w:pPr>
      <w:r>
        <w:rPr>
          <w:rFonts w:ascii="Arial" w:cs="Arial" w:eastAsia="Arial" w:hAnsi="Arial"/>
          <w:b/>
          <w:bCs/>
          <w:color w:val="0D1F2D"/>
          <w:sz w:val="28"/>
          <w:szCs w:val="28"/>
        </w:rPr>
        <w:t xml:space="preserve">3.5 Component 4: Automated ECOWAS EIS Reporting Pipeline</w:t>
      </w:r>
    </w:p>
    <w:p>
      <w:pPr>
        <w:spacing w:after="160" w:before="0"/>
      </w:pPr>
      <w:r>
        <w:rPr>
          <w:rFonts w:ascii="Arial" w:cs="Arial" w:eastAsia="Arial" w:hAnsi="Arial"/>
          <w:color w:val="1A1A1A"/>
          <w:sz w:val="24"/>
          <w:szCs w:val="24"/>
        </w:rPr>
        <w:t xml:space="preserve">Technology: REST API; Standardised JSON Schema; Utility Co-Validation</w:t>
      </w:r>
    </w:p>
    <w:p>
      <w:pPr>
        <w:spacing w:after="160" w:before="0"/>
      </w:pPr>
      <w:r>
        <w:rPr>
          <w:rFonts w:ascii="Arial" w:cs="Arial" w:eastAsia="Arial" w:hAnsi="Arial"/>
          <w:color w:val="1A1A1A"/>
          <w:sz w:val="24"/>
          <w:szCs w:val="24"/>
        </w:rPr>
        <w:t xml:space="preserve">The EIS Reporting Pipeline is GridIQ's contribution to the ECOWAS energy information architecture. A structured monthly data feed from each utility's GridIQ instance to the ECOWAS EIS replaces the current manual, lagged, and frequently absent reporting process with a live, verified, continuously updated data stream.</w:t>
      </w:r>
    </w:p>
    <w:p>
      <w:pPr>
        <w:spacing w:after="160" w:before="0"/>
      </w:pPr>
      <w:r>
        <w:rPr>
          <w:rFonts w:ascii="Arial" w:cs="Arial" w:eastAsia="Arial" w:hAnsi="Arial"/>
          <w:color w:val="1A1A1A"/>
          <w:sz w:val="24"/>
          <w:szCs w:val="24"/>
        </w:rPr>
        <w:t xml:space="preserve">Data fields exported include: injected energy by feeder; technical versus non-technical loss decomposition; revenue billed and revenue collected; outage indicators (SAIDI and SAIFI); customer connections by tariff category; smart meter penetration rates; and NTL reduction trajectory. The utility co-validates all data before each submission, maintaining institutional accountability for the information that reaches ECOWAS regulators and is made available to DFIs.</w:t>
      </w:r>
    </w:p>
    <w:p>
      <w:pPr>
        <w:pStyle w:val="Heading2"/>
        <w:spacing w:after="160" w:before="360"/>
      </w:pPr>
      <w:r>
        <w:rPr>
          <w:rFonts w:ascii="Arial" w:cs="Arial" w:eastAsia="Arial" w:hAnsi="Arial"/>
          <w:b/>
          <w:bCs/>
          <w:color w:val="0D1F2D"/>
          <w:sz w:val="28"/>
          <w:szCs w:val="28"/>
        </w:rPr>
        <w:t xml:space="preserve">3.6 Component 5: Predictive Maintenance Alert System</w:t>
      </w:r>
    </w:p>
    <w:p>
      <w:pPr>
        <w:spacing w:after="160" w:before="0"/>
      </w:pPr>
      <w:r>
        <w:rPr>
          <w:rFonts w:ascii="Arial" w:cs="Arial" w:eastAsia="Arial" w:hAnsi="Arial"/>
          <w:color w:val="1A1A1A"/>
          <w:sz w:val="24"/>
          <w:szCs w:val="24"/>
        </w:rPr>
        <w:t xml:space="preserve">Technology: ML Anomaly Detection on Continuous Sensor Data</w:t>
      </w:r>
    </w:p>
    <w:p>
      <w:pPr>
        <w:spacing w:after="160" w:before="0"/>
      </w:pPr>
      <w:r>
        <w:rPr>
          <w:rFonts w:ascii="Arial" w:cs="Arial" w:eastAsia="Arial" w:hAnsi="Arial"/>
          <w:color w:val="1A1A1A"/>
          <w:sz w:val="24"/>
          <w:szCs w:val="24"/>
        </w:rPr>
        <w:t xml:space="preserve">The Predictive Maintenance Alert System analyses continuous sensor data from the IoT network to identify distribution transformers and feeder segments showing early signs of degradation. Four primary degradation indicators are monitored: persistent power factor below 0.85; voltage deviation outside plus or minus 5% of nominal; load factor consistently above 80%; and asymmetric phase loading exceeding 15%.</w:t>
      </w:r>
    </w:p>
    <w:p>
      <w:pPr>
        <w:spacing w:after="160" w:before="0"/>
      </w:pPr>
      <w:r>
        <w:rPr>
          <w:rFonts w:ascii="Arial" w:cs="Arial" w:eastAsia="Arial" w:hAnsi="Arial"/>
          <w:color w:val="1A1A1A"/>
          <w:sz w:val="24"/>
          <w:szCs w:val="24"/>
        </w:rPr>
        <w:t xml:space="preserve">Monthly maintenance priority rankings are generated for the utility's engineering team, enabling pre-failure intervention before unplanned outages occur. The system is estimated to reduce unplanned outage incidents by 15–25% in the pilot zone by the end of Year 2, representing a significant improvement in grid reliability that complements the commercial NTL reduction mission.</w:t>
      </w:r>
    </w:p>
    <w:p>
      <w:pPr>
        <w:pStyle w:val="Heading2"/>
        <w:spacing w:after="160" w:before="360"/>
      </w:pPr>
      <w:r>
        <w:rPr>
          <w:rFonts w:ascii="Arial" w:cs="Arial" w:eastAsia="Arial" w:hAnsi="Arial"/>
          <w:b/>
          <w:bCs/>
          <w:color w:val="0D1F2D"/>
          <w:sz w:val="28"/>
          <w:szCs w:val="28"/>
        </w:rPr>
        <w:t xml:space="preserve">3.7 Component 6: Impact ROI Tracker</w:t>
      </w:r>
    </w:p>
    <w:p>
      <w:pPr>
        <w:spacing w:after="160" w:before="0"/>
      </w:pPr>
      <w:r>
        <w:rPr>
          <w:rFonts w:ascii="Arial" w:cs="Arial" w:eastAsia="Arial" w:hAnsi="Arial"/>
          <w:color w:val="1A1A1A"/>
          <w:sz w:val="24"/>
          <w:szCs w:val="24"/>
        </w:rPr>
        <w:t xml:space="preserve">Technology: Metrics Dashboard; AfDB/EU/IFC/AFD Reporting Formats</w:t>
      </w:r>
    </w:p>
    <w:p>
      <w:pPr>
        <w:spacing w:after="160" w:before="0"/>
      </w:pPr>
      <w:r>
        <w:rPr>
          <w:rFonts w:ascii="Arial" w:cs="Arial" w:eastAsia="Arial" w:hAnsi="Arial"/>
          <w:color w:val="1A1A1A"/>
          <w:sz w:val="24"/>
          <w:szCs w:val="24"/>
        </w:rPr>
        <w:t xml:space="preserve">The Impact ROI Tracker provides transparent, auditable accounting of revenue recovered attributable to GridIQ interventions. The methodology is straightforward and verifiable: (Baseline NTL kWh − Current NTL kWh) × utility tariff (local currency per kWh) = revenue recovered this month. A cumulative tracker updates monthly and is exportable to PDF and Excel in the specific reporting formats required by the African Development Bank, the International Finance Corporation, the Agence Française de Développement, and the European Union — making grant accountability automatic rather than retrospective.</w:t>
      </w:r>
    </w:p>
    <w:p>
      <w:pPr>
        <w:spacing w:after="160" w:before="0"/>
      </w:pPr>
      <w:r>
        <w:rPr>
          <w:rFonts w:ascii="Arial" w:cs="Arial" w:eastAsia="Arial" w:hAnsi="Arial"/>
          <w:color w:val="1A1A1A"/>
          <w:sz w:val="24"/>
          <w:szCs w:val="24"/>
        </w:rPr>
        <w:t xml:space="preserve">This feature is not incidental to the platform. It is the mechanism by which GridIQ becomes embedded in DFI programme structures, transforming each grant deployment into a recurring revenue contract and a documented case study for the next deployment.</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04</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THE AI OPPORTUNITY ENGINE — CORE DIFFERENTIATOR</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4. The AI Opportunity Engine — Core Differentiator</w:t>
      </w:r>
    </w:p>
    <w:p>
      <w:pPr>
        <w:pStyle w:val="Heading2"/>
        <w:spacing w:after="160" w:before="360"/>
      </w:pPr>
      <w:r>
        <w:rPr>
          <w:rFonts w:ascii="Arial" w:cs="Arial" w:eastAsia="Arial" w:hAnsi="Arial"/>
          <w:b/>
          <w:bCs/>
          <w:color w:val="0D1F2D"/>
          <w:sz w:val="28"/>
          <w:szCs w:val="28"/>
        </w:rPr>
        <w:t xml:space="preserve">4.1 Why AI Is Not Optional</w:t>
      </w:r>
    </w:p>
    <w:p>
      <w:pPr>
        <w:spacing w:after="160" w:before="0"/>
      </w:pPr>
      <w:r>
        <w:rPr>
          <w:rFonts w:ascii="Arial" w:cs="Arial" w:eastAsia="Arial" w:hAnsi="Arial"/>
          <w:color w:val="1A1A1A"/>
          <w:sz w:val="24"/>
          <w:szCs w:val="24"/>
        </w:rPr>
        <w:t xml:space="preserve">Non-technical loss detection at scale is an inherently data-intensive problem. The signal for any individual theft event is often small — a slightly anomalous consumption pattern, a token-purchase frequency that deviates from the cluster norm, a power factor reading that suggests load-side manipulation. No human analyst reviewing individual meter records or feeder readings can reliably distinguish these patterns from legitimate consumption variation. Only machine learning, operating across the full customer dataset simultaneously and continuously, can identify the statistical signatures of NTL at the spatial and temporal granularity required for actionable intervention.</w:t>
      </w:r>
    </w:p>
    <w:p>
      <w:pPr>
        <w:spacing w:after="160" w:before="0"/>
      </w:pPr>
      <w:r>
        <w:rPr>
          <w:rFonts w:ascii="Arial" w:cs="Arial" w:eastAsia="Arial" w:hAnsi="Arial"/>
          <w:color w:val="1A1A1A"/>
          <w:sz w:val="24"/>
          <w:szCs w:val="24"/>
        </w:rPr>
        <w:t xml:space="preserve">GridIQ's AI opportunity engine consists of four distinct intelligence functions that operate in concert, each addressing a different dimension of the NTL problem.</w:t>
      </w:r>
    </w:p>
    <w:p>
      <w:pPr>
        <w:pStyle w:val="Heading2"/>
        <w:spacing w:after="160" w:before="360"/>
      </w:pPr>
      <w:r>
        <w:rPr>
          <w:rFonts w:ascii="Arial" w:cs="Arial" w:eastAsia="Arial" w:hAnsi="Arial"/>
          <w:b/>
          <w:bCs/>
          <w:color w:val="0D1F2D"/>
          <w:sz w:val="28"/>
          <w:szCs w:val="28"/>
        </w:rPr>
        <w:t xml:space="preserve">4.2 The Four AI Intelligence Functions</w:t>
      </w:r>
    </w:p>
    <w:p>
      <w:pPr>
        <w:pStyle w:val="Heading3"/>
        <w:spacing w:after="120" w:before="240"/>
      </w:pPr>
      <w:r>
        <w:rPr>
          <w:rFonts w:ascii="Arial" w:cs="Arial" w:eastAsia="Arial" w:hAnsi="Arial"/>
          <w:b/>
          <w:bCs/>
          <w:color w:val="0D9E75"/>
          <w:sz w:val="24"/>
          <w:szCs w:val="24"/>
        </w:rPr>
        <w:t xml:space="preserve">4.2.1 Token-Stream NTL Detection</w:t>
      </w:r>
    </w:p>
    <w:p>
      <w:pPr>
        <w:spacing w:after="160" w:before="0"/>
      </w:pPr>
      <w:r>
        <w:rPr>
          <w:rFonts w:ascii="Arial" w:cs="Arial" w:eastAsia="Arial" w:hAnsi="Arial"/>
          <w:color w:val="1A1A1A"/>
          <w:sz w:val="24"/>
          <w:szCs w:val="24"/>
        </w:rPr>
        <w:t xml:space="preserve">The primary AI function analyses token-purchase event streams from Conlog and Hexing prepaid meters — purchase amounts, inter-purchase intervals, consumption rates implied by purchase frequency, and deviations from peer-group norms. Supervised ML models are trained on labelled examples of confirmed theft events (identified through field investigation) and legitimate consumption patterns, enabling the engine to assign anomaly scores to each active meter in real time.</w:t>
      </w:r>
    </w:p>
    <w:p>
      <w:pPr>
        <w:spacing w:after="160" w:before="0"/>
      </w:pPr>
      <w:r>
        <w:rPr>
          <w:rFonts w:ascii="Arial" w:cs="Arial" w:eastAsia="Arial" w:hAnsi="Arial"/>
          <w:color w:val="1A1A1A"/>
          <w:sz w:val="24"/>
          <w:szCs w:val="24"/>
        </w:rPr>
        <w:t xml:space="preserve">The engine is specifically designed for token-purchase event data rather than monthly billing cycles. This distinction matters enormously in practice: a customer who purchases tokens at irregular intervals but consistently at amounts that imply higher consumption than their peer group — or who purchases tokens at a rate inconsistent with the injected energy in their transformer zone — generates a detectable signature that monthly billing data cannot reveal.</w:t>
      </w:r>
    </w:p>
    <w:p>
      <w:pPr>
        <w:pStyle w:val="Heading3"/>
        <w:spacing w:after="120" w:before="240"/>
      </w:pPr>
      <w:r>
        <w:rPr>
          <w:rFonts w:ascii="Arial" w:cs="Arial" w:eastAsia="Arial" w:hAnsi="Arial"/>
          <w:b/>
          <w:bCs/>
          <w:color w:val="0D9E75"/>
          <w:sz w:val="24"/>
          <w:szCs w:val="24"/>
        </w:rPr>
        <w:t xml:space="preserve">4.2.2 Georeferenced Loss Attribution</w:t>
      </w:r>
    </w:p>
    <w:p>
      <w:pPr>
        <w:spacing w:after="160" w:before="0"/>
      </w:pPr>
      <w:r>
        <w:rPr>
          <w:rFonts w:ascii="Arial" w:cs="Arial" w:eastAsia="Arial" w:hAnsi="Arial"/>
          <w:color w:val="1A1A1A"/>
          <w:sz w:val="24"/>
          <w:szCs w:val="24"/>
        </w:rPr>
        <w:t xml:space="preserve">The second function compares injected power at each instrumented transformer and feeder segment against the aggregate metered consumption of all customers fed from that point. The difference — after accounting for estimated technical losses — represents the non-technical loss attributable to that specific geographic zone. This attribution enables the investigation queue to be ranked by geographic zone as well as by individual account, allowing field teams to identify whether a loss concentration results from a single high-volume theft or a cluster of smaller-scale bypass events.</w:t>
      </w:r>
    </w:p>
    <w:p>
      <w:pPr>
        <w:pStyle w:val="Heading3"/>
        <w:spacing w:after="120" w:before="240"/>
      </w:pPr>
      <w:r>
        <w:rPr>
          <w:rFonts w:ascii="Arial" w:cs="Arial" w:eastAsia="Arial" w:hAnsi="Arial"/>
          <w:b/>
          <w:bCs/>
          <w:color w:val="0D9E75"/>
          <w:sz w:val="24"/>
          <w:szCs w:val="24"/>
        </w:rPr>
        <w:t xml:space="preserve">4.2.3 Predictive Maintenance Intelligence</w:t>
      </w:r>
    </w:p>
    <w:p>
      <w:pPr>
        <w:spacing w:after="160" w:before="0"/>
      </w:pPr>
      <w:r>
        <w:rPr>
          <w:rFonts w:ascii="Arial" w:cs="Arial" w:eastAsia="Arial" w:hAnsi="Arial"/>
          <w:color w:val="1A1A1A"/>
          <w:sz w:val="24"/>
          <w:szCs w:val="24"/>
        </w:rPr>
        <w:t xml:space="preserve">Continuous sensor data is analysed using ML anomaly detection to identify transformer and feeder degradation patterns before they result in unplanned outages. The predictive maintenance model is trained on historical failure records and sensor signatures from similar equipment operating in comparable climatic conditions. Monthly maintenance priority rankings provide engineering teams with a data-driven basis for scheduling preventive interventions — a function that most ECOWAS utilities currently perform through ad hoc inspection or in response to customer complaints.</w:t>
      </w:r>
    </w:p>
    <w:p>
      <w:pPr>
        <w:pStyle w:val="Heading3"/>
        <w:spacing w:after="120" w:before="240"/>
      </w:pPr>
      <w:r>
        <w:rPr>
          <w:rFonts w:ascii="Arial" w:cs="Arial" w:eastAsia="Arial" w:hAnsi="Arial"/>
          <w:b/>
          <w:bCs/>
          <w:color w:val="0D9E75"/>
          <w:sz w:val="24"/>
          <w:szCs w:val="24"/>
        </w:rPr>
        <w:t xml:space="preserve">4.2.4 Revenue Recovery Quantification</w:t>
      </w:r>
    </w:p>
    <w:p>
      <w:pPr>
        <w:spacing w:after="160" w:before="0"/>
      </w:pPr>
      <w:r>
        <w:rPr>
          <w:rFonts w:ascii="Arial" w:cs="Arial" w:eastAsia="Arial" w:hAnsi="Arial"/>
          <w:color w:val="1A1A1A"/>
          <w:sz w:val="24"/>
          <w:szCs w:val="24"/>
        </w:rPr>
        <w:t xml:space="preserve">The fourth function calculates the revenue recovery attributable to GridIQ interventions in real time. This is not simply a reporting function — it is an AI function in the sense that it requires continuous model calibration to distinguish genuine NTL reduction from normal consumption variation, seasonal patterns, and external factors such as tariff changes or load-shedding events. The quantification engine maintains a rolling baseline and applies statistical controls to ensure that reported recovery figures are attributable to platform-enabled interventions rather than confounding variables.</w:t>
      </w:r>
    </w:p>
    <w:p>
      <w:pPr>
        <w:pStyle w:val="Heading2"/>
        <w:spacing w:after="160" w:before="360"/>
      </w:pPr>
      <w:r>
        <w:rPr>
          <w:rFonts w:ascii="Arial" w:cs="Arial" w:eastAsia="Arial" w:hAnsi="Arial"/>
          <w:b/>
          <w:bCs/>
          <w:color w:val="0D1F2D"/>
          <w:sz w:val="28"/>
          <w:szCs w:val="28"/>
        </w:rPr>
        <w:t xml:space="preserve">4.3 The Model Improvement Architecture</w:t>
      </w:r>
    </w:p>
    <w:p>
      <w:pPr>
        <w:spacing w:after="160" w:before="0"/>
      </w:pPr>
      <w:r>
        <w:rPr>
          <w:rFonts w:ascii="Arial" w:cs="Arial" w:eastAsia="Arial" w:hAnsi="Arial"/>
          <w:color w:val="1A1A1A"/>
          <w:sz w:val="24"/>
          <w:szCs w:val="24"/>
        </w:rPr>
        <w:t xml:space="preserve">A critical but frequently overlooked aspect of AI platform design for NTL detection is the model improvement architecture — the system by which confirmed field investigation outcomes feed back into model training. A static model, trained once at deployment and never updated, will degrade over time as theft methods adapt. GridIQ's operational model requires that every field investigation outcome — confirmed theft, confirmed false positive, or inconclusive — is recorded in the platform and fed into a monthly model retraining cycle.</w:t>
      </w:r>
    </w:p>
    <w:p>
      <w:pPr>
        <w:spacing w:after="160" w:before="0"/>
      </w:pPr>
      <w:r>
        <w:rPr>
          <w:rFonts w:ascii="Arial" w:cs="Arial" w:eastAsia="Arial" w:hAnsi="Arial"/>
          <w:color w:val="1A1A1A"/>
          <w:sz w:val="24"/>
          <w:szCs w:val="24"/>
        </w:rPr>
        <w:t xml:space="preserve">This feedback loop creates a compounding improvement in model performance over time. A GridIQ deployment that has been operating for two years will have significantly higher precision than at initial deployment, because it will have been trained on two years of confirmed field outcomes from the specific utility's customer population, meter mix, and loss patterns. This time-in-market advantage is not replicable by new entrants without equivalent operational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0D9E75" w:val="clear"/>
          </w:tcPr>
          <w:p>
            <w:pPr>
              <w:spacing w:after="160" w:before="0"/>
            </w:pPr>
            <w:r>
              <w:rPr>
                <w:rFonts w:ascii="Arial" w:cs="Arial" w:eastAsia="Arial" w:hAnsi="Arial"/>
                <w:color w:val="1A1A1A"/>
                <w:sz w:val="24"/>
                <w:szCs w:val="24"/>
              </w:rPr>
              <w:t xml:space="preserve"/>
            </w:r>
          </w:p>
        </w:tc>
        <w:tc>
          <w:tcPr>
            <w:tcW w:type="dxa" w:w="9200"/>
            <w:tcBorders>
              <w:top w:val="nil" w:color="FFFFFF" w:sz="0"/>
              <w:left w:val="nil" w:color="FFFFFF" w:sz="0"/>
              <w:bottom w:val="nil" w:color="FFFFFF" w:sz="0"/>
              <w:right w:val="nil" w:color="FFFFFF" w:sz="0"/>
            </w:tcBorders>
            <w:shd w:fill="F2F4F3" w:val="clear"/>
            <w:tcMar>
              <w:top w:type="dxa" w:w="120"/>
              <w:left w:type="dxa" w:w="180"/>
              <w:bottom w:type="dxa" w:w="120"/>
              <w:right w:type="dxa" w:w="120"/>
            </w:tcMar>
          </w:tcPr>
          <w:p>
            <w:pPr>
              <w:spacing w:after="0" w:before="0"/>
            </w:pPr>
            <w:r>
              <w:rPr>
                <w:rFonts w:ascii="Arial" w:cs="Arial" w:eastAsia="Arial" w:hAnsi="Arial"/>
                <w:color w:val="0D1F2D"/>
                <w:sz w:val="23"/>
                <w:szCs w:val="23"/>
              </w:rPr>
              <w:t xml:space="preserve">The model improvement architecture means that GridIQ's competitive advantage deepens over time. The data assets accumulated through a two-year utility partnership are not portable to competitors — they are embedded in models that are specific to that utility's customer and network characteristics.</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4.4 Internal Fraud Detection Layer</w:t>
      </w:r>
    </w:p>
    <w:p>
      <w:pPr>
        <w:spacing w:after="160" w:before="0"/>
      </w:pPr>
      <w:r>
        <w:rPr>
          <w:rFonts w:ascii="Arial" w:cs="Arial" w:eastAsia="Arial" w:hAnsi="Arial"/>
          <w:color w:val="1A1A1A"/>
          <w:sz w:val="24"/>
          <w:szCs w:val="24"/>
        </w:rPr>
        <w:t xml:space="preserve">A distinctive feature of GridIQ's AI architecture is the internal fraud detection layer — a function that monitors for anomalies in how utility staff interact with the platform itself, not just anomalies in customer consumption data. If a field supervisor consistently marks high-confidence theft alerts as unverified without investigation, if a billing administrator's accounts show systematic underreading relative to peer groups, or if token transaction data shows patterns consistent with fraudulent credit generation by a vending agent, the internal fraud detection layer surfaces these patterns as internal alerts.</w:t>
      </w:r>
    </w:p>
    <w:p>
      <w:pPr>
        <w:spacing w:after="160" w:before="0"/>
      </w:pPr>
      <w:r>
        <w:rPr>
          <w:rFonts w:ascii="Arial" w:cs="Arial" w:eastAsia="Arial" w:hAnsi="Arial"/>
          <w:color w:val="1A1A1A"/>
          <w:sz w:val="24"/>
          <w:szCs w:val="24"/>
        </w:rPr>
        <w:t xml:space="preserve">These internal alerts are routed through a separate access control tier — visible only to the utility's Managing Director, the independent auditor, and GridIQ's compliance team — ensuring that they cannot be suppressed by the staff members under investigation. The immutable audit log records all alert access events, providing a forensic trail that can be used in disciplinary or legal proceedings.</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05</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REVENUE MODEL — ALL MONETISATION STREAMS</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5. Revenue Model — All Monetisation Streams</w:t>
      </w:r>
    </w:p>
    <w:p>
      <w:pPr>
        <w:pStyle w:val="Heading2"/>
        <w:spacing w:after="160" w:before="360"/>
      </w:pPr>
      <w:r>
        <w:rPr>
          <w:rFonts w:ascii="Arial" w:cs="Arial" w:eastAsia="Arial" w:hAnsi="Arial"/>
          <w:b/>
          <w:bCs/>
          <w:color w:val="0D1F2D"/>
          <w:sz w:val="28"/>
          <w:szCs w:val="28"/>
        </w:rPr>
        <w:t xml:space="preserve">5.1 Revenue Architecture Overview</w:t>
      </w:r>
    </w:p>
    <w:p>
      <w:pPr>
        <w:spacing w:after="160" w:before="0"/>
      </w:pPr>
      <w:r>
        <w:rPr>
          <w:rFonts w:ascii="Arial" w:cs="Arial" w:eastAsia="Arial" w:hAnsi="Arial"/>
          <w:color w:val="1A1A1A"/>
          <w:sz w:val="24"/>
          <w:szCs w:val="24"/>
        </w:rPr>
        <w:t xml:space="preserve">GridIQ's revenue model is deliberately multi-layered, combining predictable recurring SaaS revenue with performance-linked recovery fees, grant-cycle programme income, and a long-term data product that becomes more valuable as regional coverage expands. This architecture creates resilience against the procurement and funding cycles of public utility clients while aligning the platform's financial incentives directly with the outcomes it claims to deliver.</w:t>
      </w:r>
    </w:p>
    <w:p>
      <w:pPr>
        <w:spacing w:after="160" w:before="0"/>
      </w:pPr>
      <w:r>
        <w:rPr>
          <w:rFonts w:ascii="Arial" w:cs="Arial" w:eastAsia="Arial" w:hAnsi="Arial"/>
          <w:color w:val="1A1A1A"/>
          <w:sz w:val="24"/>
          <w:szCs w:val="24"/>
        </w:rPr>
        <w:t xml:space="preserve">The model is designed to pass a critical investor test: it does not depend on utility clients believing the platform works. The performance fee structure means that if the platform fails to deliver verified NTL reduction, GridIQ does not earn its performance fee. This alignment of incentives is itself a sales argument to utility management and DFI programme officers who have seen previous technology deployments fail to deliver promised results.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Stream</w:t>
            </w:r>
          </w:p>
        </w:tc>
        <w:tc>
          <w:tcPr>
            <w:tcW w:type="dxa" w:w="18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Model</w:t>
            </w:r>
          </w:p>
        </w:tc>
        <w:tc>
          <w:tcPr>
            <w:tcW w:type="dxa" w:w="18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Indicative Range</w:t>
            </w:r>
          </w:p>
        </w:tc>
        <w:tc>
          <w:tcPr>
            <w:tcW w:type="dxa" w:w="356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Strategic Role</w:t>
            </w:r>
          </w:p>
        </w:tc>
      </w:tr>
      <w:tr>
        <w:tc>
          <w:tcPr>
            <w:tcW w:type="dxa" w:w="22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85041"/>
                <w:sz w:val="21"/>
                <w:szCs w:val="21"/>
              </w:rPr>
              <w:t xml:space="preserve">Utility SaaS Licence</w:t>
            </w:r>
          </w:p>
        </w:tc>
        <w:tc>
          <w:tcPr>
            <w:tcW w:type="dxa" w:w="18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64748B"/>
                <w:sz w:val="21"/>
                <w:szCs w:val="21"/>
              </w:rPr>
              <w:t xml:space="preserve">Annual per utility</w:t>
            </w:r>
          </w:p>
        </w:tc>
        <w:tc>
          <w:tcPr>
            <w:tcW w:type="dxa" w:w="18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jc w:val="center"/>
            </w:pPr>
            <w:r>
              <w:rPr>
                <w:rFonts w:ascii="Arial" w:cs="Arial" w:eastAsia="Arial" w:hAnsi="Arial"/>
                <w:b/>
                <w:bCs/>
                <w:color w:val="EF9F27"/>
                <w:sz w:val="21"/>
                <w:szCs w:val="21"/>
              </w:rPr>
              <w:t xml:space="preserve">$80K–$150K/yr</w:t>
            </w:r>
          </w:p>
        </w:tc>
        <w:tc>
          <w:tcPr>
            <w:tcW w:type="dxa" w:w="35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Core recurring revenue base. Scales with feeder count and geographic coverage.</w:t>
            </w:r>
          </w:p>
        </w:tc>
      </w:tr>
      <w:tr>
        <w:tc>
          <w:tcPr>
            <w:tcW w:type="dxa" w:w="22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85041"/>
                <w:sz w:val="21"/>
                <w:szCs w:val="21"/>
              </w:rPr>
              <w:t xml:space="preserve">IoT Hardware &amp; Deployment</w:t>
            </w:r>
          </w:p>
        </w:tc>
        <w:tc>
          <w:tcPr>
            <w:tcW w:type="dxa" w:w="18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64748B"/>
                <w:sz w:val="21"/>
                <w:szCs w:val="21"/>
              </w:rPr>
              <w:t xml:space="preserve">Capex or lease</w:t>
            </w:r>
          </w:p>
        </w:tc>
        <w:tc>
          <w:tcPr>
            <w:tcW w:type="dxa" w:w="18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EF9F27"/>
                <w:sz w:val="21"/>
                <w:szCs w:val="21"/>
              </w:rPr>
              <w:t xml:space="preserve">$120K–$200K/deploy</w:t>
            </w:r>
          </w:p>
        </w:tc>
        <w:tc>
          <w:tcPr>
            <w:tcW w:type="dxa" w:w="35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Capex-lite lease option for constrained utilities. Hardware lock-in creates account stickiness.</w:t>
            </w:r>
          </w:p>
        </w:tc>
      </w:tr>
      <w:tr>
        <w:tc>
          <w:tcPr>
            <w:tcW w:type="dxa" w:w="22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85041"/>
                <w:sz w:val="21"/>
                <w:szCs w:val="21"/>
              </w:rPr>
              <w:t xml:space="preserve">Revenue Recovery Performance Fee</w:t>
            </w:r>
          </w:p>
        </w:tc>
        <w:tc>
          <w:tcPr>
            <w:tcW w:type="dxa" w:w="18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64748B"/>
                <w:sz w:val="21"/>
                <w:szCs w:val="21"/>
              </w:rPr>
              <w:t xml:space="preserve">% of verified NTL recovery</w:t>
            </w:r>
          </w:p>
        </w:tc>
        <w:tc>
          <w:tcPr>
            <w:tcW w:type="dxa" w:w="18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jc w:val="center"/>
            </w:pPr>
            <w:r>
              <w:rPr>
                <w:rFonts w:ascii="Arial" w:cs="Arial" w:eastAsia="Arial" w:hAnsi="Arial"/>
                <w:b/>
                <w:bCs/>
                <w:color w:val="EF9F27"/>
                <w:sz w:val="21"/>
                <w:szCs w:val="21"/>
              </w:rPr>
              <w:t xml:space="preserve">8–12% of recovered revenue</w:t>
            </w:r>
          </w:p>
        </w:tc>
        <w:tc>
          <w:tcPr>
            <w:tcW w:type="dxa" w:w="35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Aligns GridIQ incentives with utility outcomes. Scales automatically with platform performance.</w:t>
            </w:r>
          </w:p>
        </w:tc>
      </w:tr>
      <w:tr>
        <w:tc>
          <w:tcPr>
            <w:tcW w:type="dxa" w:w="22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85041"/>
                <w:sz w:val="21"/>
                <w:szCs w:val="21"/>
              </w:rPr>
              <w:t xml:space="preserve">Grant &amp; DFI Programme Fees</w:t>
            </w:r>
          </w:p>
        </w:tc>
        <w:tc>
          <w:tcPr>
            <w:tcW w:type="dxa" w:w="18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64748B"/>
                <w:sz w:val="21"/>
                <w:szCs w:val="21"/>
              </w:rPr>
              <w:t xml:space="preserve">Per programme TA fees</w:t>
            </w:r>
          </w:p>
        </w:tc>
        <w:tc>
          <w:tcPr>
            <w:tcW w:type="dxa" w:w="18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EF9F27"/>
                <w:sz w:val="21"/>
                <w:szCs w:val="21"/>
              </w:rPr>
              <w:t xml:space="preserve">$200K–$500K/prog.</w:t>
            </w:r>
          </w:p>
        </w:tc>
        <w:tc>
          <w:tcPr>
            <w:tcW w:type="dxa" w:w="35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ROI Tracker makes GridIQ the natural grant-accounting tool for AfDB, IFC, AFD, and EU programmes.</w:t>
            </w:r>
          </w:p>
        </w:tc>
      </w:tr>
      <w:tr>
        <w:tc>
          <w:tcPr>
            <w:tcW w:type="dxa" w:w="22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85041"/>
                <w:sz w:val="21"/>
                <w:szCs w:val="21"/>
              </w:rPr>
              <w:t xml:space="preserve">ECOWAS EIS Data Licence</w:t>
            </w:r>
          </w:p>
        </w:tc>
        <w:tc>
          <w:tcPr>
            <w:tcW w:type="dxa" w:w="18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64748B"/>
                <w:sz w:val="21"/>
                <w:szCs w:val="21"/>
              </w:rPr>
              <w:t xml:space="preserve">Annual subscription</w:t>
            </w:r>
          </w:p>
        </w:tc>
        <w:tc>
          <w:tcPr>
            <w:tcW w:type="dxa" w:w="18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jc w:val="center"/>
            </w:pPr>
            <w:r>
              <w:rPr>
                <w:rFonts w:ascii="Arial" w:cs="Arial" w:eastAsia="Arial" w:hAnsi="Arial"/>
                <w:b/>
                <w:bCs/>
                <w:color w:val="EF9F27"/>
                <w:sz w:val="21"/>
                <w:szCs w:val="21"/>
              </w:rPr>
              <w:t xml:space="preserve">$50K–$100K/yr</w:t>
            </w:r>
          </w:p>
        </w:tc>
        <w:tc>
          <w:tcPr>
            <w:tcW w:type="dxa" w:w="35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Positions GridIQ as regional data infrastructure. Sold to ECOWAS Secretariat, DFIs, and investors.</w:t>
            </w:r>
          </w:p>
        </w:tc>
      </w:tr>
      <w:tr>
        <w:tc>
          <w:tcPr>
            <w:tcW w:type="dxa" w:w="22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85041"/>
                <w:sz w:val="21"/>
                <w:szCs w:val="21"/>
              </w:rPr>
              <w:t xml:space="preserve">Managed Services</w:t>
            </w:r>
          </w:p>
        </w:tc>
        <w:tc>
          <w:tcPr>
            <w:tcW w:type="dxa" w:w="18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64748B"/>
                <w:sz w:val="21"/>
                <w:szCs w:val="21"/>
              </w:rPr>
              <w:t xml:space="preserve">Annual contract</w:t>
            </w:r>
          </w:p>
        </w:tc>
        <w:tc>
          <w:tcPr>
            <w:tcW w:type="dxa" w:w="18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EF9F27"/>
                <w:sz w:val="21"/>
                <w:szCs w:val="21"/>
              </w:rPr>
              <w:t xml:space="preserve">$30K–$60K/yr</w:t>
            </w:r>
          </w:p>
        </w:tc>
        <w:tc>
          <w:tcPr>
            <w:tcW w:type="dxa" w:w="35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Sensor calibration, firmware, field support, and board reporting for low-capacity utilities.</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5.2 Financial Projections — Five-Year Model</w:t>
      </w:r>
    </w:p>
    <w:p>
      <w:pPr>
        <w:spacing w:after="160" w:before="0"/>
      </w:pPr>
      <w:r>
        <w:rPr>
          <w:rFonts w:ascii="Arial" w:cs="Arial" w:eastAsia="Arial" w:hAnsi="Arial"/>
          <w:color w:val="1A1A1A"/>
          <w:sz w:val="24"/>
          <w:szCs w:val="24"/>
        </w:rPr>
        <w:t xml:space="preserve">The following projections are based on a phased deployment trajectory: one pilot utility in Year 1 (EDSA, Sierra Leone); expansion to three utilities in Years 2–3 (adding ECG and NEDCO, Ghana); and a target of eight utilities by Year 5 across the ECOWAS corridor. SaaS pricing is modelled at $100,000 average per utility per year, with hardware at $150,000 per initial deployment. The recovery performance fee is modelled at 10% of verified NTL reduction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Year 1 Revenue</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$630,000 — One pilot utility ($80K SaaS), hardware deployment ($200K), grant TA fees ($350K)</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Year 2 Revenue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$1.22M — Ghana expansion adds two utilities. EIS data product launch. Recovery fees begin as SL pilot matures.</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Year 3 Revenue</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$2.35M — Three utilities at full operation. Recovery fees scale. ECOWAS data licence adds $75K.</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Year 4 Revenue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$4.25M — Five utilities. Performance fees significant. Managed services contracts at scale.</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Year 5 Revenue</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$7.15M — Eight-plus utilities. Continental licensing discussions initiated. EIS data product at full value.</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Break-even (Month)</w:t>
            </w:r>
          </w:p>
        </w:tc>
        <w:tc>
          <w:tcPr>
            <w:tcW w:type="dxa" w:w="6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Month 18 — Under base-case assumptions with SL pilot performing to specification.</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Gross Margin (Year 3)</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68% — Predominantly software, AI, and fees; hardware costs front-loaded in Years 1–2.</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5.3 Unit Economics</w:t>
      </w:r>
    </w:p>
    <w:p>
      <w:pPr>
        <w:spacing w:after="160" w:before="0"/>
      </w:pPr>
      <w:r>
        <w:rPr>
          <w:rFonts w:ascii="Arial" w:cs="Arial" w:eastAsia="Arial" w:hAnsi="Arial"/>
          <w:color w:val="1A1A1A"/>
          <w:sz w:val="24"/>
          <w:szCs w:val="24"/>
        </w:rPr>
        <w:t xml:space="preserve">The unit economics of the GridIQ model are favourable at scale because the marginal cost of adding a new utility client is primarily the hardware deployment cost, while the SaaS platform, AI models, and EIS reporting infrastructure are shared across all clients. The per-utility cost structure at Year 3 maturity is estimated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Platform hosting &amp; infra (per utility)</w:t>
            </w:r>
          </w:p>
        </w:tc>
        <w:tc>
          <w:tcPr>
            <w:tcW w:type="dxa" w:w="61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$12,000–$18,000 per year</w:t>
            </w:r>
          </w:p>
        </w:tc>
      </w:tr>
      <w:tr>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AI model compute &amp; retraining</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$8,000–$12,000 per year</w:t>
            </w:r>
          </w:p>
        </w:tc>
      </w:tr>
      <w:tr>
        <w:tc>
          <w:tcPr>
            <w:tcW w:type="dxa" w:w="32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Field support &amp; managed services</w:t>
            </w:r>
          </w:p>
        </w:tc>
        <w:tc>
          <w:tcPr>
            <w:tcW w:type="dxa" w:w="61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$15,000–$25,000 per year (if contracted)</w:t>
            </w:r>
          </w:p>
        </w:tc>
      </w:tr>
      <w:tr>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Hardware amortisation (10 sensors, 5yr)</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$24,000–$40,000 per year</w:t>
            </w:r>
          </w:p>
        </w:tc>
      </w:tr>
      <w:tr>
        <w:tc>
          <w:tcPr>
            <w:tcW w:type="dxa" w:w="32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Total per-utility annual cost</w:t>
            </w:r>
          </w:p>
        </w:tc>
        <w:tc>
          <w:tcPr>
            <w:tcW w:type="dxa" w:w="61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$59,000–$95,000 per year</w:t>
            </w:r>
          </w:p>
        </w:tc>
      </w:tr>
      <w:tr>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Revenue per utility (SaaS + recovery)</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$130,000–$220,000 per year at maturity</w:t>
            </w:r>
          </w:p>
        </w:tc>
      </w:tr>
      <w:tr>
        <w:tc>
          <w:tcPr>
            <w:tcW w:type="dxa" w:w="32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Per-utility contribution margin</w:t>
            </w:r>
          </w:p>
        </w:tc>
        <w:tc>
          <w:tcPr>
            <w:tcW w:type="dxa" w:w="61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55–65% at full platform maturity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06</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PLATFORM &amp; PRODUCT FEATURES</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6. Platform &amp; Product Features</w:t>
      </w:r>
    </w:p>
    <w:p>
      <w:pPr>
        <w:pStyle w:val="Heading2"/>
        <w:spacing w:after="160" w:before="360"/>
      </w:pPr>
      <w:r>
        <w:rPr>
          <w:rFonts w:ascii="Arial" w:cs="Arial" w:eastAsia="Arial" w:hAnsi="Arial"/>
          <w:b/>
          <w:bCs/>
          <w:color w:val="0D1F2D"/>
          <w:sz w:val="28"/>
          <w:szCs w:val="28"/>
        </w:rPr>
        <w:t xml:space="preserve">6.1 Design Principles</w:t>
      </w:r>
    </w:p>
    <w:p>
      <w:pPr>
        <w:spacing w:after="160" w:before="0"/>
      </w:pPr>
      <w:r>
        <w:rPr>
          <w:rFonts w:ascii="Arial" w:cs="Arial" w:eastAsia="Arial" w:hAnsi="Arial"/>
          <w:color w:val="1A1A1A"/>
          <w:sz w:val="24"/>
          <w:szCs w:val="24"/>
        </w:rPr>
        <w:t xml:space="preserve">Every design decision in the GridIQ platform reflects three operating constraints that distinguish the ECOWAS utility market from the markets for which most grid intelligence platforms are built. First, connectivity is unreliable: the platform must be usable at 2G speeds, must degrade gracefully under intermittent connectivity, and must never lose data during outages. Second, technical capacity within utilities is limited: the interface must be operable by staff who are not data analysts, must provide clear action guidance rather than raw data visualisation, and must not require ongoing technical support for routine operations. Third, the operating environment is politically sensitive: every feature that surfaces information about individuals or communities must be designed with the social and political consequences of that information in mind.</w:t>
      </w:r>
    </w:p>
    <w:p>
      <w:pPr>
        <w:pStyle w:val="Heading2"/>
        <w:spacing w:after="160" w:before="360"/>
      </w:pPr>
      <w:r>
        <w:rPr>
          <w:rFonts w:ascii="Arial" w:cs="Arial" w:eastAsia="Arial" w:hAnsi="Arial"/>
          <w:b/>
          <w:bCs/>
          <w:color w:val="0D1F2D"/>
          <w:sz w:val="28"/>
          <w:szCs w:val="28"/>
        </w:rPr>
        <w:t xml:space="preserve">6.2 Dashboard Modules — Detailed Specification</w:t>
      </w:r>
    </w:p>
    <w:p>
      <w:pPr>
        <w:pStyle w:val="Heading3"/>
        <w:spacing w:after="120" w:before="240"/>
      </w:pPr>
      <w:r>
        <w:rPr>
          <w:rFonts w:ascii="Arial" w:cs="Arial" w:eastAsia="Arial" w:hAnsi="Arial"/>
          <w:b/>
          <w:bCs/>
          <w:color w:val="0D9E75"/>
          <w:sz w:val="24"/>
          <w:szCs w:val="24"/>
        </w:rPr>
        <w:t xml:space="preserve">F-01: Live Loss Map</w:t>
      </w:r>
    </w:p>
    <w:p>
      <w:pPr>
        <w:spacing w:after="160" w:before="0"/>
      </w:pPr>
      <w:r>
        <w:rPr>
          <w:rFonts w:ascii="Arial" w:cs="Arial" w:eastAsia="Arial" w:hAnsi="Arial"/>
          <w:color w:val="1A1A1A"/>
          <w:sz w:val="24"/>
          <w:szCs w:val="24"/>
        </w:rPr>
        <w:t xml:space="preserve">A geographic map of the pilot zone displaying all instrumented feeders and transformer zones, colour-coded by current NTL severity (green: below 8%; amber: 8–15%; red: above 15%). Updated every 15 minutes from IoT sensor data. Clickable zones open the Zone Drill-Down view. Designed for use on standard desktop monitors in utility control rooms as well as on tablet devices for mobile supervision.</w:t>
      </w:r>
    </w:p>
    <w:p>
      <w:pPr>
        <w:pStyle w:val="Heading3"/>
        <w:spacing w:after="120" w:before="240"/>
      </w:pPr>
      <w:r>
        <w:rPr>
          <w:rFonts w:ascii="Arial" w:cs="Arial" w:eastAsia="Arial" w:hAnsi="Arial"/>
          <w:b/>
          <w:bCs/>
          <w:color w:val="0D9E75"/>
          <w:sz w:val="24"/>
          <w:szCs w:val="24"/>
        </w:rPr>
        <w:t xml:space="preserve">F-02: Zone Drill-Down</w:t>
      </w:r>
    </w:p>
    <w:p>
      <w:pPr>
        <w:spacing w:after="160" w:before="0"/>
      </w:pPr>
      <w:r>
        <w:rPr>
          <w:rFonts w:ascii="Arial" w:cs="Arial" w:eastAsia="Arial" w:hAnsi="Arial"/>
          <w:color w:val="1A1A1A"/>
          <w:sz w:val="24"/>
          <w:szCs w:val="24"/>
        </w:rPr>
        <w:t xml:space="preserve">Detailed view for any selected zone showing: injected energy (kWh) versus billed energy for the current billing period and the previous 12 months; loss percentage trend chart; top-10 anomalous accounts ranked by estimated revenue impact; maintenance alerts for any instrumented transformers in the zone; and a one-click link to the Investigation Queue pre-filtered for the zone.</w:t>
      </w:r>
    </w:p>
    <w:p>
      <w:pPr>
        <w:pStyle w:val="Heading3"/>
        <w:spacing w:after="120" w:before="240"/>
      </w:pPr>
      <w:r>
        <w:rPr>
          <w:rFonts w:ascii="Arial" w:cs="Arial" w:eastAsia="Arial" w:hAnsi="Arial"/>
          <w:b/>
          <w:bCs/>
          <w:color w:val="0D9E75"/>
          <w:sz w:val="24"/>
          <w:szCs w:val="24"/>
        </w:rPr>
        <w:t xml:space="preserve">F-03: Real-Time Alert Feed</w:t>
      </w:r>
    </w:p>
    <w:p>
      <w:pPr>
        <w:spacing w:after="160" w:before="0"/>
      </w:pPr>
      <w:r>
        <w:rPr>
          <w:rFonts w:ascii="Arial" w:cs="Arial" w:eastAsia="Arial" w:hAnsi="Arial"/>
          <w:color w:val="1A1A1A"/>
          <w:sz w:val="24"/>
          <w:szCs w:val="24"/>
        </w:rPr>
        <w:t xml:space="preserve">A chronological stream of theft signatures and tamper events as they are detected by the AI engine. Each alert includes: timestamp; meter ID and account reference; geographic coordinates; anomaly type (e.g. meter bypass, token fraud, illegal reconnection signature); confidence score; estimated monthly revenue impact; and recommended field action. Alerts are colour-coded by confidence and revenue impact to enable rapid triage.</w:t>
      </w:r>
    </w:p>
    <w:p>
      <w:pPr>
        <w:pStyle w:val="Heading3"/>
        <w:spacing w:after="120" w:before="240"/>
      </w:pPr>
      <w:r>
        <w:rPr>
          <w:rFonts w:ascii="Arial" w:cs="Arial" w:eastAsia="Arial" w:hAnsi="Arial"/>
          <w:b/>
          <w:bCs/>
          <w:color w:val="0D9E75"/>
          <w:sz w:val="24"/>
          <w:szCs w:val="24"/>
        </w:rPr>
        <w:t xml:space="preserve">F-04: Investigation Queue</w:t>
      </w:r>
    </w:p>
    <w:p>
      <w:pPr>
        <w:spacing w:after="160" w:before="0"/>
      </w:pPr>
      <w:r>
        <w:rPr>
          <w:rFonts w:ascii="Arial" w:cs="Arial" w:eastAsia="Arial" w:hAnsi="Arial"/>
          <w:color w:val="1A1A1A"/>
          <w:sz w:val="24"/>
          <w:szCs w:val="24"/>
        </w:rPr>
        <w:t xml:space="preserve">A ranked, actionable list of customer accounts flagged for field investigation, sortable by confidence score, estimated revenue impact, geographic cluster, or time since last investigation. Each entry includes GPS coordinates formatted for navigation app integration, account history, previous investigation records, and a data entry form for recording field outcomes — which feed directly into the model retraining pipeline.</w:t>
      </w:r>
    </w:p>
    <w:p>
      <w:pPr>
        <w:pStyle w:val="Heading3"/>
        <w:spacing w:after="120" w:before="240"/>
      </w:pPr>
      <w:r>
        <w:rPr>
          <w:rFonts w:ascii="Arial" w:cs="Arial" w:eastAsia="Arial" w:hAnsi="Arial"/>
          <w:b/>
          <w:bCs/>
          <w:color w:val="0D9E75"/>
          <w:sz w:val="24"/>
          <w:szCs w:val="24"/>
        </w:rPr>
        <w:t xml:space="preserve">F-05: Monthly Performance Report</w:t>
      </w:r>
    </w:p>
    <w:p>
      <w:pPr>
        <w:spacing w:after="160" w:before="0"/>
      </w:pPr>
      <w:r>
        <w:rPr>
          <w:rFonts w:ascii="Arial" w:cs="Arial" w:eastAsia="Arial" w:hAnsi="Arial"/>
          <w:color w:val="1A1A1A"/>
          <w:sz w:val="24"/>
          <w:szCs w:val="24"/>
        </w:rPr>
        <w:t xml:space="preserve">An auto-generated PDF report, produced on the first working day of each month, summarising the previous month's NTL performance, revenue recovery progress, maintenance priority list, and EIS data summary. Formatted for presentation to utility board and senior management. Includes year-to-date cumulative recovery figures and comparative performance against baseline.</w:t>
      </w:r>
    </w:p>
    <w:p>
      <w:pPr>
        <w:pStyle w:val="Heading3"/>
        <w:spacing w:after="120" w:before="240"/>
      </w:pPr>
      <w:r>
        <w:rPr>
          <w:rFonts w:ascii="Arial" w:cs="Arial" w:eastAsia="Arial" w:hAnsi="Arial"/>
          <w:b/>
          <w:bCs/>
          <w:color w:val="0D9E75"/>
          <w:sz w:val="24"/>
          <w:szCs w:val="24"/>
        </w:rPr>
        <w:t xml:space="preserve">F-06: EIS One-Click Export</w:t>
      </w:r>
    </w:p>
    <w:p>
      <w:pPr>
        <w:spacing w:after="160" w:before="0"/>
      </w:pPr>
      <w:r>
        <w:rPr>
          <w:rFonts w:ascii="Arial" w:cs="Arial" w:eastAsia="Arial" w:hAnsi="Arial"/>
          <w:color w:val="1A1A1A"/>
          <w:sz w:val="24"/>
          <w:szCs w:val="24"/>
        </w:rPr>
        <w:t xml:space="preserve">Structured data submission module enabling the utility to review, co-validate, and submit the monthly data package to the ECOWAS EIS in a single workflow. The submission is logged with a timestamp and the name of the validating official, creating an accountability record. Failed submissions are flagged with error diagnostics for resolution.</w:t>
      </w:r>
    </w:p>
    <w:p>
      <w:pPr>
        <w:pStyle w:val="Heading3"/>
        <w:spacing w:after="120" w:before="240"/>
      </w:pPr>
      <w:r>
        <w:rPr>
          <w:rFonts w:ascii="Arial" w:cs="Arial" w:eastAsia="Arial" w:hAnsi="Arial"/>
          <w:b/>
          <w:bCs/>
          <w:color w:val="0D9E75"/>
          <w:sz w:val="24"/>
          <w:szCs w:val="24"/>
        </w:rPr>
        <w:t xml:space="preserve">F-07: Predictive Maintenance Dashboard</w:t>
      </w:r>
    </w:p>
    <w:p>
      <w:pPr>
        <w:spacing w:after="160" w:before="0"/>
      </w:pPr>
      <w:r>
        <w:rPr>
          <w:rFonts w:ascii="Arial" w:cs="Arial" w:eastAsia="Arial" w:hAnsi="Arial"/>
          <w:color w:val="1A1A1A"/>
          <w:sz w:val="24"/>
          <w:szCs w:val="24"/>
        </w:rPr>
        <w:t xml:space="preserve">Monthly maintenance priority ranking for all instrumented transformers, showing current health scores across the four monitored parameters (power factor, voltage deviation, load factor, phase balance). Trend charts show deterioration trajectories. Integration with the utility's maintenance scheduling system allows direct work order creation from the dashboard.</w:t>
      </w:r>
    </w:p>
    <w:p>
      <w:pPr>
        <w:pStyle w:val="Heading3"/>
        <w:spacing w:after="120" w:before="240"/>
      </w:pPr>
      <w:r>
        <w:rPr>
          <w:rFonts w:ascii="Arial" w:cs="Arial" w:eastAsia="Arial" w:hAnsi="Arial"/>
          <w:b/>
          <w:bCs/>
          <w:color w:val="0D9E75"/>
          <w:sz w:val="24"/>
          <w:szCs w:val="24"/>
        </w:rPr>
        <w:t xml:space="preserve">F-08: Impact ROI Tracker</w:t>
      </w:r>
    </w:p>
    <w:p>
      <w:pPr>
        <w:spacing w:after="160" w:before="0"/>
      </w:pPr>
      <w:r>
        <w:rPr>
          <w:rFonts w:ascii="Arial" w:cs="Arial" w:eastAsia="Arial" w:hAnsi="Arial"/>
          <w:color w:val="1A1A1A"/>
          <w:sz w:val="24"/>
          <w:szCs w:val="24"/>
        </w:rPr>
        <w:t xml:space="preserve">Live cumulative revenue recovery tracker showing month-by-month recovery figures, baseline versus current NTL percentage, and projected annual recovery at current trajectory. Exportable to PDF in AfDB, IFC, AFD, and EU reporting formats. Includes a methodology disclosure section for grant auditors, documenting the calculation approach and its verification basis.</w:t>
      </w:r>
    </w:p>
    <w:p>
      <w:pPr>
        <w:pStyle w:val="Heading3"/>
        <w:spacing w:after="120" w:before="240"/>
      </w:pPr>
      <w:r>
        <w:rPr>
          <w:rFonts w:ascii="Arial" w:cs="Arial" w:eastAsia="Arial" w:hAnsi="Arial"/>
          <w:b/>
          <w:bCs/>
          <w:color w:val="0D9E75"/>
          <w:sz w:val="24"/>
          <w:szCs w:val="24"/>
        </w:rPr>
        <w:t xml:space="preserve">F-09: Internal Audit Interface</w:t>
      </w:r>
    </w:p>
    <w:p>
      <w:pPr>
        <w:spacing w:after="160" w:before="0"/>
      </w:pPr>
      <w:r>
        <w:rPr>
          <w:rFonts w:ascii="Arial" w:cs="Arial" w:eastAsia="Arial" w:hAnsi="Arial"/>
          <w:color w:val="1A1A1A"/>
          <w:sz w:val="24"/>
          <w:szCs w:val="24"/>
        </w:rPr>
        <w:t xml:space="preserve">Access-controlled interface visible only to the utility MD/CEO and designated independent auditor. Displays internal fraud detection alerts, audit log extracts, and staff interaction anomalies. Accessible only through two-factor authentication. All access events are logged and cannot be modified or deleted by any platform user.</w:t>
      </w:r>
    </w:p>
    <w:p>
      <w:pPr>
        <w:pStyle w:val="Heading3"/>
        <w:spacing w:after="120" w:before="240"/>
      </w:pPr>
      <w:r>
        <w:rPr>
          <w:rFonts w:ascii="Arial" w:cs="Arial" w:eastAsia="Arial" w:hAnsi="Arial"/>
          <w:b/>
          <w:bCs/>
          <w:color w:val="0D9E75"/>
          <w:sz w:val="24"/>
          <w:szCs w:val="24"/>
        </w:rPr>
        <w:t xml:space="preserve">F-10: Regularisation Programme Portal</w:t>
      </w:r>
    </w:p>
    <w:p>
      <w:pPr>
        <w:spacing w:after="160" w:before="0"/>
      </w:pPr>
      <w:r>
        <w:rPr>
          <w:rFonts w:ascii="Arial" w:cs="Arial" w:eastAsia="Arial" w:hAnsi="Arial"/>
          <w:color w:val="1A1A1A"/>
          <w:sz w:val="24"/>
          <w:szCs w:val="24"/>
        </w:rPr>
        <w:t xml:space="preserve">A workflow interface for managing the community regularisation programme — the process by which customers with anomalous consumption profiles are offered a legal connection pathway before enforcement action. Tracks the status of regularisation offers (sent, accepted, declined, completed), records payment plans, and links regularisation completions to the model retraining pipeline as confirmed resolution events.</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07</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COMPETITIVE LANDSCAPE &amp; MOAT</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7. Competitive Landscape &amp; Moat</w:t>
      </w:r>
    </w:p>
    <w:p>
      <w:pPr>
        <w:pStyle w:val="Heading2"/>
        <w:spacing w:after="160" w:before="360"/>
      </w:pPr>
      <w:r>
        <w:rPr>
          <w:rFonts w:ascii="Arial" w:cs="Arial" w:eastAsia="Arial" w:hAnsi="Arial"/>
          <w:b/>
          <w:bCs/>
          <w:color w:val="0D1F2D"/>
          <w:sz w:val="28"/>
          <w:szCs w:val="28"/>
        </w:rPr>
        <w:t xml:space="preserve">7.1 The Competitive Landscape</w:t>
      </w:r>
    </w:p>
    <w:p>
      <w:pPr>
        <w:spacing w:after="160" w:before="0"/>
      </w:pPr>
      <w:r>
        <w:rPr>
          <w:rFonts w:ascii="Arial" w:cs="Arial" w:eastAsia="Arial" w:hAnsi="Arial"/>
          <w:color w:val="1A1A1A"/>
          <w:sz w:val="24"/>
          <w:szCs w:val="24"/>
        </w:rPr>
        <w:t xml:space="preserve">The NTL detection market globally is served by a small number of software platforms — primarily Landis+Gyr, Itron, Elster, and Oracle Utilities — that are designed for fully metered, Advanced Metering Infrastructure (AMI) environments in North America and Europe. These platforms require dense smart meter networks, high-bandwidth data backbands, and utility IT infrastructure that simply does not exist in any ECOWAS distribution utility. They are not competitors in the practical sense — they cannot be deployed in this market without a prerequisite grid modernisation investment that runs to hundreds of millions of dollars.</w:t>
      </w:r>
    </w:p>
    <w:p>
      <w:pPr>
        <w:spacing w:after="160" w:before="0"/>
      </w:pPr>
      <w:r>
        <w:rPr>
          <w:rFonts w:ascii="Arial" w:cs="Arial" w:eastAsia="Arial" w:hAnsi="Arial"/>
          <w:color w:val="1A1A1A"/>
          <w:sz w:val="24"/>
          <w:szCs w:val="24"/>
        </w:rPr>
        <w:t xml:space="preserve">The more realistic near-term competitive threats are three: regional technology integrators who might attempt to adapt global platforms for local conditions; telecom companies with existing agent networks and mobile money integrations; and Chinese energy companies bundling analytics with infrastructure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9E75" w:sz="6"/>
              <w:left w:val="single" w:color="0D9E75" w:sz="6"/>
              <w:bottom w:val="single" w:color="0D9E75" w:sz="6"/>
              <w:right w:val="single" w:color="0D9E75" w:sz="6"/>
            </w:tcBorders>
            <w:shd w:fill="085041" w:val="clear"/>
            <w:tcMar>
              <w:top w:type="dxa" w:w="100"/>
              <w:left w:type="dxa" w:w="120"/>
              <w:bottom w:type="dxa" w:w="100"/>
              <w:right w:type="dxa" w:w="120"/>
            </w:tcMar>
          </w:tcPr>
          <w:p>
            <w:pPr>
              <w:spacing w:after="0" w:before="0"/>
              <w:jc w:val="center"/>
            </w:pPr>
            <w:r>
              <w:rPr>
                <w:rFonts w:ascii="Arial" w:cs="Arial" w:eastAsia="Arial" w:hAnsi="Arial"/>
                <w:b/>
                <w:bCs/>
                <w:color w:val="FFFFFF"/>
                <w:sz w:val="22"/>
                <w:szCs w:val="22"/>
              </w:rPr>
              <w:t xml:space="preserve">Competitor Type</w:t>
            </w:r>
          </w:p>
        </w:tc>
        <w:tc>
          <w:tcPr>
            <w:tcW w:type="dxa" w:w="6560"/>
            <w:tcBorders>
              <w:top w:val="single" w:color="0D9E75" w:sz="6"/>
              <w:left w:val="single" w:color="0D9E75" w:sz="6"/>
              <w:bottom w:val="single" w:color="0D9E75" w:sz="6"/>
              <w:right w:val="single" w:color="0D9E75" w:sz="6"/>
            </w:tcBorders>
            <w:shd w:fill="085041" w:val="clear"/>
            <w:tcMar>
              <w:top w:type="dxa" w:w="100"/>
              <w:left w:type="dxa" w:w="120"/>
              <w:bottom w:type="dxa" w:w="100"/>
              <w:right w:type="dxa" w:w="120"/>
            </w:tcMar>
          </w:tcPr>
          <w:p>
            <w:pPr>
              <w:spacing w:after="0" w:before="0"/>
              <w:jc w:val="center"/>
            </w:pPr>
            <w:r>
              <w:rPr>
                <w:rFonts w:ascii="Arial" w:cs="Arial" w:eastAsia="Arial" w:hAnsi="Arial"/>
                <w:b/>
                <w:bCs/>
                <w:color w:val="FFFFFF"/>
                <w:sz w:val="22"/>
                <w:szCs w:val="22"/>
              </w:rPr>
              <w:t xml:space="preserve">Assessment</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Global Smart Grid Platforms
(Landis+Gyr, Itron, Oracle)</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Require full AMI infrastructure that no ECOWAS utility possesses. Minimum viable deployment cost exceeds available utility capital by an order of magnitude. No bilingual EN/FR interface. No ECOWAS EIS integration. No token-stream analytics capability.</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Regional Technology Integrators</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May attempt to adapt global platforms. Lack proprietary token-stream AI training data. Cannot replicate enforcement MOU framework or community regularisation model. No existing EIS API relationship.</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Telecom Companies
(MTN, Orange, Airtel Africa)</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Have agent networks and mobile money infrastructure. Do not have utility grid data access, sensor networks, or NTL detection IP. Would require 3–5 year development cycle and utility data partnership to build comparable capability.</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Chinese Energy Companies
(TBEA, CGGC, Sinohydro)</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Bundle analytics with infrastructure contracts. Hardware-first approach lacks the software AI layer. No prepaid token-stream experience. ECOWAS EIS integration not in their operating model. Community regularisation is outside their programme scope.</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7.2 GridIQ's Structural Moat — Five Dimensions</w:t>
      </w:r>
    </w:p>
    <w:p>
      <w:pPr>
        <w:pStyle w:val="Heading3"/>
        <w:spacing w:after="120" w:before="240"/>
      </w:pPr>
      <w:r>
        <w:rPr>
          <w:rFonts w:ascii="Arial" w:cs="Arial" w:eastAsia="Arial" w:hAnsi="Arial"/>
          <w:b/>
          <w:bCs/>
          <w:color w:val="0D9E75"/>
          <w:sz w:val="24"/>
          <w:szCs w:val="24"/>
        </w:rPr>
        <w:t xml:space="preserve">7.2.1 Proprietary Token-Stream AI (Data Moat)</w:t>
      </w:r>
    </w:p>
    <w:p>
      <w:pPr>
        <w:spacing w:after="160" w:before="0"/>
      </w:pPr>
      <w:r>
        <w:rPr>
          <w:rFonts w:ascii="Arial" w:cs="Arial" w:eastAsia="Arial" w:hAnsi="Arial"/>
          <w:color w:val="1A1A1A"/>
          <w:sz w:val="24"/>
          <w:szCs w:val="24"/>
        </w:rPr>
        <w:t xml:space="preserve">GridIQ's NTL detection models are trained on Conlog and Hexing token-purchase event stream data from actual ECOWAS utility deployments. This training data constitutes a proprietary asset — not because the data itself is secret, but because the labelled dataset of confirmed theft events and the calibrated models derived from it cannot be reproduced without two or more years of operational deployment. A new entrant that signed a utility partnership today would need that full period of field confirmation data before its models would approach GridIQ's precision. This is a time-and-experience moat that compounds with each additional deployment.</w:t>
      </w:r>
    </w:p>
    <w:p>
      <w:pPr>
        <w:pStyle w:val="Heading3"/>
        <w:spacing w:after="120" w:before="240"/>
      </w:pPr>
      <w:r>
        <w:rPr>
          <w:rFonts w:ascii="Arial" w:cs="Arial" w:eastAsia="Arial" w:hAnsi="Arial"/>
          <w:b/>
          <w:bCs/>
          <w:color w:val="0D9E75"/>
          <w:sz w:val="24"/>
          <w:szCs w:val="24"/>
        </w:rPr>
        <w:t xml:space="preserve">7.2.2 ECOWAS EIS First-Mover Integration (Network Moat)</w:t>
      </w:r>
    </w:p>
    <w:p>
      <w:pPr>
        <w:spacing w:after="160" w:before="0"/>
      </w:pPr>
      <w:r>
        <w:rPr>
          <w:rFonts w:ascii="Arial" w:cs="Arial" w:eastAsia="Arial" w:hAnsi="Arial"/>
          <w:color w:val="1A1A1A"/>
          <w:sz w:val="24"/>
          <w:szCs w:val="24"/>
        </w:rPr>
        <w:t xml:space="preserve">GridIQ's standardised API connection to the ECOWAS Energy Information System creates a network effect moat. As the EIS pipeline becomes the established mechanism for ECOWAS-compliant utility reporting, utilities that adopt GridIQ gain a regulatory advantage: they are compliant with an increasingly important reporting obligation without any additional operational burden. Competing platforms that want to offer this function must negotiate a separate API relationship with the ECOWAS Secretariat — a process that, once GridIQ has established itself as the reference implementation, becomes progressively harder to initiate.</w:t>
      </w:r>
    </w:p>
    <w:p>
      <w:pPr>
        <w:pStyle w:val="Heading3"/>
        <w:spacing w:after="120" w:before="240"/>
      </w:pPr>
      <w:r>
        <w:rPr>
          <w:rFonts w:ascii="Arial" w:cs="Arial" w:eastAsia="Arial" w:hAnsi="Arial"/>
          <w:b/>
          <w:bCs/>
          <w:color w:val="0D9E75"/>
          <w:sz w:val="24"/>
          <w:szCs w:val="24"/>
        </w:rPr>
        <w:t xml:space="preserve">7.2.3 ECOWAS-Specification Hardware Stack (Environmental Moat)</w:t>
      </w:r>
    </w:p>
    <w:p>
      <w:pPr>
        <w:spacing w:after="160" w:before="0"/>
      </w:pPr>
      <w:r>
        <w:rPr>
          <w:rFonts w:ascii="Arial" w:cs="Arial" w:eastAsia="Arial" w:hAnsi="Arial"/>
          <w:color w:val="1A1A1A"/>
          <w:sz w:val="24"/>
          <w:szCs w:val="24"/>
        </w:rPr>
        <w:t xml:space="preserve">GridIQ's sensor hardware — IP65-rated, LoRaWAN-capable, 48-hour battery-backed, and field-validated for West African substation conditions — has been specifically specified and tested for the ECOWAS deployment environment. Global platform providers would need to repeat this specification and validation process before they could deploy in the market. This is a lower barrier than the data moat, but it creates a minimum 12–18 month disadvantage for any hardware-led competitor.</w:t>
      </w:r>
    </w:p>
    <w:p>
      <w:pPr>
        <w:pStyle w:val="Heading3"/>
        <w:spacing w:after="120" w:before="240"/>
      </w:pPr>
      <w:r>
        <w:rPr>
          <w:rFonts w:ascii="Arial" w:cs="Arial" w:eastAsia="Arial" w:hAnsi="Arial"/>
          <w:b/>
          <w:bCs/>
          <w:color w:val="0D9E75"/>
          <w:sz w:val="24"/>
          <w:szCs w:val="24"/>
        </w:rPr>
        <w:t xml:space="preserve">7.2.4 DFI Reporting Native to Product (Institutional Moat)</w:t>
      </w:r>
    </w:p>
    <w:p>
      <w:pPr>
        <w:spacing w:after="160" w:before="0"/>
      </w:pPr>
      <w:r>
        <w:rPr>
          <w:rFonts w:ascii="Arial" w:cs="Arial" w:eastAsia="Arial" w:hAnsi="Arial"/>
          <w:color w:val="1A1A1A"/>
          <w:sz w:val="24"/>
          <w:szCs w:val="24"/>
        </w:rPr>
        <w:t xml:space="preserve">The Impact ROI Tracker's ability to generate AfDB, IFC, AFD, and EU-format grant accountability reports as a standard platform function — not a custom integration — makes GridIQ the path of least resistance for any DFI-funded utility modernisation programme. Programme officers at development finance institutions face significant administrative burden around impact reporting. A platform that eliminates that burden while providing auditable data is institutionally preferred, independently of comparative technology performance. Once embedded in a DFI programme structure, GridIQ becomes a reporting dependency that is difficult to remove without disrupting the programme's accountability framework.</w:t>
      </w:r>
    </w:p>
    <w:p>
      <w:pPr>
        <w:pStyle w:val="Heading3"/>
        <w:spacing w:after="120" w:before="240"/>
      </w:pPr>
      <w:r>
        <w:rPr>
          <w:rFonts w:ascii="Arial" w:cs="Arial" w:eastAsia="Arial" w:hAnsi="Arial"/>
          <w:b/>
          <w:bCs/>
          <w:color w:val="0D9E75"/>
          <w:sz w:val="24"/>
          <w:szCs w:val="24"/>
        </w:rPr>
        <w:t xml:space="preserve">7.2.5 Enforcement and Community Architecture (Operational Moat)</w:t>
      </w:r>
    </w:p>
    <w:p>
      <w:pPr>
        <w:spacing w:after="160" w:before="0"/>
      </w:pPr>
      <w:r>
        <w:rPr>
          <w:rFonts w:ascii="Arial" w:cs="Arial" w:eastAsia="Arial" w:hAnsi="Arial"/>
          <w:color w:val="1A1A1A"/>
          <w:sz w:val="24"/>
          <w:szCs w:val="24"/>
        </w:rPr>
        <w:t xml:space="preserve">The enforcement MOU framework and the community regularisation programme are not software features — they are operational architectures that take years to develop, negotiate, and embed in community relationships. A technology competitor that built an equivalent sensor network and AI platform would still need to develop the Ministry-level enforcement relationships, the community liaison officer networks, and the regularisation programme administration capability that GridIQ embeds in every deployment as standard. These operational elements are not available on the open market, and they are the difference between a detection system that produces alerts and a recovery system that generates revenue.</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08</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GO-TO-MARKET STRATEGY</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8. Go-to-Market Strategy</w:t>
      </w:r>
    </w:p>
    <w:p>
      <w:pPr>
        <w:pStyle w:val="Heading2"/>
        <w:spacing w:after="160" w:before="360"/>
      </w:pPr>
      <w:r>
        <w:rPr>
          <w:rFonts w:ascii="Arial" w:cs="Arial" w:eastAsia="Arial" w:hAnsi="Arial"/>
          <w:b/>
          <w:bCs/>
          <w:color w:val="0D1F2D"/>
          <w:sz w:val="28"/>
          <w:szCs w:val="28"/>
        </w:rPr>
        <w:t xml:space="preserve">8.1 Strategic Approach: Pilot-Anchor, Proof-Propagate</w:t>
      </w:r>
    </w:p>
    <w:p>
      <w:pPr>
        <w:spacing w:after="160" w:before="0"/>
      </w:pPr>
      <w:r>
        <w:rPr>
          <w:rFonts w:ascii="Arial" w:cs="Arial" w:eastAsia="Arial" w:hAnsi="Arial"/>
          <w:color w:val="1A1A1A"/>
          <w:sz w:val="24"/>
          <w:szCs w:val="24"/>
        </w:rPr>
        <w:t xml:space="preserve">GridIQ's go-to-market strategy is built on a single foundational principle: in a market where utilities have seen technology promises fail to deliver, the only effective sales argument is verified outcomes from a comparable deployment. The strategy therefore prioritises getting one deployment right — completely, documentably, and publicly — over moving quickly to multiple simultaneous pilots. A single Sierra Leone deployment that achieves audited NTL reduction of five percentage points within 12 months is worth more commercially than three simultaneous deployments of uncertain quality.</w:t>
      </w:r>
    </w:p>
    <w:p>
      <w:pPr>
        <w:spacing w:after="160" w:before="0"/>
      </w:pPr>
      <w:r>
        <w:rPr>
          <w:rFonts w:ascii="Arial" w:cs="Arial" w:eastAsia="Arial" w:hAnsi="Arial"/>
          <w:color w:val="1A1A1A"/>
          <w:sz w:val="24"/>
          <w:szCs w:val="24"/>
        </w:rPr>
        <w:t xml:space="preserve">The DFI channel is central to this strategy. By embedding GridIQ in AfDB, EU, and IFC-funded utility modernisation programmes, the platform gains access to utilities that already have programme budgets, technical assistance frameworks, and reporting obligations — all of which GridIQ is designed to serve. Each DFI-funded deployment generates the impact report that becomes the sales evidence for the next DFI programme. The channel and the product reinforce each other.</w:t>
      </w:r>
    </w:p>
    <w:p>
      <w:pPr>
        <w:pStyle w:val="Heading2"/>
        <w:spacing w:after="160" w:before="360"/>
      </w:pPr>
      <w:r>
        <w:rPr>
          <w:rFonts w:ascii="Arial" w:cs="Arial" w:eastAsia="Arial" w:hAnsi="Arial"/>
          <w:b/>
          <w:bCs/>
          <w:color w:val="0D1F2D"/>
          <w:sz w:val="28"/>
          <w:szCs w:val="28"/>
        </w:rPr>
        <w:t xml:space="preserve">8.2 Procurement Strategy — Bypassing the Tender Cycle</w:t>
      </w:r>
    </w:p>
    <w:p>
      <w:pPr>
        <w:spacing w:after="160" w:before="0"/>
      </w:pPr>
      <w:r>
        <w:rPr>
          <w:rFonts w:ascii="Arial" w:cs="Arial" w:eastAsia="Arial" w:hAnsi="Arial"/>
          <w:color w:val="1A1A1A"/>
          <w:sz w:val="24"/>
          <w:szCs w:val="24"/>
        </w:rPr>
        <w:t xml:space="preserve">Public utility procurement in West Africa operates through government tender processes that typically run 18–36 months from specification to contract award. A go-to-market strategy that relies on formal tender competition would make GridIQ a 2027 product in a market that needs it now. The strategy therefore explicitly structures pilot deployments as non-procurement technical assistance under DFI TA frameworks, which are managed outside the standard utility procurement cycle.</w:t>
      </w:r>
    </w:p>
    <w:p>
      <w:pPr>
        <w:spacing w:after="160" w:before="0"/>
      </w:pPr>
      <w:r>
        <w:rPr>
          <w:rFonts w:ascii="Arial" w:cs="Arial" w:eastAsia="Arial" w:hAnsi="Arial"/>
          <w:color w:val="1A1A1A"/>
          <w:sz w:val="24"/>
          <w:szCs w:val="24"/>
        </w:rPr>
        <w:t xml:space="preserve">This approach requires that the MOU is signed at Ministry level — not just with the utility CEO — so that it survives leadership changes and is not subject to the utility's internal procurement committee. It also requires that the pilot is framed as a capacity-building and knowledge-transfer exercise, with GridIQ providing the platform as part of a technical assistance programme funded by the DFI, rather than as a commercial procurement by the utility.</w:t>
      </w:r>
    </w:p>
    <w:p>
      <w:pPr>
        <w:pStyle w:val="Heading2"/>
        <w:spacing w:after="160" w:before="360"/>
      </w:pPr>
      <w:r>
        <w:rPr>
          <w:rFonts w:ascii="Arial" w:cs="Arial" w:eastAsia="Arial" w:hAnsi="Arial"/>
          <w:b/>
          <w:bCs/>
          <w:color w:val="0D1F2D"/>
          <w:sz w:val="28"/>
          <w:szCs w:val="28"/>
        </w:rPr>
        <w:t xml:space="preserve">8.3 Phased Deployment Roadmap</w:t>
      </w:r>
    </w:p>
    <w:p>
      <w:pPr>
        <w:pStyle w:val="Heading3"/>
        <w:spacing w:after="120" w:before="240"/>
      </w:pPr>
      <w:r>
        <w:rPr>
          <w:rFonts w:ascii="Arial" w:cs="Arial" w:eastAsia="Arial" w:hAnsi="Arial"/>
          <w:b/>
          <w:bCs/>
          <w:color w:val="0D9E75"/>
          <w:sz w:val="24"/>
          <w:szCs w:val="24"/>
        </w:rPr>
        <w:t xml:space="preserve">Phase 1 — Year 1: Sierra Leone Pilot (EDSA)</w:t>
      </w:r>
    </w:p>
    <w:p>
      <w:pPr>
        <w:spacing w:after="160" w:before="0"/>
      </w:pPr>
      <w:r>
        <w:rPr>
          <w:rFonts w:ascii="Arial" w:cs="Arial" w:eastAsia="Arial" w:hAnsi="Arial"/>
          <w:color w:val="1A1A1A"/>
          <w:sz w:val="24"/>
          <w:szCs w:val="24"/>
        </w:rPr>
        <w:t xml:space="preserve">EDSA is selected as the primary pilot target because it presents the highest NTL in the region at a utility scale that makes the deployment manageable, and because the Sierra Leone government has an active relationship with multiple DFIs that creates a viable entry pathway. The Phase 1 objectives are:</w:t>
      </w:r>
    </w:p>
    <w:p>
      <w:pPr>
        <w:pStyle w:val="ListParagraph"/>
        <w:numPr>
          <w:ilvl w:val="0"/>
          <w:numId w:val="2"/>
        </w:numPr>
        <w:spacing w:after="80" w:before="40"/>
      </w:pPr>
      <w:r>
        <w:rPr>
          <w:rFonts w:ascii="Arial" w:cs="Arial" w:eastAsia="Arial" w:hAnsi="Arial"/>
          <w:color w:val="1A1A1A"/>
          <w:sz w:val="24"/>
          <w:szCs w:val="24"/>
        </w:rPr>
        <w:t xml:space="preserve">Deploy 10 IoT sensors across the pilot zone and establish baseline NTL measurement.</w:t>
      </w:r>
    </w:p>
    <w:p>
      <w:pPr>
        <w:pStyle w:val="ListParagraph"/>
        <w:numPr>
          <w:ilvl w:val="0"/>
          <w:numId w:val="2"/>
        </w:numPr>
        <w:spacing w:after="80" w:before="40"/>
      </w:pPr>
      <w:r>
        <w:rPr>
          <w:rFonts w:ascii="Arial" w:cs="Arial" w:eastAsia="Arial" w:hAnsi="Arial"/>
          <w:color w:val="1A1A1A"/>
          <w:sz w:val="24"/>
          <w:szCs w:val="24"/>
        </w:rPr>
        <w:t xml:space="preserve">Calibrate the Smart Meter Analytics Engine on EDSA's Hexing token transaction data.</w:t>
      </w:r>
    </w:p>
    <w:p>
      <w:pPr>
        <w:pStyle w:val="ListParagraph"/>
        <w:numPr>
          <w:ilvl w:val="0"/>
          <w:numId w:val="2"/>
        </w:numPr>
        <w:spacing w:after="80" w:before="40"/>
      </w:pPr>
      <w:r>
        <w:rPr>
          <w:rFonts w:ascii="Arial" w:cs="Arial" w:eastAsia="Arial" w:hAnsi="Arial"/>
          <w:color w:val="1A1A1A"/>
          <w:sz w:val="24"/>
          <w:szCs w:val="24"/>
        </w:rPr>
        <w:t xml:space="preserve">Go live with the GIS Loss Dashboard and begin generating real-time alerts.</w:t>
      </w:r>
    </w:p>
    <w:p>
      <w:pPr>
        <w:pStyle w:val="ListParagraph"/>
        <w:numPr>
          <w:ilvl w:val="0"/>
          <w:numId w:val="2"/>
        </w:numPr>
        <w:spacing w:after="80" w:before="40"/>
      </w:pPr>
      <w:r>
        <w:rPr>
          <w:rFonts w:ascii="Arial" w:cs="Arial" w:eastAsia="Arial" w:hAnsi="Arial"/>
          <w:color w:val="1A1A1A"/>
          <w:sz w:val="24"/>
          <w:szCs w:val="24"/>
        </w:rPr>
        <w:t xml:space="preserve">Launch the community regularisation programme in the pilot zone.</w:t>
      </w:r>
    </w:p>
    <w:p>
      <w:pPr>
        <w:pStyle w:val="ListParagraph"/>
        <w:numPr>
          <w:ilvl w:val="0"/>
          <w:numId w:val="2"/>
        </w:numPr>
        <w:spacing w:after="80" w:before="40"/>
      </w:pPr>
      <w:r>
        <w:rPr>
          <w:rFonts w:ascii="Arial" w:cs="Arial" w:eastAsia="Arial" w:hAnsi="Arial"/>
          <w:color w:val="1A1A1A"/>
          <w:sz w:val="24"/>
          <w:szCs w:val="24"/>
        </w:rPr>
        <w:t xml:space="preserve">Sign the enforcement MOU with the Ministry of Energy, establishing the legal and operational framework for field investigations.</w:t>
      </w:r>
    </w:p>
    <w:p>
      <w:pPr>
        <w:pStyle w:val="ListParagraph"/>
        <w:numPr>
          <w:ilvl w:val="0"/>
          <w:numId w:val="2"/>
        </w:numPr>
        <w:spacing w:after="80" w:before="40"/>
      </w:pPr>
      <w:r>
        <w:rPr>
          <w:rFonts w:ascii="Arial" w:cs="Arial" w:eastAsia="Arial" w:hAnsi="Arial"/>
          <w:color w:val="1A1A1A"/>
          <w:sz w:val="24"/>
          <w:szCs w:val="24"/>
        </w:rPr>
        <w:t xml:space="preserve">Generate the first live ECOWAS EIS report via the automated pipeline.</w:t>
      </w:r>
    </w:p>
    <w:p>
      <w:pPr>
        <w:pStyle w:val="ListParagraph"/>
        <w:numPr>
          <w:ilvl w:val="0"/>
          <w:numId w:val="2"/>
        </w:numPr>
        <w:spacing w:after="80" w:before="40"/>
      </w:pPr>
      <w:r>
        <w:rPr>
          <w:rFonts w:ascii="Arial" w:cs="Arial" w:eastAsia="Arial" w:hAnsi="Arial"/>
          <w:color w:val="1A1A1A"/>
          <w:sz w:val="24"/>
          <w:szCs w:val="24"/>
        </w:rPr>
        <w:t xml:space="preserve">Document the first 12 months of recovery ROI in DFI-format reporting for grant accountability.</w:t>
      </w:r>
    </w:p>
    <w:p>
      <w:pPr>
        <w:spacing w:after="80" w:before="0"/>
      </w:pPr>
      <w:r>
        <w:t xml:space="preserve"/>
      </w:r>
    </w:p>
    <w:p>
      <w:pPr>
        <w:pStyle w:val="Heading3"/>
        <w:spacing w:after="120" w:before="240"/>
      </w:pPr>
      <w:r>
        <w:rPr>
          <w:rFonts w:ascii="Arial" w:cs="Arial" w:eastAsia="Arial" w:hAnsi="Arial"/>
          <w:b/>
          <w:bCs/>
          <w:color w:val="0D9E75"/>
          <w:sz w:val="24"/>
          <w:szCs w:val="24"/>
        </w:rPr>
        <w:t xml:space="preserve">Phase 2 — Year 2: Ghana Expansion (ECG + NEDCO)</w:t>
      </w:r>
    </w:p>
    <w:p>
      <w:pPr>
        <w:spacing w:after="160" w:before="0"/>
      </w:pPr>
      <w:r>
        <w:rPr>
          <w:rFonts w:ascii="Arial" w:cs="Arial" w:eastAsia="Arial" w:hAnsi="Arial"/>
          <w:color w:val="1A1A1A"/>
          <w:sz w:val="24"/>
          <w:szCs w:val="24"/>
        </w:rPr>
        <w:t xml:space="preserve">The Phase 2 expansion to Ghana's two distribution utilities — the Electricity Company of Ghana and the Northern Electricity Distribution Company — leverages the Sierra Leone outcomes data as commercial evidence. ECG and NEDCO are Phase 2 targets rather than Phase 1 because they represent a more complex deployment environment (larger customer base, more diverse metering) and because the Ghana power sector has a more developed regulatory framework that requires a more structured engagement process. Phase 2 also sees:</w:t>
      </w:r>
    </w:p>
    <w:p>
      <w:pPr>
        <w:pStyle w:val="ListParagraph"/>
        <w:numPr>
          <w:ilvl w:val="0"/>
          <w:numId w:val="2"/>
        </w:numPr>
        <w:spacing w:after="80" w:before="40"/>
      </w:pPr>
      <w:r>
        <w:rPr>
          <w:rFonts w:ascii="Arial" w:cs="Arial" w:eastAsia="Arial" w:hAnsi="Arial"/>
          <w:color w:val="1A1A1A"/>
          <w:sz w:val="24"/>
          <w:szCs w:val="24"/>
        </w:rPr>
        <w:t xml:space="preserve">The AI model retrained on a second national metering dataset, significantly expanding its coverage of regional meter types and consumption patterns.</w:t>
      </w:r>
    </w:p>
    <w:p>
      <w:pPr>
        <w:pStyle w:val="ListParagraph"/>
        <w:numPr>
          <w:ilvl w:val="0"/>
          <w:numId w:val="2"/>
        </w:numPr>
        <w:spacing w:after="80" w:before="40"/>
      </w:pPr>
      <w:r>
        <w:rPr>
          <w:rFonts w:ascii="Arial" w:cs="Arial" w:eastAsia="Arial" w:hAnsi="Arial"/>
          <w:color w:val="1A1A1A"/>
          <w:sz w:val="24"/>
          <w:szCs w:val="24"/>
        </w:rPr>
        <w:t xml:space="preserve">The ECOWAS EIS data product launched as a standalone subscription for the ECOWAS Secretariat and interested DFIs.</w:t>
      </w:r>
    </w:p>
    <w:p>
      <w:pPr>
        <w:pStyle w:val="ListParagraph"/>
        <w:numPr>
          <w:ilvl w:val="0"/>
          <w:numId w:val="2"/>
        </w:numPr>
        <w:spacing w:after="80" w:before="40"/>
      </w:pPr>
      <w:r>
        <w:rPr>
          <w:rFonts w:ascii="Arial" w:cs="Arial" w:eastAsia="Arial" w:hAnsi="Arial"/>
          <w:color w:val="1A1A1A"/>
          <w:sz w:val="24"/>
          <w:szCs w:val="24"/>
        </w:rPr>
        <w:t xml:space="preserve">The AfDB and EU grant pipeline activated based on Sierra Leone impact evidence.</w:t>
      </w:r>
    </w:p>
    <w:p>
      <w:pPr>
        <w:pStyle w:val="ListParagraph"/>
        <w:numPr>
          <w:ilvl w:val="0"/>
          <w:numId w:val="2"/>
        </w:numPr>
        <w:spacing w:after="80" w:before="40"/>
      </w:pPr>
      <w:r>
        <w:rPr>
          <w:rFonts w:ascii="Arial" w:cs="Arial" w:eastAsia="Arial" w:hAnsi="Arial"/>
          <w:color w:val="1A1A1A"/>
          <w:sz w:val="24"/>
          <w:szCs w:val="24"/>
        </w:rPr>
        <w:t xml:space="preserve">Managed services contracts initiated for both Ghana utilities.</w:t>
      </w:r>
    </w:p>
    <w:p>
      <w:pPr>
        <w:spacing w:after="80" w:before="0"/>
      </w:pPr>
      <w:r>
        <w:t xml:space="preserve"/>
      </w:r>
    </w:p>
    <w:p>
      <w:pPr>
        <w:pStyle w:val="Heading3"/>
        <w:spacing w:after="120" w:before="240"/>
      </w:pPr>
      <w:r>
        <w:rPr>
          <w:rFonts w:ascii="Arial" w:cs="Arial" w:eastAsia="Arial" w:hAnsi="Arial"/>
          <w:b/>
          <w:bCs/>
          <w:color w:val="0D9E75"/>
          <w:sz w:val="24"/>
          <w:szCs w:val="24"/>
        </w:rPr>
        <w:t xml:space="preserve">Phase 3 — Years 3–4: ECOWAS Regional Rollout</w:t>
      </w:r>
    </w:p>
    <w:p>
      <w:pPr>
        <w:spacing w:after="160" w:before="0"/>
      </w:pPr>
      <w:r>
        <w:rPr>
          <w:rFonts w:ascii="Arial" w:cs="Arial" w:eastAsia="Arial" w:hAnsi="Arial"/>
          <w:color w:val="1A1A1A"/>
          <w:sz w:val="24"/>
          <w:szCs w:val="24"/>
        </w:rPr>
        <w:t xml:space="preserve">Phase 3 targets NAWEC in Gambia, SBEE in Benin, and SENELEC in Senegal — three utilities with moderate-to-high NTL levels and varying degrees of DFI engagement. By this stage, GridIQ has documented outcomes from three national deployments, an established ECOWAS EIS integration, and a growing body of AI training data that makes new deployments both faster and more accurate. Phase 3 objectives include positioning GridIQ as the de facto ECOWAS utility intelligence standard, potentially with ECOWAS Secretariat institutional endorsement.</w:t>
      </w:r>
    </w:p>
    <w:p>
      <w:pPr>
        <w:pStyle w:val="Heading3"/>
        <w:spacing w:after="120" w:before="240"/>
      </w:pPr>
      <w:r>
        <w:rPr>
          <w:rFonts w:ascii="Arial" w:cs="Arial" w:eastAsia="Arial" w:hAnsi="Arial"/>
          <w:b/>
          <w:bCs/>
          <w:color w:val="0D9E75"/>
          <w:sz w:val="24"/>
          <w:szCs w:val="24"/>
        </w:rPr>
        <w:t xml:space="preserve">Phase 4 — Year 5+: Continental Platform Licensing</w:t>
      </w:r>
    </w:p>
    <w:p>
      <w:pPr>
        <w:spacing w:after="160" w:before="0"/>
      </w:pPr>
      <w:r>
        <w:rPr>
          <w:rFonts w:ascii="Arial" w:cs="Arial" w:eastAsia="Arial" w:hAnsi="Arial"/>
          <w:color w:val="1A1A1A"/>
          <w:sz w:val="24"/>
          <w:szCs w:val="24"/>
        </w:rPr>
        <w:t xml:space="preserve">Phase 4 extends the GridIQ model beyond ECOWAS to the East African Power Pool (EAPP) and Southern African Power Pool (SAPP) corridors through platform licensing arrangements. The AI models, calibrated on five years of West African utility data, are adapted for East and Southern African utility environments through partnership with regional operators. DFI embedding as a standard component of energy access financing covenants is pursued with key multilateral institutions.</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09</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TECHNOLOGY STACK</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9. Technology Stack</w:t>
      </w:r>
    </w:p>
    <w:p>
      <w:pPr>
        <w:pStyle w:val="Heading2"/>
        <w:spacing w:after="160" w:before="360"/>
      </w:pPr>
      <w:r>
        <w:rPr>
          <w:rFonts w:ascii="Arial" w:cs="Arial" w:eastAsia="Arial" w:hAnsi="Arial"/>
          <w:b/>
          <w:bCs/>
          <w:color w:val="0D1F2D"/>
          <w:sz w:val="28"/>
          <w:szCs w:val="28"/>
        </w:rPr>
        <w:t xml:space="preserve">9.1 Stack Overview</w:t>
      </w:r>
    </w:p>
    <w:p>
      <w:pPr>
        <w:spacing w:after="160" w:before="0"/>
      </w:pPr>
      <w:r>
        <w:rPr>
          <w:rFonts w:ascii="Arial" w:cs="Arial" w:eastAsia="Arial" w:hAnsi="Arial"/>
          <w:color w:val="1A1A1A"/>
          <w:sz w:val="24"/>
          <w:szCs w:val="24"/>
        </w:rPr>
        <w:t xml:space="preserve">GridIQ's technology architecture spans six layers — hardware edge, IoT connectivity, cloud data infrastructure, AI and machine learning, application and user interface, and compliance and reporting. Each layer is designed with the specific operating constraints of the ECOWAS utility environment in mind: limited connectivity, constrained bandwidth, diverse meter vendor ecosystems, and the requirement for data integrity standards compatible with DFI audit requirements.</w:t>
      </w:r>
    </w:p>
    <w:p>
      <w:pPr>
        <w:pStyle w:val="Heading2"/>
        <w:spacing w:after="160" w:before="360"/>
      </w:pPr>
      <w:r>
        <w:rPr>
          <w:rFonts w:ascii="Arial" w:cs="Arial" w:eastAsia="Arial" w:hAnsi="Arial"/>
          <w:b/>
          <w:bCs/>
          <w:color w:val="0D1F2D"/>
          <w:sz w:val="28"/>
          <w:szCs w:val="28"/>
        </w:rPr>
        <w:t xml:space="preserve">9.2 Hardware and Edge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Smart Sensors</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Ruggedised IoT edge devices capturing voltage, current, active power, reactive power, and power factor at 15-minute intervals. IP65-rated enclosures rated for 40°C+ ambient temperature and high humidity.</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Connectivity — Primary</w:t>
            </w:r>
          </w:p>
        </w:tc>
        <w:tc>
          <w:tcPr>
            <w:tcW w:type="dxa" w:w="6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4G LTE cellular uplink with dual-SIM failover across available network operators. Local edge buffering ensures no data loss during connectivity interruptions.</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Connectivity — Fallback</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LoRaWAN gateway for substations with poor cellular coverage. 868 MHz spectrum, range up to 15km in open terrain, lower bandwidth but sufficient for 15-minute power quality data.</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Power Backup</w:t>
            </w:r>
          </w:p>
        </w:tc>
        <w:tc>
          <w:tcPr>
            <w:tcW w:type="dxa" w:w="6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48-hour lithium battery backup at each sensor node. Solar panel option available for remote sites without reliable grid supply.</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Tamper Detection</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Physical tamper sensors on enclosures with immediate cloud alert on breach. Hardware security module for cryptographic signing of transmitted data.</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9.3 Cloud and 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Cloud Platform</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Multi-region cloud hosting (primary Africa region where available; EU fallback). 99.9% uptime SLA. Data residency options for utilities with national data sovereignty requirements.</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Time-Series Database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Purpose-built time-series data store optimised for high-frequency sensor ingestion and rapid query across millions of meter records. Partitioned by utility, feeder zone, and time period for query efficiency.</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Real-Time Streaming</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Event-streaming pipeline for real-time processing of sensor data and meter token transactions. Sub-5-minute latency from sensor reading to dashboard alert.</w:t>
            </w:r>
          </w:p>
        </w:tc>
      </w:tr>
      <w:t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Data Lake</w:t>
            </w:r>
          </w:p>
        </w:tc>
        <w:tc>
          <w:tcPr>
            <w:tcW w:type="dxa" w:w="6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Long-term storage of all raw sensor readings, meter transaction records, investigation outcomes, and model training datasets. Retention policy of seven years minimum for audit compliance.</w:t>
            </w:r>
          </w:p>
        </w:tc>
      </w:tr>
      <w:tr>
        <w:tc>
          <w:tcPr>
            <w:tcW w:type="dxa" w:w="24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Backup and Recovery</w:t>
            </w:r>
          </w:p>
        </w:tc>
        <w:tc>
          <w:tcPr>
            <w:tcW w:type="dxa" w:w="69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Automated daily backups with point-in-time recovery capability. Recovery Time Objective of 4 hours; Recovery Point Objective of 15 minutes.</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9.4 AI and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NTL Detection Models</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Supervised classification models trained on labelled token-purchase event data. Gradient boosting and LSTM architectures for pattern recognition across irregular time series. Monthly retraining cycle on confirmed field outcomes.</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Anomaly Detection (IoT)</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Unsupervised anomaly detection on continuous sensor streams for loss attribution and predictive maintenance. Isolation Forest and statistical process control for transformer health monitoring.</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Model Versioning</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Full model versioning and rollback capability. Each retraining cycle is logged with performance metrics. Regression testing against held-out validation set before deployment.</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Explainability Layer</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Model explanation outputs generated for each alert, showing the features that drove the anomaly score. Enables field investigators to assess plausibility before deployment.</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False Positive Tracking</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Dedicated dashboard tracking false positive rates by alert type, feeder zone, and model version. KPI reported to utility board quarterly as SLA metric.</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9.5 Application and Integration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Frontend Framework</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Progressive Web Application (PWA). Responsive design functional at 2G bandwidth. Offline capability for field use. Full English/French localisation.</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Backend API</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RESTful API with OpenAPI specification. OAuth 2.0 authentication with role-based access control. Rate-limited for high-volume integrations.</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ECOWAS EIS Integration</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Standardised JSON schema aligned with ECOWAS EIS data model. Automated monthly submission with utility co-validation workflow. Submission logging and audit trail.</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Meter Vendor SDKs</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Native integration with Conlog and Hexing prepaid management systems. Extensible to additional vendors including Itron and Landis+Gyr for Phase 2 utilities.</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GIS Platform</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Web-based mapping with utility network overlay capability. Supports import of utility feeder maps in standard GIS formats (Shapefile, GeoJSON, KML).</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Export Formats</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PDF, Excel, CSV, and JSON export across all dashboard modules. DFI-format templates (AfDB, IFC, AFD, EU) for ROI Tracker. SAIDI/SAIFI standard outage reporting.</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9.6 Security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Data Encryption</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AES-256 encryption at rest; TLS 1.3 in transit. End-to-end encryption on all sensor-to-cloud data flows. Cryptographic signing of transmitted sensor data for tamper detection.</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Access Control</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Role-based access control with seven distinct permission levels. Two-factor authentication mandatory for all users. Separate access tier for internal audit interface.</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Audit Logging</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Immutable audit log of all platform actions, including alert views, investigation queue assignments, data exports, and EIS submissions. Cannot be modified or deleted by any user.</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Security Certification</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Annual third-party penetration testing. ISO 27001 certification targeted for Year 2. GDPR-aligned data governance for EU-funded programmes.</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DFI Compliance</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Data integrity verification protocol aligned with AfDB, IFC, and EU audit requirements. Independent auditor access provision built into all utility contracts.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color="FFFFFF" w:sz="0"/>
              <w:left w:val="nil" w:color="FFFFFF" w:sz="0"/>
              <w:bottom w:val="nil" w:color="FFFFFF" w:sz="0"/>
              <w:right w:val="nil" w:color="FFFFFF" w:sz="0"/>
            </w:tcBorders>
            <w:shd w:fill="085041" w:val="clear"/>
            <w:tcMar>
              <w:top w:type="dxa" w:w="160"/>
              <w:left w:type="dxa" w:w="160"/>
              <w:bottom w:type="dxa" w:w="160"/>
              <w:right w:type="dxa" w:w="160"/>
            </w:tcMar>
            <w:vAlign w:val="center"/>
          </w:tcPr>
          <w:p>
            <w:pPr>
              <w:spacing w:after="0" w:before="0"/>
              <w:jc w:val="center"/>
            </w:pPr>
            <w:r>
              <w:rPr>
                <w:rFonts w:ascii="Arial" w:cs="Arial" w:eastAsia="Arial" w:hAnsi="Arial"/>
                <w:b/>
                <w:bCs/>
                <w:color w:val="FFFFFF"/>
                <w:sz w:val="48"/>
                <w:szCs w:val="48"/>
              </w:rPr>
              <w:t xml:space="preserve">10</w:t>
            </w:r>
          </w:p>
        </w:tc>
        <w:tc>
          <w:tcPr>
            <w:tcW w:type="dxa" w:w="8460"/>
            <w:tcBorders>
              <w:top w:val="nil" w:color="FFFFFF" w:sz="0"/>
              <w:left w:val="nil" w:color="FFFFFF" w:sz="0"/>
              <w:bottom w:val="nil" w:color="FFFFFF" w:sz="0"/>
              <w:right w:val="nil" w:color="FFFFFF" w:sz="0"/>
            </w:tcBorders>
            <w:shd w:fill="0D1F2D" w:val="clear"/>
            <w:tcMar>
              <w:top w:type="dxa" w:w="160"/>
              <w:left w:type="dxa" w:w="240"/>
              <w:bottom w:type="dxa" w:w="160"/>
              <w:right w:type="dxa" w:w="160"/>
            </w:tcMar>
            <w:vAlign w:val="center"/>
          </w:tcPr>
          <w:p>
            <w:pPr>
              <w:spacing w:after="0" w:before="0"/>
            </w:pPr>
            <w:r>
              <w:rPr>
                <w:rFonts w:ascii="Arial" w:cs="Arial" w:eastAsia="Arial" w:hAnsi="Arial"/>
                <w:b/>
                <w:bCs/>
                <w:color w:val="EF9F27"/>
                <w:sz w:val="32"/>
                <w:szCs w:val="32"/>
              </w:rPr>
              <w:t xml:space="preserve">TEAM &amp; ORGANISATION</w:t>
            </w:r>
          </w:p>
        </w:tc>
      </w:tr>
    </w:tbl>
    <w:p>
      <w:pPr>
        <w:spacing w:after="80" w:before="0"/>
      </w:pPr>
      <w:r>
        <w:t xml:space="preserve"/>
      </w:r>
    </w:p>
    <w:p>
      <w:pPr>
        <w:pStyle w:val="Heading1"/>
        <w:pBdr>
          <w:bottom w:val="single" w:color="0D9E75" w:sz="8"/>
        </w:pBdr>
        <w:spacing w:after="240" w:before="480"/>
      </w:pPr>
      <w:r>
        <w:rPr>
          <w:rFonts w:ascii="Arial" w:cs="Arial" w:eastAsia="Arial" w:hAnsi="Arial"/>
          <w:b/>
          <w:bCs/>
          <w:color w:val="085041"/>
          <w:sz w:val="36"/>
          <w:szCs w:val="36"/>
        </w:rPr>
        <w:t xml:space="preserve">10. Team &amp; Organisation</w:t>
      </w:r>
    </w:p>
    <w:p>
      <w:pPr>
        <w:pStyle w:val="Heading2"/>
        <w:spacing w:after="160" w:before="360"/>
      </w:pPr>
      <w:r>
        <w:rPr>
          <w:rFonts w:ascii="Arial" w:cs="Arial" w:eastAsia="Arial" w:hAnsi="Arial"/>
          <w:b/>
          <w:bCs/>
          <w:color w:val="0D1F2D"/>
          <w:sz w:val="28"/>
          <w:szCs w:val="28"/>
        </w:rPr>
        <w:t xml:space="preserve">10.1 Founding Partnership — The Coalition Advantage</w:t>
      </w:r>
    </w:p>
    <w:p>
      <w:pPr>
        <w:spacing w:after="160" w:before="0"/>
      </w:pPr>
      <w:r>
        <w:rPr>
          <w:rFonts w:ascii="Arial" w:cs="Arial" w:eastAsia="Arial" w:hAnsi="Arial"/>
          <w:color w:val="1A1A1A"/>
          <w:sz w:val="24"/>
          <w:szCs w:val="24"/>
        </w:rPr>
        <w:t xml:space="preserve">GridIQ West Africa is a joint venture between three organisations whose combined capabilities cover the full spectrum of what is required to succeed in this market. The founding partnership is itself a competitive advantage: no single organisation in the ECOWAS energy market currently combines deep utility-side relationships, ECOWAS regulatory access, and the AI and IoT engineering capability required to build and maintain the platform. Assembling this coalition took years of relationship building across all three domains. It cannot be quickly replicated by a new entrant.</w:t>
      </w:r>
    </w:p>
    <w:p>
      <w:pPr>
        <w:pStyle w:val="Heading2"/>
        <w:spacing w:after="160" w:before="360"/>
      </w:pPr>
      <w:r>
        <w:rPr>
          <w:rFonts w:ascii="Arial" w:cs="Arial" w:eastAsia="Arial" w:hAnsi="Arial"/>
          <w:b/>
          <w:bCs/>
          <w:color w:val="0D1F2D"/>
          <w:sz w:val="28"/>
          <w:szCs w:val="28"/>
        </w:rPr>
        <w:t xml:space="preserve">10.2 Founding Partners</w:t>
      </w:r>
    </w:p>
    <w:p>
      <w:pPr>
        <w:pStyle w:val="Heading3"/>
        <w:spacing w:after="120" w:before="240"/>
      </w:pPr>
      <w:r>
        <w:rPr>
          <w:rFonts w:ascii="Arial" w:cs="Arial" w:eastAsia="Arial" w:hAnsi="Arial"/>
          <w:b/>
          <w:bCs/>
          <w:color w:val="0D9E75"/>
          <w:sz w:val="24"/>
          <w:szCs w:val="24"/>
        </w:rPr>
        <w:t xml:space="preserve">RenewBiz — Commercial Lead</w:t>
      </w:r>
    </w:p>
    <w:p>
      <w:pPr>
        <w:spacing w:after="160" w:before="0"/>
      </w:pPr>
      <w:r>
        <w:rPr>
          <w:rFonts w:ascii="Arial" w:cs="Arial" w:eastAsia="Arial" w:hAnsi="Arial"/>
          <w:color w:val="1A1A1A"/>
          <w:sz w:val="24"/>
          <w:szCs w:val="24"/>
        </w:rPr>
        <w:t xml:space="preserve">RenewBiz leads the commercial development, utility partnership, and revenue generation functions of the venture. Its role covers:</w:t>
      </w:r>
    </w:p>
    <w:p>
      <w:pPr>
        <w:pStyle w:val="ListParagraph"/>
        <w:numPr>
          <w:ilvl w:val="0"/>
          <w:numId w:val="2"/>
        </w:numPr>
        <w:spacing w:after="80" w:before="40"/>
      </w:pPr>
      <w:r>
        <w:rPr>
          <w:rFonts w:ascii="Arial" w:cs="Arial" w:eastAsia="Arial" w:hAnsi="Arial"/>
          <w:color w:val="1A1A1A"/>
          <w:sz w:val="24"/>
          <w:szCs w:val="24"/>
        </w:rPr>
        <w:t xml:space="preserve">Primary utility relationship management across the ECOWAS target market, including Anglophone and Francophone utilities.</w:t>
      </w:r>
    </w:p>
    <w:p>
      <w:pPr>
        <w:pStyle w:val="ListParagraph"/>
        <w:numPr>
          <w:ilvl w:val="0"/>
          <w:numId w:val="2"/>
        </w:numPr>
        <w:spacing w:after="80" w:before="40"/>
      </w:pPr>
      <w:r>
        <w:rPr>
          <w:rFonts w:ascii="Arial" w:cs="Arial" w:eastAsia="Arial" w:hAnsi="Arial"/>
          <w:color w:val="1A1A1A"/>
          <w:sz w:val="24"/>
          <w:szCs w:val="24"/>
        </w:rPr>
        <w:t xml:space="preserve">DFI programme pipeline development — identifying, structuring, and managing relationships with AfDB, EU, IFC, AFD, and bilateral programme offices.</w:t>
      </w:r>
    </w:p>
    <w:p>
      <w:pPr>
        <w:pStyle w:val="ListParagraph"/>
        <w:numPr>
          <w:ilvl w:val="0"/>
          <w:numId w:val="2"/>
        </w:numPr>
        <w:spacing w:after="80" w:before="40"/>
      </w:pPr>
      <w:r>
        <w:rPr>
          <w:rFonts w:ascii="Arial" w:cs="Arial" w:eastAsia="Arial" w:hAnsi="Arial"/>
          <w:color w:val="1A1A1A"/>
          <w:sz w:val="24"/>
          <w:szCs w:val="24"/>
        </w:rPr>
        <w:t xml:space="preserve">Commercial structuring of utility contracts, performance fee agreements, and hardware lease arrangements.</w:t>
      </w:r>
    </w:p>
    <w:p>
      <w:pPr>
        <w:pStyle w:val="ListParagraph"/>
        <w:numPr>
          <w:ilvl w:val="0"/>
          <w:numId w:val="2"/>
        </w:numPr>
        <w:spacing w:after="80" w:before="40"/>
      </w:pPr>
      <w:r>
        <w:rPr>
          <w:rFonts w:ascii="Arial" w:cs="Arial" w:eastAsia="Arial" w:hAnsi="Arial"/>
          <w:color w:val="1A1A1A"/>
          <w:sz w:val="24"/>
          <w:szCs w:val="24"/>
        </w:rPr>
        <w:t xml:space="preserve">Revenue partnership development for the ECOWAS EIS data product and continental licensing strategy.</w:t>
      </w:r>
    </w:p>
    <w:p>
      <w:pPr>
        <w:spacing w:after="80" w:before="0"/>
      </w:pPr>
      <w:r>
        <w:t xml:space="preserve"/>
      </w:r>
    </w:p>
    <w:p>
      <w:pPr>
        <w:pStyle w:val="Heading3"/>
        <w:spacing w:after="120" w:before="240"/>
      </w:pPr>
      <w:r>
        <w:rPr>
          <w:rFonts w:ascii="Arial" w:cs="Arial" w:eastAsia="Arial" w:hAnsi="Arial"/>
          <w:b/>
          <w:bCs/>
          <w:color w:val="0D9E75"/>
          <w:sz w:val="24"/>
          <w:szCs w:val="24"/>
        </w:rPr>
        <w:t xml:space="preserve">AFCEN — Regulatory &amp; Policy Lead</w:t>
      </w:r>
    </w:p>
    <w:p>
      <w:pPr>
        <w:spacing w:after="160" w:before="0"/>
      </w:pPr>
      <w:r>
        <w:rPr>
          <w:rFonts w:ascii="Arial" w:cs="Arial" w:eastAsia="Arial" w:hAnsi="Arial"/>
          <w:color w:val="1A1A1A"/>
          <w:sz w:val="24"/>
          <w:szCs w:val="24"/>
        </w:rPr>
        <w:t xml:space="preserve">The African Centre for Energy and Natural Resources leads the regulatory engagement, policy framework, and ECOWAS institutional relationship functions. Its role covers:</w:t>
      </w:r>
    </w:p>
    <w:p>
      <w:pPr>
        <w:pStyle w:val="ListParagraph"/>
        <w:numPr>
          <w:ilvl w:val="0"/>
          <w:numId w:val="2"/>
        </w:numPr>
        <w:spacing w:after="80" w:before="40"/>
      </w:pPr>
      <w:r>
        <w:rPr>
          <w:rFonts w:ascii="Arial" w:cs="Arial" w:eastAsia="Arial" w:hAnsi="Arial"/>
          <w:color w:val="1A1A1A"/>
          <w:sz w:val="24"/>
          <w:szCs w:val="24"/>
        </w:rPr>
        <w:t xml:space="preserve">ECOWAS Secretariat relationship management and EIS API partnership development.</w:t>
      </w:r>
    </w:p>
    <w:p>
      <w:pPr>
        <w:pStyle w:val="ListParagraph"/>
        <w:numPr>
          <w:ilvl w:val="0"/>
          <w:numId w:val="2"/>
        </w:numPr>
        <w:spacing w:after="80" w:before="40"/>
      </w:pPr>
      <w:r>
        <w:rPr>
          <w:rFonts w:ascii="Arial" w:cs="Arial" w:eastAsia="Arial" w:hAnsi="Arial"/>
          <w:color w:val="1A1A1A"/>
          <w:sz w:val="24"/>
          <w:szCs w:val="24"/>
        </w:rPr>
        <w:t xml:space="preserve">Ministry-level engagement for enforcement MOU negotiation in each deployment country.</w:t>
      </w:r>
    </w:p>
    <w:p>
      <w:pPr>
        <w:pStyle w:val="ListParagraph"/>
        <w:numPr>
          <w:ilvl w:val="0"/>
          <w:numId w:val="2"/>
        </w:numPr>
        <w:spacing w:after="80" w:before="40"/>
      </w:pPr>
      <w:r>
        <w:rPr>
          <w:rFonts w:ascii="Arial" w:cs="Arial" w:eastAsia="Arial" w:hAnsi="Arial"/>
          <w:color w:val="1A1A1A"/>
          <w:sz w:val="24"/>
          <w:szCs w:val="24"/>
        </w:rPr>
        <w:t xml:space="preserve">Regulatory compliance framework design across the diverse ECOWAS regulatory environments.</w:t>
      </w:r>
    </w:p>
    <w:p>
      <w:pPr>
        <w:pStyle w:val="ListParagraph"/>
        <w:numPr>
          <w:ilvl w:val="0"/>
          <w:numId w:val="2"/>
        </w:numPr>
        <w:spacing w:after="80" w:before="40"/>
      </w:pPr>
      <w:r>
        <w:rPr>
          <w:rFonts w:ascii="Arial" w:cs="Arial" w:eastAsia="Arial" w:hAnsi="Arial"/>
          <w:color w:val="1A1A1A"/>
          <w:sz w:val="24"/>
          <w:szCs w:val="24"/>
        </w:rPr>
        <w:t xml:space="preserve">Policy advocacy for data standardisation and NTL reporting requirements that create market demand for GridIQ.</w:t>
      </w:r>
    </w:p>
    <w:p>
      <w:pPr>
        <w:spacing w:after="80" w:before="0"/>
      </w:pPr>
      <w:r>
        <w:t xml:space="preserve"/>
      </w:r>
    </w:p>
    <w:p>
      <w:pPr>
        <w:pStyle w:val="Heading3"/>
        <w:spacing w:after="120" w:before="240"/>
      </w:pPr>
      <w:r>
        <w:rPr>
          <w:rFonts w:ascii="Arial" w:cs="Arial" w:eastAsia="Arial" w:hAnsi="Arial"/>
          <w:b/>
          <w:bCs/>
          <w:color w:val="0D9E75"/>
          <w:sz w:val="24"/>
          <w:szCs w:val="24"/>
        </w:rPr>
        <w:t xml:space="preserve">Smart Innovation — Technology Lead</w:t>
      </w:r>
    </w:p>
    <w:p>
      <w:pPr>
        <w:spacing w:after="160" w:before="0"/>
      </w:pPr>
      <w:r>
        <w:rPr>
          <w:rFonts w:ascii="Arial" w:cs="Arial" w:eastAsia="Arial" w:hAnsi="Arial"/>
          <w:color w:val="1A1A1A"/>
          <w:sz w:val="24"/>
          <w:szCs w:val="24"/>
        </w:rPr>
        <w:t xml:space="preserve">Smart Innovation leads all technology development, platform engineering, and AI/ML delivery. Its role covers:</w:t>
      </w:r>
    </w:p>
    <w:p>
      <w:pPr>
        <w:pStyle w:val="ListParagraph"/>
        <w:numPr>
          <w:ilvl w:val="0"/>
          <w:numId w:val="2"/>
        </w:numPr>
        <w:spacing w:after="80" w:before="40"/>
      </w:pPr>
      <w:r>
        <w:rPr>
          <w:rFonts w:ascii="Arial" w:cs="Arial" w:eastAsia="Arial" w:hAnsi="Arial"/>
          <w:color w:val="1A1A1A"/>
          <w:sz w:val="24"/>
          <w:szCs w:val="24"/>
        </w:rPr>
        <w:t xml:space="preserve">Platform architecture, cloud infrastructure, and ongoing software development.</w:t>
      </w:r>
    </w:p>
    <w:p>
      <w:pPr>
        <w:pStyle w:val="ListParagraph"/>
        <w:numPr>
          <w:ilvl w:val="0"/>
          <w:numId w:val="2"/>
        </w:numPr>
        <w:spacing w:after="80" w:before="40"/>
      </w:pPr>
      <w:r>
        <w:rPr>
          <w:rFonts w:ascii="Arial" w:cs="Arial" w:eastAsia="Arial" w:hAnsi="Arial"/>
          <w:color w:val="1A1A1A"/>
          <w:sz w:val="24"/>
          <w:szCs w:val="24"/>
        </w:rPr>
        <w:t xml:space="preserve">AI and ML model development, training, and continuous improvement pipeline.</w:t>
      </w:r>
    </w:p>
    <w:p>
      <w:pPr>
        <w:pStyle w:val="ListParagraph"/>
        <w:numPr>
          <w:ilvl w:val="0"/>
          <w:numId w:val="2"/>
        </w:numPr>
        <w:spacing w:after="80" w:before="40"/>
      </w:pPr>
      <w:r>
        <w:rPr>
          <w:rFonts w:ascii="Arial" w:cs="Arial" w:eastAsia="Arial" w:hAnsi="Arial"/>
          <w:color w:val="1A1A1A"/>
          <w:sz w:val="24"/>
          <w:szCs w:val="24"/>
        </w:rPr>
        <w:t xml:space="preserve">IoT hardware specification, integration, and field support.</w:t>
      </w:r>
    </w:p>
    <w:p>
      <w:pPr>
        <w:pStyle w:val="ListParagraph"/>
        <w:numPr>
          <w:ilvl w:val="0"/>
          <w:numId w:val="2"/>
        </w:numPr>
        <w:spacing w:after="80" w:before="40"/>
      </w:pPr>
      <w:r>
        <w:rPr>
          <w:rFonts w:ascii="Arial" w:cs="Arial" w:eastAsia="Arial" w:hAnsi="Arial"/>
          <w:color w:val="1A1A1A"/>
          <w:sz w:val="24"/>
          <w:szCs w:val="24"/>
        </w:rPr>
        <w:t xml:space="preserve">GIS platform, dashboard development, and user experience design.</w:t>
      </w:r>
    </w:p>
    <w:p>
      <w:pPr>
        <w:pStyle w:val="ListParagraph"/>
        <w:numPr>
          <w:ilvl w:val="0"/>
          <w:numId w:val="2"/>
        </w:numPr>
        <w:spacing w:after="80" w:before="40"/>
      </w:pPr>
      <w:r>
        <w:rPr>
          <w:rFonts w:ascii="Arial" w:cs="Arial" w:eastAsia="Arial" w:hAnsi="Arial"/>
          <w:color w:val="1A1A1A"/>
          <w:sz w:val="24"/>
          <w:szCs w:val="24"/>
        </w:rPr>
        <w:t xml:space="preserve">Security, compliance, and data integrity architecture.</w:t>
      </w:r>
    </w:p>
    <w:p>
      <w:pPr>
        <w:spacing w:after="80" w:before="0"/>
      </w:pPr>
      <w:r>
        <w:t xml:space="preserve"/>
      </w:r>
    </w:p>
    <w:p>
      <w:pPr>
        <w:pStyle w:val="Heading2"/>
        <w:spacing w:after="160" w:before="360"/>
      </w:pPr>
      <w:r>
        <w:rPr>
          <w:rFonts w:ascii="Arial" w:cs="Arial" w:eastAsia="Arial" w:hAnsi="Arial"/>
          <w:b/>
          <w:bCs/>
          <w:color w:val="0D1F2D"/>
          <w:sz w:val="28"/>
          <w:szCs w:val="28"/>
        </w:rPr>
        <w:t xml:space="preserve">10.3 Key Hires — Funded from Seed Raise</w:t>
      </w:r>
    </w:p>
    <w:p>
      <w:pPr>
        <w:spacing w:after="160" w:before="0"/>
      </w:pPr>
      <w:r>
        <w:rPr>
          <w:rFonts w:ascii="Arial" w:cs="Arial" w:eastAsia="Arial" w:hAnsi="Arial"/>
          <w:color w:val="1A1A1A"/>
          <w:sz w:val="24"/>
          <w:szCs w:val="24"/>
        </w:rPr>
        <w:t xml:space="preserve">The $1.5 million seed raise is designed to fund the following six critical hires in the first 12 months, alongside hardware deployment and platform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Platform Engineering Lead</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Senior full-stack engineer with cloud infrastructure experience. Responsible for platform stability, feature delivery, and technical team management as the engineering function scales.</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AI/ML Data Scientist — NTL Specialisation</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Specialist in time-series anomaly detection and supervised classification. Responsible for model development, retraining pipeline, and false-positive reduction programme.</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IoT Hardware Engineer</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Embedded systems and IoT connectivity specialist. Responsible for sensor specification, firmware, LoRaWAN network management, and field hardware support.</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GIS &amp; Geospatial Analyst</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Specialist in utility network GIS data, spatial loss analysis, and mapping interface development. Bridges utility network data and the platform's geographic intelligence layer.</w:t>
            </w:r>
          </w:p>
        </w:tc>
      </w:tr>
      <w:tr>
        <w:tc>
          <w:tcPr>
            <w:tcW w:type="dxa" w:w="28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Utility Partnerships Manager — Francophone</w:t>
            </w:r>
          </w:p>
        </w:tc>
        <w:tc>
          <w:tcPr>
            <w:tcW w:type="dxa" w:w="65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Bilingual (French/English) commercial manager with West African utility sector experience. Responsible for Francophone utility pipeline development across Senegal, Benin, Guinea, and Côte d'Ivoire.</w:t>
            </w:r>
          </w:p>
        </w:tc>
      </w:tr>
      <w:t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DFI Grants &amp; Reporting Specialist</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Specialist in AfDB, IFC, EU, and AFD programme structures and reporting requirements. Responsible for grant application management, impact reporting, and DFI relationship maintenance.</w:t>
            </w:r>
          </w:p>
        </w:tc>
      </w:tr>
    </w:tbl>
    <w:p>
      <w:pPr>
        <w:spacing w:after="80" w:before="0"/>
      </w:pPr>
      <w:r>
        <w:t xml:space="preserve"/>
      </w:r>
    </w:p>
    <w:p>
      <w:pPr>
        <w:pStyle w:val="Heading2"/>
        <w:spacing w:after="160" w:before="360"/>
      </w:pPr>
      <w:r>
        <w:rPr>
          <w:rFonts w:ascii="Arial" w:cs="Arial" w:eastAsia="Arial" w:hAnsi="Arial"/>
          <w:b/>
          <w:bCs/>
          <w:color w:val="0D1F2D"/>
          <w:sz w:val="28"/>
          <w:szCs w:val="28"/>
        </w:rPr>
        <w:t xml:space="preserve">10.4 Governance Structure</w:t>
      </w:r>
    </w:p>
    <w:p>
      <w:pPr>
        <w:spacing w:after="160" w:before="0"/>
      </w:pPr>
      <w:r>
        <w:rPr>
          <w:rFonts w:ascii="Arial" w:cs="Arial" w:eastAsia="Arial" w:hAnsi="Arial"/>
          <w:color w:val="1A1A1A"/>
          <w:sz w:val="24"/>
          <w:szCs w:val="24"/>
        </w:rPr>
        <w:t xml:space="preserve">GridIQ West Africa is governed by a joint venture board comprising two representatives from each founding partner (six members total), with provision for one independent board observer seat for a senior DFI partner upon first programme close. Decisions on material commercial contracts, budget allocation, and strategic direction require a majority vote of the full board. A Technical Advisory Committee comprising independent energy sector specialists provides external review of platform performance and market strategy on a semi-annual basis.</w:t>
      </w:r>
    </w:p>
    <w:p>
      <w:pPr>
        <w:pStyle w:val="Heading2"/>
        <w:spacing w:after="160" w:before="360"/>
      </w:pPr>
      <w:r>
        <w:rPr>
          <w:rFonts w:ascii="Arial" w:cs="Arial" w:eastAsia="Arial" w:hAnsi="Arial"/>
          <w:b/>
          <w:bCs/>
          <w:color w:val="0D1F2D"/>
          <w:sz w:val="28"/>
          <w:szCs w:val="28"/>
        </w:rPr>
        <w:t xml:space="preserve">10.5 Advisors and Institutional Relationships</w:t>
      </w:r>
    </w:p>
    <w:p>
      <w:pPr>
        <w:spacing w:after="160" w:before="0"/>
      </w:pPr>
      <w:r>
        <w:rPr>
          <w:rFonts w:ascii="Arial" w:cs="Arial" w:eastAsia="Arial" w:hAnsi="Arial"/>
          <w:color w:val="1A1A1A"/>
          <w:sz w:val="24"/>
          <w:szCs w:val="24"/>
        </w:rPr>
        <w:t xml:space="preserve">GridIQ's go-to-market strategy is supported by a network of advisors and institutional relationships across the ECOWAS energy sector. Specific relationships include programme officers at the relevant country offices of the African Development Bank and the European Union Energy Access programmes; technical advisors with operational experience in ECOWAS utility revenue protection; and legal advisors in Sierra Leone, Ghana, and Senegal with expertise in utility sector regulatory frameworks and MOU negotiation.</w:t>
      </w:r>
    </w:p>
    <w:p>
      <w:pPr>
        <w:pStyle w:val="Heading2"/>
        <w:spacing w:after="160" w:before="360"/>
      </w:pPr>
      <w:r>
        <w:rPr>
          <w:rFonts w:ascii="Arial" w:cs="Arial" w:eastAsia="Arial" w:hAnsi="Arial"/>
          <w:b/>
          <w:bCs/>
          <w:color w:val="0D1F2D"/>
          <w:sz w:val="28"/>
          <w:szCs w:val="28"/>
        </w:rPr>
        <w:t xml:space="preserve">10.6 Risk Register — Full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5360"/>
      </w:tblGrid>
      <w:tr>
        <w:tc>
          <w:tcPr>
            <w:tcW w:type="dxa" w:w="20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Risk</w:t>
            </w:r>
          </w:p>
        </w:tc>
        <w:tc>
          <w:tcPr>
            <w:tcW w:type="dxa" w:w="10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Impact</w:t>
            </w:r>
          </w:p>
        </w:tc>
        <w:tc>
          <w:tcPr>
            <w:tcW w:type="dxa" w:w="100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Category</w:t>
            </w:r>
          </w:p>
        </w:tc>
        <w:tc>
          <w:tcPr>
            <w:tcW w:type="dxa" w:w="5360"/>
            <w:tcBorders>
              <w:top w:val="single" w:color="0D9E75" w:sz="6"/>
              <w:left w:val="single" w:color="0D9E75" w:sz="6"/>
              <w:bottom w:val="single" w:color="0D9E75" w:sz="6"/>
              <w:right w:val="single" w:color="0D9E75" w:sz="6"/>
            </w:tcBorders>
            <w:shd w:fill="085041" w:val="clear"/>
            <w:tcMar>
              <w:top w:type="dxa" w:w="100"/>
              <w:left w:type="dxa" w:w="100"/>
              <w:bottom w:type="dxa" w:w="100"/>
              <w:right w:type="dxa" w:w="100"/>
            </w:tcMar>
          </w:tcPr>
          <w:p>
            <w:pPr>
              <w:spacing w:after="0" w:before="0"/>
              <w:jc w:val="center"/>
            </w:pPr>
            <w:r>
              <w:rPr>
                <w:rFonts w:ascii="Arial" w:cs="Arial" w:eastAsia="Arial" w:hAnsi="Arial"/>
                <w:b/>
                <w:bCs/>
                <w:color w:val="FFFFFF"/>
                <w:sz w:val="20"/>
                <w:szCs w:val="20"/>
              </w:rPr>
              <w:t xml:space="preserve">Mitigation</w:t>
            </w:r>
          </w:p>
        </w:tc>
      </w:tr>
      <w:tr>
        <w:tc>
          <w:tcPr>
            <w:tcW w:type="dxa" w:w="2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Enforcement gap</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jc w:val="center"/>
            </w:pPr>
            <w:r>
              <w:rPr>
                <w:rFonts w:ascii="Arial" w:cs="Arial" w:eastAsia="Arial" w:hAnsi="Arial"/>
                <w:b/>
                <w:bCs/>
                <w:color w:val="D85A30"/>
                <w:sz w:val="19"/>
                <w:szCs w:val="19"/>
              </w:rPr>
              <w:t xml:space="preserve">HIGH</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Operational</w:t>
            </w:r>
          </w:p>
        </w:tc>
        <w:tc>
          <w:tcPr>
            <w:tcW w:type="dxa" w:w="53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Enforcement MOU with Ministry of Energy embedded in every deployment as a contractual precondition. Community regularisation programme offered to anomalous accounts before enforcement action, reducing confrontation risk and increasing voluntary compliance rates.</w:t>
            </w:r>
          </w:p>
        </w:tc>
      </w:tr>
      <w:tr>
        <w:tc>
          <w:tcPr>
            <w:tcW w:type="dxa" w:w="2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Internal utility staff corruption</w:t>
            </w:r>
          </w:p>
        </w:tc>
        <w:tc>
          <w:tcPr>
            <w:tcW w:type="dxa" w:w="1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D85A30"/>
                <w:sz w:val="19"/>
                <w:szCs w:val="19"/>
              </w:rPr>
              <w:t xml:space="preserve">HIGH</w:t>
            </w:r>
          </w:p>
        </w:tc>
        <w:tc>
          <w:tcPr>
            <w:tcW w:type="dxa" w:w="1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Integrity</w:t>
            </w:r>
          </w:p>
        </w:tc>
        <w:tc>
          <w:tcPr>
            <w:tcW w:type="dxa" w:w="53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Two-tier alert access control: field alerts visible only to field inspectors; internal fraud flags visible only to MD/CEO and independent auditor. Immutable audit log prevents alert suppression. Third-party auditor validates recovery data quarterly.</w:t>
            </w:r>
          </w:p>
        </w:tc>
      </w:tr>
      <w:tr>
        <w:tc>
          <w:tcPr>
            <w:tcW w:type="dxa" w:w="2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Procurement cycle delays</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jc w:val="center"/>
            </w:pPr>
            <w:r>
              <w:rPr>
                <w:rFonts w:ascii="Arial" w:cs="Arial" w:eastAsia="Arial" w:hAnsi="Arial"/>
                <w:b/>
                <w:bCs/>
                <w:color w:val="EF9F27"/>
                <w:sz w:val="19"/>
                <w:szCs w:val="19"/>
              </w:rPr>
              <w:t xml:space="preserve">MEDIUM</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Commercial</w:t>
            </w:r>
          </w:p>
        </w:tc>
        <w:tc>
          <w:tcPr>
            <w:tcW w:type="dxa" w:w="53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Pilot deployments structured as non-procurement technical advisory under DFI TA frameworks, bypassing standard 18–36 month tender processes. MOU signed at Ministry level ensures continuity across utility leadership changes.</w:t>
            </w:r>
          </w:p>
        </w:tc>
      </w:tr>
      <w:tr>
        <w:tc>
          <w:tcPr>
            <w:tcW w:type="dxa" w:w="2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AI model degradation over time</w:t>
            </w:r>
          </w:p>
        </w:tc>
        <w:tc>
          <w:tcPr>
            <w:tcW w:type="dxa" w:w="1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EF9F27"/>
                <w:sz w:val="19"/>
                <w:szCs w:val="19"/>
              </w:rPr>
              <w:t xml:space="preserve">MEDIUM</w:t>
            </w:r>
          </w:p>
        </w:tc>
        <w:tc>
          <w:tcPr>
            <w:tcW w:type="dxa" w:w="1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Technical</w:t>
            </w:r>
          </w:p>
        </w:tc>
        <w:tc>
          <w:tcPr>
            <w:tcW w:type="dxa" w:w="53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Confirmed field investigation outcomes feed monthly model retraining pipeline. False-positive rate tracked and reported to utility board. Model accuracy KPI included in quarterly SLA. Continuous improvement embedded in SaaS contract terms.</w:t>
            </w:r>
          </w:p>
        </w:tc>
      </w:tr>
      <w:tr>
        <w:tc>
          <w:tcPr>
            <w:tcW w:type="dxa" w:w="2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Below cost-recovery tariff levels</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jc w:val="center"/>
            </w:pPr>
            <w:r>
              <w:rPr>
                <w:rFonts w:ascii="Arial" w:cs="Arial" w:eastAsia="Arial" w:hAnsi="Arial"/>
                <w:b/>
                <w:bCs/>
                <w:color w:val="EF9F27"/>
                <w:sz w:val="19"/>
                <w:szCs w:val="19"/>
              </w:rPr>
              <w:t xml:space="preserve">MEDIUM</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Macro-political</w:t>
            </w:r>
          </w:p>
        </w:tc>
        <w:tc>
          <w:tcPr>
            <w:tcW w:type="dxa" w:w="53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Revenue recovery modelled against prevailing tariff explicitly, not assumed cost-reflective rates. Recovery framed politically as loss-reduction (infrastructure efficiency) rather than billing enforcement — reducing political sensitivity.</w:t>
            </w:r>
          </w:p>
        </w:tc>
      </w:tr>
      <w:tr>
        <w:tc>
          <w:tcPr>
            <w:tcW w:type="dxa" w:w="2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Pilot utility leadership change</w:t>
            </w:r>
          </w:p>
        </w:tc>
        <w:tc>
          <w:tcPr>
            <w:tcW w:type="dxa" w:w="1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D85A30"/>
                <w:sz w:val="19"/>
                <w:szCs w:val="19"/>
              </w:rPr>
              <w:t xml:space="preserve">HIGH</w:t>
            </w:r>
          </w:p>
        </w:tc>
        <w:tc>
          <w:tcPr>
            <w:tcW w:type="dxa" w:w="1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Governance</w:t>
            </w:r>
          </w:p>
        </w:tc>
        <w:tc>
          <w:tcPr>
            <w:tcW w:type="dxa" w:w="53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MOU signed at Ministry level, not just utility CEO, ensuring political continuity. Contractual data portability provisions prevent data lock-in by departing leadership. Parallel backup pilot utility pipeline maintained at all times.</w:t>
            </w:r>
          </w:p>
        </w:tc>
      </w:tr>
      <w:tr>
        <w:tc>
          <w:tcPr>
            <w:tcW w:type="dxa" w:w="2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Telecom / Chinese competitor entry</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jc w:val="center"/>
            </w:pPr>
            <w:r>
              <w:rPr>
                <w:rFonts w:ascii="Arial" w:cs="Arial" w:eastAsia="Arial" w:hAnsi="Arial"/>
                <w:b/>
                <w:bCs/>
                <w:color w:val="EF9F27"/>
                <w:sz w:val="19"/>
                <w:szCs w:val="19"/>
              </w:rPr>
              <w:t xml:space="preserve">MEDIUM</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Competitive</w:t>
            </w:r>
          </w:p>
        </w:tc>
        <w:tc>
          <w:tcPr>
            <w:tcW w:type="dxa" w:w="53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Token-stream AI training data, ECOWAS EIS API integration, and community enforcement model constitute switching costs that cannot be replicated without full re-deployment. Utility data assets accrue to GridIQ over time — not portable to competitors.</w:t>
            </w:r>
          </w:p>
        </w:tc>
      </w:tr>
      <w:tr>
        <w:tc>
          <w:tcPr>
            <w:tcW w:type="dxa" w:w="2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Community resistance to enforcement</w:t>
            </w:r>
          </w:p>
        </w:tc>
        <w:tc>
          <w:tcPr>
            <w:tcW w:type="dxa" w:w="1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jc w:val="center"/>
            </w:pPr>
            <w:r>
              <w:rPr>
                <w:rFonts w:ascii="Arial" w:cs="Arial" w:eastAsia="Arial" w:hAnsi="Arial"/>
                <w:b/>
                <w:bCs/>
                <w:color w:val="D85A30"/>
                <w:sz w:val="19"/>
                <w:szCs w:val="19"/>
              </w:rPr>
              <w:t xml:space="preserve">HIGH</w:t>
            </w:r>
          </w:p>
        </w:tc>
        <w:tc>
          <w:tcPr>
            <w:tcW w:type="dxa" w:w="100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Social</w:t>
            </w:r>
          </w:p>
        </w:tc>
        <w:tc>
          <w:tcPr>
            <w:tcW w:type="dxa" w:w="5360"/>
            <w:tcBorders>
              <w:top w:val="single" w:color="DDDDDD" w:sz="6"/>
              <w:left w:val="single" w:color="DDDDDD" w:sz="6"/>
              <w:bottom w:val="single" w:color="DDDDDD" w:sz="6"/>
              <w:right w:val="single" w:color="DDDDDD" w:sz="6"/>
            </w:tcBorders>
            <w:shd w:fill="FFFFFF"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Regularisation Programme is a mandatory deployment component: customers with anomalous consumption profiles are offered a legal, subsidised connection pathway before any enforcement action. Community liaison officers engaged on contract from local civil society.</w:t>
            </w:r>
          </w:p>
        </w:tc>
      </w:tr>
      <w:tr>
        <w:tc>
          <w:tcPr>
            <w:tcW w:type="dxa" w:w="2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b/>
                <w:bCs/>
                <w:color w:val="0D1F2D"/>
                <w:sz w:val="20"/>
                <w:szCs w:val="20"/>
              </w:rPr>
              <w:t xml:space="preserve">Cybersecurity / data integrity</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jc w:val="center"/>
            </w:pPr>
            <w:r>
              <w:rPr>
                <w:rFonts w:ascii="Arial" w:cs="Arial" w:eastAsia="Arial" w:hAnsi="Arial"/>
                <w:b/>
                <w:bCs/>
                <w:color w:val="EF9F27"/>
                <w:sz w:val="19"/>
                <w:szCs w:val="19"/>
              </w:rPr>
              <w:t xml:space="preserve">MEDIUM</w:t>
            </w:r>
          </w:p>
        </w:tc>
        <w:tc>
          <w:tcPr>
            <w:tcW w:type="dxa" w:w="100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64748B"/>
                <w:sz w:val="19"/>
                <w:szCs w:val="19"/>
              </w:rPr>
              <w:t xml:space="preserve">Technical</w:t>
            </w:r>
          </w:p>
        </w:tc>
        <w:tc>
          <w:tcPr>
            <w:tcW w:type="dxa" w:w="5360"/>
            <w:tcBorders>
              <w:top w:val="single" w:color="DDDDDD" w:sz="6"/>
              <w:left w:val="single" w:color="DDDDDD" w:sz="6"/>
              <w:bottom w:val="single" w:color="DDDDDD" w:sz="6"/>
              <w:right w:val="single" w:color="DDDDDD" w:sz="6"/>
            </w:tcBorders>
            <w:shd w:fill="F2F4F3" w:val="clear"/>
            <w:tcMar>
              <w:top w:type="dxa" w:w="80"/>
              <w:left w:type="dxa" w:w="100"/>
              <w:bottom w:type="dxa" w:w="80"/>
              <w:right w:type="dxa" w:w="100"/>
            </w:tcMar>
          </w:tcPr>
          <w:p>
            <w:pPr>
              <w:spacing w:after="0" w:before="0"/>
            </w:pPr>
            <w:r>
              <w:rPr>
                <w:rFonts w:ascii="Arial" w:cs="Arial" w:eastAsia="Arial" w:hAnsi="Arial"/>
                <w:color w:val="1A1A1A"/>
                <w:sz w:val="20"/>
                <w:szCs w:val="20"/>
              </w:rPr>
              <w:t xml:space="preserve">End-to-end encryption on all sensor-to-cloud data flows. Tamper-detection hardware on IoT nodes. Immutable audit log with cryptographic signatures. DFI-standard data integrity verification before each EIS submission. Annual third-party security audit.</w:t>
            </w:r>
          </w:p>
        </w:tc>
      </w:tr>
    </w:tbl>
    <w:p>
      <w:pPr>
        <w:spacing w:after="80" w:before="0"/>
      </w:pPr>
      <w:r>
        <w:t xml:space="preserve"/>
      </w:r>
    </w:p>
    <w:p>
      <w:pPr>
        <w:spacing w:after="80" w:before="0"/>
      </w:pPr>
      <w:r>
        <w:t xml:space="preserve"/>
      </w:r>
    </w:p>
    <w:p>
      <w:pPr>
        <w:pStyle w:val="Heading2"/>
        <w:spacing w:after="160" w:before="360"/>
      </w:pPr>
      <w:r>
        <w:rPr>
          <w:rFonts w:ascii="Arial" w:cs="Arial" w:eastAsia="Arial" w:hAnsi="Arial"/>
          <w:b/>
          <w:bCs/>
          <w:color w:val="0D1F2D"/>
          <w:sz w:val="28"/>
          <w:szCs w:val="28"/>
        </w:rPr>
        <w:t xml:space="preserve">10.7 Use of Funds — $1.5M Seed Raise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IoT Hardware &amp; Deployment (28%)</w:t>
            </w:r>
          </w:p>
        </w:tc>
        <w:tc>
          <w:tcPr>
            <w:tcW w:type="dxa" w:w="63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$420,000 — 10 sensors × 2 pilot deployments; LoRaWAN gateways; installation and commissioning; field testing and calibration.</w:t>
            </w:r>
          </w:p>
        </w:tc>
      </w:tr>
      <w:tr>
        <w:tc>
          <w:tcPr>
            <w:tcW w:type="dxa" w:w="3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Platform Engineering (24%)</w:t>
            </w:r>
          </w:p>
        </w:tc>
        <w:tc>
          <w:tcPr>
            <w:tcW w:type="dxa" w:w="6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$360,000 — 12-month full-stack development; cloud infrastructure; CI/CD pipeline; QA and security hardening.</w:t>
            </w:r>
          </w:p>
        </w:tc>
      </w:tr>
      <w:tr>
        <w:tc>
          <w:tcPr>
            <w:tcW w:type="dxa" w:w="30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AI Model Development (18%)</w:t>
            </w:r>
          </w:p>
        </w:tc>
        <w:tc>
          <w:tcPr>
            <w:tcW w:type="dxa" w:w="63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$270,000 — Token-stream NTL model; predictive maintenance model; retraining pipeline; explainability layer; false-positive tracking.</w:t>
            </w:r>
          </w:p>
        </w:tc>
      </w:tr>
      <w:tr>
        <w:tc>
          <w:tcPr>
            <w:tcW w:type="dxa" w:w="3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Operations &amp; Field Staff (16%)</w:t>
            </w:r>
          </w:p>
        </w:tc>
        <w:tc>
          <w:tcPr>
            <w:tcW w:type="dxa" w:w="6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$240,000 — Community liaison officers; field team training; local partnership engagement; regularisation programme administration.</w:t>
            </w:r>
          </w:p>
        </w:tc>
      </w:tr>
      <w:tr>
        <w:tc>
          <w:tcPr>
            <w:tcW w:type="dxa" w:w="300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Regulatory &amp; Legal (8%)</w:t>
            </w:r>
          </w:p>
        </w:tc>
        <w:tc>
          <w:tcPr>
            <w:tcW w:type="dxa" w:w="6360"/>
            <w:tcBorders>
              <w:top w:val="single" w:color="DDDDDD" w:sz="6"/>
              <w:left w:val="single" w:color="DDDDDD" w:sz="6"/>
              <w:bottom w:val="single" w:color="DDDDDD" w:sz="6"/>
              <w:right w:val="single" w:color="DDDDDD" w:sz="6"/>
            </w:tcBorders>
            <w:shd w:fill="F2F4F3"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$120,000 — Enforcement MOU negotiation; utility data agreements; IP registration; data governance framework; security certification.</w:t>
            </w:r>
          </w:p>
        </w:tc>
      </w:tr>
      <w:tr>
        <w:tc>
          <w:tcPr>
            <w:tcW w:type="dxa" w:w="3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b/>
                <w:bCs/>
                <w:color w:val="0D1F2D"/>
                <w:sz w:val="22"/>
                <w:szCs w:val="22"/>
              </w:rPr>
              <w:t xml:space="preserve">Working Capital (6%)</w:t>
            </w:r>
          </w:p>
        </w:tc>
        <w:tc>
          <w:tcPr>
            <w:tcW w:type="dxa" w:w="6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$90,000 — 18-month runway contingency; travel and representation; market intelligence and competitive monitoring.</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il" w:color="FFFFFF" w:sz="0"/>
              <w:left w:val="nil" w:color="FFFFFF" w:sz="0"/>
              <w:bottom w:val="nil" w:color="FFFFFF" w:sz="0"/>
              <w:right w:val="nil" w:color="FFFFFF" w:sz="0"/>
            </w:tcBorders>
            <w:shd w:fill="0D9E75" w:val="clear"/>
          </w:tcPr>
          <w:p>
            <w:pPr>
              <w:spacing w:after="160" w:before="0"/>
            </w:pPr>
            <w:r>
              <w:rPr>
                <w:rFonts w:ascii="Arial" w:cs="Arial" w:eastAsia="Arial" w:hAnsi="Arial"/>
                <w:color w:val="1A1A1A"/>
                <w:sz w:val="24"/>
                <w:szCs w:val="24"/>
              </w:rPr>
              <w:t xml:space="preserve"/>
            </w:r>
          </w:p>
        </w:tc>
        <w:tc>
          <w:tcPr>
            <w:tcW w:type="dxa" w:w="9200"/>
            <w:tcBorders>
              <w:top w:val="nil" w:color="FFFFFF" w:sz="0"/>
              <w:left w:val="nil" w:color="FFFFFF" w:sz="0"/>
              <w:bottom w:val="nil" w:color="FFFFFF" w:sz="0"/>
              <w:right w:val="nil" w:color="FFFFFF" w:sz="0"/>
            </w:tcBorders>
            <w:shd w:fill="F2F4F3" w:val="clear"/>
            <w:tcMar>
              <w:top w:type="dxa" w:w="120"/>
              <w:left w:type="dxa" w:w="180"/>
              <w:bottom w:type="dxa" w:w="120"/>
              <w:right w:type="dxa" w:w="120"/>
            </w:tcMar>
          </w:tcPr>
          <w:p>
            <w:pPr>
              <w:spacing w:after="0" w:before="0"/>
            </w:pPr>
            <w:r>
              <w:rPr>
                <w:rFonts w:ascii="Arial" w:cs="Arial" w:eastAsia="Arial" w:hAnsi="Arial"/>
                <w:color w:val="0D1F2D"/>
                <w:sz w:val="23"/>
                <w:szCs w:val="23"/>
              </w:rPr>
              <w:t xml:space="preserve">West Africa's grid loss crisis is the region's largest untapped revenue recovery opportunity. GridIQ makes existing generation commercially viable — without a single additional megawatt installed.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E75" w:sz="6"/>
      </w:pBdr>
      <w:spacing w:after="0" w:before="80"/>
    </w:pPr>
    <w:r>
      <w:rPr>
        <w:rFonts w:ascii="Arial" w:cs="Arial" w:eastAsia="Arial" w:hAnsi="Arial"/>
        <w:color w:val="64748B"/>
        <w:sz w:val="16"/>
        <w:szCs w:val="16"/>
      </w:rPr>
      <w:t xml:space="preserve">RenewBiz  ·  AFCEN  ·  Smart Innovation</w:t>
    </w:r>
    <w:r>
      <w:rPr>
        <w:rFonts w:ascii="Arial" w:cs="Arial" w:eastAsia="Arial" w:hAnsi="Arial"/>
        <w:color w:val="64748B"/>
        <w:sz w:val="16"/>
        <w:szCs w:val="16"/>
      </w:rPr>
      <w:t xml:space="preserve">   |   Page </w:t>
    </w:r>
    <w:r>
      <w:rPr>
        <w:rFonts w:ascii="Arial" w:cs="Arial" w:eastAsia="Arial" w:hAnsi="Arial"/>
        <w:color w:val="0D9E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E75" w:sz="6"/>
      </w:pBdr>
      <w:tabs>
        <w:tab w:val="right" w:pos="9360"/>
      </w:tabs>
      <w:spacing w:after="80" w:before="0"/>
    </w:pPr>
    <w:r>
      <w:rPr>
        <w:rFonts w:ascii="Arial" w:cs="Arial" w:eastAsia="Arial" w:hAnsi="Arial"/>
        <w:color w:val="64748B"/>
        <w:sz w:val="18"/>
        <w:szCs w:val="18"/>
      </w:rPr>
      <w:t xml:space="preserve">GridIQ West Africa — Platform Strategy Brief</w:t>
    </w:r>
    <w:r>
      <w:rPr>
        <w:rFonts w:ascii="Arial" w:cs="Arial" w:eastAsia="Arial" w:hAnsi="Arial"/>
        <w:b/>
        <w:bCs/>
        <w:color w:val="0D9E7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85041"/>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D1F2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2026-05-31T09:47:01.234Z</dcterms:created>
  <dcterms:modified xsi:type="dcterms:W3CDTF">2026-05-31T09:47:01.234Z</dcterms:modified>
</cp:coreProperties>
</file>

<file path=docProps/custom.xml><?xml version="1.0" encoding="utf-8"?>
<Properties xmlns="http://schemas.openxmlformats.org/officeDocument/2006/custom-properties" xmlns:vt="http://schemas.openxmlformats.org/officeDocument/2006/docPropsVTypes"/>
</file>