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ind w:left="1247" w:right="1247"/>
        <w:jc w:val="left"/>
        <w:shd w:val="clear" w:color="auto" w:fill="FAF6EC"/>
      </w:pPr>
    </w:p>
    <w:p>
      <w:pPr>
        <w:spacing w:before="1200" w:after="40"/>
        <w:ind w:left="1247" w:right="1247"/>
        <w:jc w:val="left"/>
        <w:shd w:val="clear" w:color="auto" w:fill="FAF6EC"/>
      </w:pPr>
      <w:r>
        <w:rPr>
          <w:rFonts w:ascii="Calibri" w:hAnsi="Calibri" w:cs="Calibri"/>
          <w:b/>
          <w:i w:val="0"/>
          <w:caps/>
          <w:color w:val="C9A227"/>
          <w:sz w:val="22"/>
        </w:rPr>
        <w:t>AURUMX</w:t>
      </w:r>
      <w:r>
        <w:rPr>
          <w:rFonts w:ascii="Calibri" w:hAnsi="Calibri" w:cs="Calibri"/>
          <w:b w:val="0"/>
          <w:i w:val="0"/>
          <w:caps/>
          <w:color w:val="6B6B6B"/>
          <w:sz w:val="22"/>
        </w:rPr>
        <w:t xml:space="preserve">  •  DOCUMENTATION SUITE v1.0</w:t>
      </w:r>
    </w:p>
    <w:p>
      <w:pPr>
        <w:spacing w:before="40" w:after="1200"/>
        <w:ind w:left="1247" w:right="1247"/>
        <w:jc w:val="left"/>
        <w:shd w:val="clear" w:color="auto" w:fill="FAF6EC"/>
        <w:pBdr>
          <w:bottom w:val="single" w:sz="18" w:space="4" w:color="C9A227"/>
        </w:pBdr>
      </w:pPr>
    </w:p>
    <w:p>
      <w:pPr>
        <w:spacing w:before="0" w:after="360" w:line="288" w:lineRule="auto"/>
        <w:ind w:left="1247" w:right="1247"/>
        <w:jc w:val="left"/>
        <w:shd w:val="clear" w:color="auto" w:fill="FAF6EC"/>
      </w:pPr>
      <w:r>
        <w:rPr>
          <w:rFonts w:ascii="Calibri" w:hAnsi="Calibri" w:cs="Calibri"/>
          <w:b/>
          <w:i w:val="0"/>
          <w:caps/>
          <w:color w:val="8B6F12"/>
          <w:sz w:val="28"/>
        </w:rPr>
        <w:t>DOCUMENT 01</w:t>
      </w:r>
    </w:p>
    <w:p>
      <w:pPr>
        <w:spacing w:after="160" w:line="252" w:lineRule="auto"/>
        <w:ind w:left="1247" w:right="1247"/>
        <w:jc w:val="left"/>
        <w:shd w:val="clear" w:color="auto" w:fill="FAF6EC"/>
      </w:pPr>
      <w:r>
        <w:rPr>
          <w:rFonts w:ascii="Calibri" w:hAnsi="Calibri" w:cs="Calibri"/>
          <w:b/>
          <w:i w:val="0"/>
          <w:color w:val="1A1A1A"/>
          <w:sz w:val="76"/>
        </w:rPr>
        <w:t>Project Charter</w:t>
      </w:r>
    </w:p>
    <w:p>
      <w:pPr>
        <w:spacing w:before="0" w:after="400"/>
        <w:ind w:left="1247" w:right="6803"/>
        <w:shd w:val="clear" w:color="auto" w:fill="FAF6EC"/>
        <w:pBdr>
          <w:bottom w:val="single" w:sz="24" w:space="1" w:color="C9A227"/>
        </w:pBdr>
      </w:pPr>
    </w:p>
    <w:p>
      <w:pPr>
        <w:spacing w:after="720" w:line="336" w:lineRule="auto"/>
        <w:ind w:left="1247" w:right="2268"/>
        <w:jc w:val="left"/>
        <w:shd w:val="clear" w:color="auto" w:fill="FAF6EC"/>
      </w:pPr>
      <w:r>
        <w:rPr>
          <w:rFonts w:ascii="Calibri" w:hAnsi="Calibri" w:cs="Calibri"/>
          <w:b w:val="0"/>
          <w:i/>
          <w:color w:val="4A4A4A"/>
          <w:sz w:val="26"/>
        </w:rPr>
        <w:t>Authorization, scope, budget, RACI, risks, and success criteria for the AurumX platform.</w:t>
      </w:r>
    </w:p>
    <w:p>
      <w:pPr>
        <w:spacing w:after="1200"/>
        <w:ind w:left="1247" w:right="1247"/>
        <w:jc w:val="left"/>
        <w:shd w:val="clear" w:color="auto" w:fill="FAF6EC"/>
      </w:pPr>
      <w:r>
        <w:rPr>
          <w:rFonts w:ascii="Calibri" w:hAnsi="Calibri" w:cs="Calibri"/>
          <w:b/>
          <w:i w:val="0"/>
          <w:caps/>
          <w:color w:val="6B6B6B"/>
          <w:sz w:val="18"/>
        </w:rPr>
        <w:t xml:space="preserve">SCOPE  </w:t>
      </w:r>
      <w:r>
        <w:rPr>
          <w:rFonts w:ascii="Calibri" w:hAnsi="Calibri" w:cs="Calibri"/>
          <w:b w:val="0"/>
          <w:i w:val="0"/>
          <w:color w:val="2D2D2D"/>
          <w:sz w:val="20"/>
        </w:rPr>
        <w:t>Governance • Scope • Budget • RACI • Risks • KPIs</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60"/>
        <w:ind w:left="1247" w:right="1247"/>
        <w:shd w:val="clear" w:color="auto" w:fill="FAF6EC"/>
        <w:pBdr>
          <w:top w:val="single" w:sz="8" w:space="4" w:color="C9A227"/>
        </w:pBdr>
      </w:pPr>
    </w:p>
    <w:p>
      <w:pPr>
        <w:spacing w:after="40"/>
        <w:ind w:left="1247" w:right="1247"/>
        <w:shd w:val="clear" w:color="auto" w:fill="FAF6EC"/>
      </w:pPr>
      <w:r>
        <w:rPr>
          <w:rFonts w:ascii="Calibri" w:hAnsi="Calibri" w:cs="Calibri"/>
          <w:b/>
          <w:i w:val="0"/>
          <w:caps/>
          <w:color w:val="6B6B6B"/>
          <w:sz w:val="16"/>
        </w:rPr>
        <w:t xml:space="preserve">SPONSOR  </w:t>
      </w:r>
      <w:r>
        <w:rPr>
          <w:rFonts w:ascii="Calibri" w:hAnsi="Calibri" w:cs="Calibri"/>
          <w:b w:val="0"/>
          <w:i w:val="0"/>
          <w:color w:val="1A1A1A"/>
          <w:sz w:val="20"/>
        </w:rPr>
        <w:t>Ghana Chamber of Gold Buyers</w:t>
      </w:r>
    </w:p>
    <w:p>
      <w:pPr>
        <w:spacing w:after="40"/>
        <w:ind w:left="1247" w:right="1247"/>
        <w:shd w:val="clear" w:color="auto" w:fill="FAF6EC"/>
      </w:pPr>
      <w:r>
        <w:rPr>
          <w:rFonts w:ascii="Calibri" w:hAnsi="Calibri" w:cs="Calibri"/>
          <w:b/>
          <w:i w:val="0"/>
          <w:caps/>
          <w:color w:val="6B6B6B"/>
          <w:sz w:val="16"/>
        </w:rPr>
        <w:t xml:space="preserve">TECHNOLOGY PARTNER  </w:t>
      </w:r>
      <w:r>
        <w:rPr>
          <w:rFonts w:ascii="Calibri" w:hAnsi="Calibri" w:cs="Calibri"/>
          <w:b w:val="0"/>
          <w:i w:val="0"/>
          <w:color w:val="1A1A1A"/>
          <w:sz w:val="20"/>
        </w:rPr>
        <w:t>Vanta Technologies Ltd.</w:t>
      </w:r>
    </w:p>
    <w:p>
      <w:pPr>
        <w:spacing w:after="1200"/>
        <w:ind w:left="1247" w:right="1247"/>
        <w:shd w:val="clear" w:color="auto" w:fill="FAF6EC"/>
      </w:pPr>
      <w:r>
        <w:rPr>
          <w:rFonts w:ascii="Calibri" w:hAnsi="Calibri" w:cs="Calibri"/>
          <w:b/>
          <w:i w:val="0"/>
          <w:caps/>
          <w:color w:val="8B6F12"/>
          <w:sz w:val="16"/>
        </w:rPr>
        <w:t>CONFIDENTIAL  •  CHAMBER &amp; VENDOR INTERNAL  •  AUTHORIZATION DATE 15 AUGUST 2026</w:t>
      </w:r>
    </w:p>
    <w:p>
      <w:pPr>
        <w:sectPr>
          <w:footerReference w:type="first" r:id="rId9"/>
          <w:pgSz w:w="11906" w:h="16838"/>
          <w:pgMar w:top="0" w:right="0" w:bottom="0" w:left="0" w:header="720" w:footer="720" w:gutter="0"/>
          <w:cols w:space="720"/>
          <w:docGrid w:linePitch="360"/>
        </w:sectPr>
      </w:pPr>
    </w:p>
    <w:p>
      <w:pPr>
        <w:spacing w:before="0" w:after="120"/>
        <w:jc w:val="left"/>
      </w:pPr>
      <w:r>
        <w:rPr>
          <w:rFonts w:ascii="Calibri" w:hAnsi="Calibri" w:cs="Calibri"/>
          <w:b/>
          <w:i w:val="0"/>
          <w:caps/>
          <w:color w:val="1A1A1A"/>
          <w:sz w:val="44"/>
        </w:rPr>
        <w:t>TABLE OF CONTENTS</w:t>
      </w:r>
    </w:p>
    <w:p>
      <w:pPr>
        <w:spacing w:before="0" w:after="480"/>
        <w:pBdr>
          <w:bottom w:val="single" w:sz="12" w:space="1" w:color="C9A227"/>
        </w:pBdr>
        <w:ind w:right="7370"/>
      </w:pPr>
    </w:p>
    <w:p>
      <w:pPr>
        <w:spacing w:after="240"/>
      </w:pPr>
      <w:r>
        <w:fldChar w:fldCharType="begin" w:dirty="true"/>
        <w:instrText xml:space="preserve">TOC \o "1-3" \h \z \u</w:instrText>
        <w:fldChar w:fldCharType="separate"/>
        <w:t>Loading…</w:t>
        <w:fldChar w:fldCharType="end"/>
      </w:r>
    </w:p>
    <w:p>
      <w:pPr>
        <w:spacing w:before="240"/>
        <w:jc w:val="left"/>
      </w:pPr>
      <w:r>
        <w:rPr>
          <w:rFonts w:ascii="Calibri" w:hAnsi="Calibri" w:cs="Calibri"/>
          <w:b w:val="0"/>
          <w:i/>
          <w:color w:val="6B6B6B"/>
          <w:sz w:val="18"/>
        </w:rPr>
        <w:t>Right-click the table of contents and select “Update Field” to refresh page numbers after opening in Microsoft Word.</w:t>
      </w:r>
    </w:p>
    <w:p>
      <w:r>
        <w:br w:type="page"/>
      </w:r>
    </w:p>
    <w:p>
      <w:pPr>
        <w:pStyle w:val="Heading1"/>
        <w:keepNext/>
        <w:spacing w:before="240" w:after="120"/>
        <w:jc w:val="left"/>
        <w:pBdr>
          <w:bottom w:val="single" w:sz="16" w:space="6" w:color="C9A227"/>
        </w:pBdr>
      </w:pPr>
      <w:r>
        <w:rPr>
          <w:rFonts w:ascii="Calibri" w:hAnsi="Calibri" w:cs="Calibri"/>
          <w:b/>
          <w:i w:val="0"/>
          <w:color w:val="1A1A1A"/>
          <w:sz w:val="56"/>
        </w:rPr>
        <w:t>Document 1 — Project Charter</w:t>
      </w:r>
    </w:p>
    <w:p>
      <w:pPr>
        <w:spacing w:after="160" w:line="336" w:lineRule="auto"/>
        <w:ind w:firstLine="0"/>
        <w:jc w:val="both"/>
      </w:pPr>
      <w:r>
        <w:rPr>
          <w:rFonts w:ascii="Calibri" w:hAnsi="Calibri" w:cs="Calibri"/>
          <w:b w:val="0"/>
          <w:i w:val="0"/>
          <w:color w:val="1A1A1A"/>
          <w:sz w:val="21"/>
        </w:rPr>
        <w:t>The Ghana Gold Exchange Platform (AurumX) is a member-gated B2B digital exchange built for the Ghana Chamber of Gold Buyers. It combines RFQ (Request for Quote), negotiated trading, and optional auctions within a strict identity, licensing, and compliance perimeter. This charter authorizes the project to proceed under a SaaS-with-revenue-sharing commercial model in which the technology partner assumes the build risk and shares in platform revenue as adoption grows.</w:t>
      </w:r>
    </w:p>
    <w:p>
      <w:pPr>
        <w:pStyle w:val="Heading2"/>
        <w:keepNext/>
        <w:spacing w:before="360" w:after="160"/>
        <w:jc w:val="left"/>
        <w:pBdr>
          <w:bottom w:val="single" w:sz="6" w:space="4" w:color="C9A227"/>
        </w:pBdr>
      </w:pPr>
      <w:r>
        <w:rPr>
          <w:rFonts w:ascii="Calibri" w:hAnsi="Calibri" w:cs="Calibri"/>
          <w:b/>
          <w:i w:val="0"/>
          <w:color w:val="1A1A1A"/>
          <w:sz w:val="32"/>
        </w:rPr>
        <w:t>1.1 Project Information</w:t>
      </w:r>
    </w:p>
    <w:tbl>
      <w:tblPr>
        <w:tblW w:type="auto" w:w="0"/>
        <w:jc w:val="center"/>
        <w:tblLayout w:type="fixed"/>
        <w:tblLook w:firstColumn="1" w:firstRow="1" w:lastColumn="0" w:lastRow="0" w:noHBand="0" w:noVBand="1" w:val="04A0"/>
      </w:tblPr>
      <w:tblGrid>
        <w:gridCol w:w="4592"/>
        <w:gridCol w:w="4592"/>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Field</w:t>
            </w:r>
          </w:p>
        </w:tc>
        <w:tc>
          <w:tcPr>
            <w:tcW w:type="dxa" w:w="688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Value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Name</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 Gold Exchange Platform</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Internal Codename</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Aurum (product name: AurumX)</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Sponsor</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Ghana Chamber of Gold Buyers — Executive Council</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Executive Sponsor (Chamber)</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Mr. Kwabena Asante, President [ASSUMPTION]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Manager (Vendor)</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Ms. Adwoa Mensah, Senior TPM, Vanta Technologies Ltd. [ASSUMPTION]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Technical Lead (Vendor)</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Mr. David Owusu, Principal Architect [ASSUMPTION]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Date of Authorization</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15 August 2026</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1 Go-Live Target</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28 February 2027</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Full Platform (Phase 4) Go-Live</w:t>
            </w:r>
          </w:p>
        </w:tc>
        <w:tc>
          <w:tcPr>
            <w:tcW w:type="dxa" w:w="688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31 July 2028</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Commercial Model</w:t>
            </w:r>
          </w:p>
        </w:tc>
        <w:tc>
          <w:tcPr>
            <w:tcW w:type="dxa" w:w="688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SaaS with Revenue Sharing (70% Vendor / 30% Chamber)</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1.2 Executive Summary</w:t>
      </w:r>
    </w:p>
    <w:p>
      <w:pPr>
        <w:spacing w:after="160" w:line="336" w:lineRule="auto"/>
        <w:ind w:firstLine="0"/>
        <w:jc w:val="both"/>
      </w:pPr>
      <w:r>
        <w:rPr>
          <w:rFonts w:ascii="Calibri" w:hAnsi="Calibri" w:cs="Calibri"/>
          <w:b w:val="0"/>
          <w:i w:val="0"/>
          <w:color w:val="1A1A1A"/>
          <w:sz w:val="21"/>
        </w:rPr>
        <w:t>The Ghanaian gold sector loses an estimated US$2.3 billion annually to informal trading, royalty leakage, and unverified supply chains. The Ghana Chamber of Gold Buyers currently manages member licensing, dispute resolution, and export compliance through fragmented, paper-based workflows. Project Aurum will deliver a controlled B2B digital exchange — not an open marketplace — that combines RFQ, negotiated trading, and optional auctions within a strict identity, licensing, and compliance perimeter. The platform will digitize the entire trade lifecycle from seller listing through escrow settlement, assay certification, vault logistics, and export documentation.</w:t>
      </w:r>
    </w:p>
    <w:p>
      <w:pPr>
        <w:spacing w:after="160" w:line="336" w:lineRule="auto"/>
        <w:ind w:firstLine="0"/>
        <w:jc w:val="both"/>
      </w:pPr>
      <w:r>
        <w:rPr>
          <w:rFonts w:ascii="Calibri" w:hAnsi="Calibri" w:cs="Calibri"/>
          <w:b w:val="0"/>
          <w:i w:val="0"/>
          <w:color w:val="1A1A1A"/>
          <w:sz w:val="21"/>
        </w:rPr>
        <w:t>Beyond trading, the platform provides the Chamber with a member-management portal, compliance audit trails, and recurring revenue lines (transaction fees, escrow fees, premium subscriptions, value-added services) that scale with adoption. The Chamber owns governance and member relationships; the technology partner owns, operates, and continuously improves the technology under a revenue-sharing agreement that removes the Chamber's upfront capital barrier.</w:t>
      </w:r>
    </w:p>
    <w:p>
      <w:pPr>
        <w:pStyle w:val="Heading2"/>
        <w:keepNext/>
        <w:spacing w:before="360" w:after="160"/>
        <w:jc w:val="left"/>
        <w:pBdr>
          <w:bottom w:val="single" w:sz="6" w:space="4" w:color="C9A227"/>
        </w:pBdr>
      </w:pPr>
      <w:r>
        <w:rPr>
          <w:rFonts w:ascii="Calibri" w:hAnsi="Calibri" w:cs="Calibri"/>
          <w:b/>
          <w:i w:val="0"/>
          <w:color w:val="1A1A1A"/>
          <w:sz w:val="32"/>
        </w:rPr>
        <w:t>1.3 Business Case &amp; SMART Objectives</w:t>
      </w:r>
    </w:p>
    <w:p>
      <w:pPr>
        <w:spacing w:after="160" w:line="336" w:lineRule="auto"/>
        <w:ind w:firstLine="0"/>
        <w:jc w:val="both"/>
      </w:pPr>
      <w:r>
        <w:rPr>
          <w:rFonts w:ascii="Calibri" w:hAnsi="Calibri" w:cs="Calibri"/>
          <w:b w:val="0"/>
          <w:i w:val="0"/>
          <w:color w:val="1A1A1A"/>
          <w:sz w:val="21"/>
        </w:rPr>
        <w:t>The platform is justified by five quantified value levers: informal trade capture, royalty recovery, trade settlement speed, compliance audit response, and recurring revenue diversification. Five SMART objectives anchor the business case:</w:t>
      </w:r>
    </w:p>
    <w:p>
      <w:pPr>
        <w:pStyle w:val="ListBullet"/>
        <w:spacing w:after="80" w:line="324" w:lineRule="auto"/>
        <w:ind w:left="340" w:hanging="170"/>
      </w:pPr>
      <w:r>
        <w:rPr>
          <w:rFonts w:ascii="Calibri" w:hAnsi="Calibri" w:cs="Calibri"/>
          <w:b w:val="0"/>
          <w:i w:val="0"/>
          <w:color w:val="1A1A1A"/>
          <w:sz w:val="21"/>
        </w:rPr>
        <w:t>Launch Phase 1 Digital Member Portal with verified onboarding for ≥ 100 Chamber members by 28 February 2027.</w:t>
      </w:r>
    </w:p>
    <w:p>
      <w:pPr>
        <w:pStyle w:val="ListBullet"/>
        <w:spacing w:after="80" w:line="324" w:lineRule="auto"/>
        <w:ind w:left="340" w:hanging="170"/>
      </w:pPr>
      <w:r>
        <w:rPr>
          <w:rFonts w:ascii="Calibri" w:hAnsi="Calibri" w:cs="Calibri"/>
          <w:b w:val="0"/>
          <w:i w:val="0"/>
          <w:color w:val="1A1A1A"/>
          <w:sz w:val="21"/>
        </w:rPr>
        <w:t>Enable end-to-end digital RFQ-to-settlement trading with escrow for ≥ US$50M cumulative trade value by 31 December 2027.</w:t>
      </w:r>
    </w:p>
    <w:p>
      <w:pPr>
        <w:pStyle w:val="ListBullet"/>
        <w:spacing w:after="80" w:line="324" w:lineRule="auto"/>
        <w:ind w:left="340" w:hanging="170"/>
      </w:pPr>
      <w:r>
        <w:rPr>
          <w:rFonts w:ascii="Calibri" w:hAnsi="Calibri" w:cs="Calibri"/>
          <w:b w:val="0"/>
          <w:i w:val="0"/>
          <w:color w:val="1A1A1A"/>
          <w:sz w:val="21"/>
        </w:rPr>
        <w:t>Achieve Mean Time to Trade Settlement (MTTTS) of ≤ 48 hours for ≥ 90% of completed trades by 31 March 2028.</w:t>
      </w:r>
    </w:p>
    <w:p>
      <w:pPr>
        <w:pStyle w:val="ListBullet"/>
        <w:spacing w:after="80" w:line="324" w:lineRule="auto"/>
        <w:ind w:left="340" w:hanging="170"/>
      </w:pPr>
      <w:r>
        <w:rPr>
          <w:rFonts w:ascii="Calibri" w:hAnsi="Calibri" w:cs="Calibri"/>
          <w:b w:val="0"/>
          <w:i w:val="0"/>
          <w:color w:val="1A1A1A"/>
          <w:sz w:val="21"/>
        </w:rPr>
        <w:t>Generate ≥ US$1.2M cumulative platform revenue in the first 12 months post Phase 2 go-live, with 30% remitted to the Chamber.</w:t>
      </w:r>
    </w:p>
    <w:p>
      <w:pPr>
        <w:pStyle w:val="ListBullet"/>
        <w:spacing w:after="80" w:line="324" w:lineRule="auto"/>
        <w:ind w:left="340" w:hanging="170"/>
      </w:pPr>
      <w:r>
        <w:rPr>
          <w:rFonts w:ascii="Calibri" w:hAnsi="Calibri" w:cs="Calibri"/>
          <w:b w:val="0"/>
          <w:i w:val="0"/>
          <w:color w:val="1A1A1A"/>
          <w:sz w:val="21"/>
        </w:rPr>
        <w:t>Achieve SOC 2 Type II certification and full FATF AML Recommendation 22 alignment by 30 June 2028.</w:t>
      </w:r>
    </w:p>
    <w:p>
      <w:pPr>
        <w:pStyle w:val="Heading2"/>
        <w:keepNext/>
        <w:spacing w:before="360" w:after="160"/>
        <w:jc w:val="left"/>
        <w:pBdr>
          <w:bottom w:val="single" w:sz="6" w:space="4" w:color="C9A227"/>
        </w:pBdr>
      </w:pPr>
      <w:r>
        <w:rPr>
          <w:rFonts w:ascii="Calibri" w:hAnsi="Calibri" w:cs="Calibri"/>
          <w:b/>
          <w:i w:val="0"/>
          <w:color w:val="1A1A1A"/>
          <w:sz w:val="32"/>
        </w:rPr>
        <w:t>1.4 Project Scope</w:t>
      </w:r>
    </w:p>
    <w:p>
      <w:pPr>
        <w:pStyle w:val="Heading3"/>
        <w:keepNext/>
        <w:spacing w:before="240" w:after="120"/>
        <w:jc w:val="left"/>
      </w:pPr>
      <w:r>
        <w:rPr>
          <w:rFonts w:ascii="Calibri" w:hAnsi="Calibri" w:cs="Calibri"/>
          <w:b/>
          <w:i w:val="0"/>
          <w:caps/>
          <w:color w:val="8B6F12"/>
          <w:sz w:val="24"/>
        </w:rPr>
        <w:t>In-Scope</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Module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Phase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Description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Identity, Licensing &amp; KYC/AML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Verified onboarding, license validation, ongoing AML screening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Portal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profiles, document repository, notifications, secure messaging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Gold Lot Management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Lot creation with weight, purity, serial numbers, provenance chain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Engine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Multi-buyer RFQ submission, response, comparison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Auction Engine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Timed, reverse, and sealed-bid auction variants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Negotiation &amp; Smart Matching</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Counter-offer workflow; AI-assisted buyer-lot matching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Digital Contracts &amp; Escrow</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e-Signature contracts, escrow account integration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&amp; Certification VAS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request workflow, digital certificate issuance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Logistics Coordination VAS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Armored transport, vault storage, airport logistics integration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Export Documentation VAS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Digital export permits, customs integration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Analytics &amp; BI Dashboards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P4</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Market prices, trade volumes, regional demand, compliance reporting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Admin &amp; Compliance Console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staff tools for oversight, dispute resolution, audit</w:t>
            </w:r>
          </w:p>
        </w:tc>
      </w:tr>
    </w:tbl>
    <w:p>
      <w:pPr>
        <w:spacing w:after="160" w:before="0"/>
      </w:pPr>
    </w:p>
    <w:p>
      <w:pPr>
        <w:pStyle w:val="Heading3"/>
        <w:keepNext/>
        <w:spacing w:before="240" w:after="120"/>
        <w:jc w:val="left"/>
      </w:pPr>
      <w:r>
        <w:rPr>
          <w:rFonts w:ascii="Calibri" w:hAnsi="Calibri" w:cs="Calibri"/>
          <w:b/>
          <w:i w:val="0"/>
          <w:caps/>
          <w:color w:val="8B6F12"/>
          <w:sz w:val="24"/>
        </w:rPr>
        <w:t>Out-of-Scope (Explicit)</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Item</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Reason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Future Path</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Direct payment rails / mobile money wallet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Regulated PSP activity outside vendor remit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Integrate with licensed PSPs / banks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Physical gold custody by the platform</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Liability + insurance exposure outside vendor remit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Vault partners hold custody; platform records title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Consumer (B2C) gold trading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Outside Chamber's B2B mandate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N/A</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Tax calculation &amp; filing</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Government competence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Provide export data via API to GRA / Minerals Commission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finance origination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Banking activity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Referral commissions to partner banks only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Mobile native apps (iOS/Android)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PWA-first in Phases 1–4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Native apps considered in Phase 5</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1.5 High-Level Timeline</w:t>
      </w:r>
    </w:p>
    <w:p>
      <w:pPr>
        <w:spacing w:after="160" w:line="336" w:lineRule="auto"/>
        <w:ind w:firstLine="0"/>
        <w:jc w:val="both"/>
      </w:pPr>
      <w:r>
        <w:rPr>
          <w:rFonts w:ascii="Calibri" w:hAnsi="Calibri" w:cs="Calibri"/>
          <w:b w:val="0"/>
          <w:i w:val="0"/>
          <w:color w:val="1A1A1A"/>
          <w:sz w:val="21"/>
        </w:rPr>
        <w:t>The platform rolls out in four phases over 23 months. Phase 1 (Portal) establishes the trust layer; Phase 2 (Trading + Escrow) brings the commercial engine live; Phase 3 (VAS) layers in assay, logistics, and export documentation; Phase 4 (Analytics + SOC 2) completes the platform with full compliance certification. Each phase has a hard go-live gate and UAT window before progression.</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Milestone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Target Date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Exit Criteria</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Charter signed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2026-08-15</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Document signed by Sponsor and Vendor CEO</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Discovery complete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2026-10-15</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Architecture signed off; ADRs 1–5 approved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1 UAT entry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2027-01-15</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 P1 features functionally complete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1 Go-Live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2027-02-28</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100 members onboarded; Chamber staff trained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2 Go-Live (Trading)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2027-08-31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First 10 real trades settled through escrow</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3 Go-Live (VAS)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2028-02-28</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 logistics + export flows live with ≥ 2 partners each</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Type II report issued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2028-06-30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Third-party auditor sign-off</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4 Go-Live (Analytics)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2028-07-31</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BI dashboards in production; first quarterly compliance report generated</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1.6 Budget &amp; Resources</w:t>
      </w:r>
    </w:p>
    <w:p>
      <w:pPr>
        <w:pStyle w:val="Heading3"/>
        <w:keepNext/>
        <w:spacing w:before="240" w:after="120"/>
        <w:jc w:val="left"/>
      </w:pPr>
      <w:r>
        <w:rPr>
          <w:rFonts w:ascii="Calibri" w:hAnsi="Calibri" w:cs="Calibri"/>
          <w:b/>
          <w:i w:val="0"/>
          <w:caps/>
          <w:color w:val="8B6F12"/>
          <w:sz w:val="24"/>
        </w:rPr>
        <w:t>High-Level Cost Estimate (Vendor Side, Year 1)</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Cost Category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Estimate (USD)</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Notes</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Engineering labour (8 FTE × 12 months)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$576,000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Loaded cost</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Design &amp; UX</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$48,000</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 designer × 4 months Phase 1</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QA &amp; test automation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$96,000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 QA × 6 months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DevOps &amp; SRE setup</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$72,000</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Infrastructure as Code, CI/CD, observability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&amp; compliance engineering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$120,000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AML/KYC integration, SOC 2 prep</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management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$84,000</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 TPM, full allocation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Cloud infrastructure (AWS)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$54,000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Estimated $4.5k/month ramp</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Third-party services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$36,000</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Twilio, Stripe Escrow, Datadog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External audit (SOC 2 Type II)</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$60,000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One-time Year 1</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Contingency (15%)</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$173,400</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Standard PM reserve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Total Year 1 Cost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$1,319,400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Funded by Vendor under SaaS risk model</w:t>
            </w:r>
          </w:p>
        </w:tc>
      </w:tr>
    </w:tbl>
    <w:p>
      <w:pPr>
        <w:spacing w:after="160" w:before="0"/>
      </w:pPr>
    </w:p>
    <w:p>
      <w:pPr>
        <w:pStyle w:val="Heading3"/>
        <w:keepNext/>
        <w:spacing w:before="240" w:after="120"/>
        <w:jc w:val="left"/>
      </w:pPr>
      <w:r>
        <w:rPr>
          <w:rFonts w:ascii="Calibri" w:hAnsi="Calibri" w:cs="Calibri"/>
          <w:b/>
          <w:i w:val="0"/>
          <w:caps/>
          <w:color w:val="8B6F12"/>
          <w:sz w:val="24"/>
        </w:rPr>
        <w:t>Team Composition</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Role</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Headcount</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Allocation</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Phase Coverage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Project Manager (TPM)</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Principal Architect</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80%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Backend Engineers (NestJS)</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3</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Frontend Engineers (Next.js)</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Mobile / PWA Engineer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 Engineer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ML Engineer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DevOps / SRE</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&amp; Compliance Engineer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QA Engineers</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100%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UX / Product Designer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50%</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Product Manager</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50%</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P1–P4</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Total core team</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~16 FTE</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[Please fill in]</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[Please fill in]</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1.7 RACI Matrix</w:t>
      </w:r>
    </w:p>
    <w:p>
      <w:pPr>
        <w:spacing w:after="160" w:line="336" w:lineRule="auto"/>
        <w:ind w:firstLine="0"/>
        <w:jc w:val="both"/>
      </w:pPr>
      <w:r>
        <w:rPr>
          <w:rFonts w:ascii="Calibri" w:hAnsi="Calibri" w:cs="Calibri"/>
          <w:b w:val="0"/>
          <w:i w:val="0"/>
          <w:color w:val="1A1A1A"/>
          <w:sz w:val="21"/>
        </w:rPr>
        <w:t>The RACI matrix below assigns Responsible, Accountable, Consulted, and Informed roles across key project decisions. The Chamber Executive Council is Accountable for charter approval, trading rules, and member onboarding criteria; the Vendor Project Manager is Accountable for sprint planning, deployments, and DR testing; the Chamber Compliance Officer is Accountable for AML thresholds, security incident response, and compliance audit participation.</w:t>
      </w:r>
    </w:p>
    <w:tbl>
      <w:tblPr>
        <w:tblW w:type="auto" w:w="0"/>
        <w:jc w:val="center"/>
        <w:tblLayout w:type="fixed"/>
        <w:tblLook w:firstColumn="1" w:firstRow="1" w:lastColumn="0" w:lastRow="0" w:noHBand="0" w:noVBand="1" w:val="04A0"/>
      </w:tblPr>
      <w:tblGrid>
        <w:gridCol w:w="1531"/>
        <w:gridCol w:w="1531"/>
        <w:gridCol w:w="1531"/>
        <w:gridCol w:w="1531"/>
        <w:gridCol w:w="1531"/>
        <w:gridCol w:w="153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Activity / Decision</w:t>
            </w:r>
          </w:p>
        </w:tc>
        <w:tc>
          <w:tcPr>
            <w:tcW w:type="dxa" w:w="137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Chamber Exec</w:t>
            </w:r>
          </w:p>
        </w:tc>
        <w:tc>
          <w:tcPr>
            <w:tcW w:type="dxa" w:w="137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Chamber PMO</w:t>
            </w:r>
          </w:p>
        </w:tc>
        <w:tc>
          <w:tcPr>
            <w:tcW w:type="dxa" w:w="137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Vendor PM</w:t>
            </w:r>
          </w:p>
        </w:tc>
        <w:tc>
          <w:tcPr>
            <w:tcW w:type="dxa" w:w="137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Vendor Architect</w:t>
            </w:r>
          </w:p>
        </w:tc>
        <w:tc>
          <w:tcPr>
            <w:tcW w:type="dxa" w:w="1378"/>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Compliance Officer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Charter approval</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Architecture sign-off (ADRs)</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exit / Go-Live decision</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Trading rules &amp; fee schedule</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AML / KYC thresholds</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 incident response</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Vendor-side sprint planning</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Production deployments</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audit participation</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Disaster recovery test</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c>
          <w:tcPr>
            <w:tcW w:type="dxa" w:w="1378"/>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w:t>
            </w:r>
          </w:p>
        </w:tc>
      </w:tr>
    </w:tbl>
    <w:p>
      <w:pPr>
        <w:spacing w:after="160" w:before="0"/>
      </w:pPr>
    </w:p>
    <w:p>
      <w:pPr>
        <w:spacing w:after="160" w:line="336" w:lineRule="auto"/>
        <w:ind w:firstLine="0"/>
        <w:jc w:val="both"/>
      </w:pPr>
      <w:r>
        <w:rPr>
          <w:rFonts w:ascii="Calibri" w:hAnsi="Calibri" w:cs="Calibri"/>
          <w:b w:val="0"/>
          <w:i w:val="0"/>
          <w:color w:val="1A1A1A"/>
          <w:sz w:val="21"/>
        </w:rPr>
        <w:t>R = Responsible • A = Accountable • C = Consulted • I = Informed</w:t>
      </w:r>
    </w:p>
    <w:p>
      <w:pPr>
        <w:pStyle w:val="Heading2"/>
        <w:keepNext/>
        <w:spacing w:before="360" w:after="160"/>
        <w:jc w:val="left"/>
        <w:pBdr>
          <w:bottom w:val="single" w:sz="6" w:space="4" w:color="C9A227"/>
        </w:pBdr>
      </w:pPr>
      <w:r>
        <w:rPr>
          <w:rFonts w:ascii="Calibri" w:hAnsi="Calibri" w:cs="Calibri"/>
          <w:b/>
          <w:i w:val="0"/>
          <w:color w:val="1A1A1A"/>
          <w:sz w:val="32"/>
        </w:rPr>
        <w:t>1.8 Assumptions, Constraints &amp; Dependencies</w:t>
      </w:r>
    </w:p>
    <w:p>
      <w:pPr>
        <w:pStyle w:val="Heading3"/>
        <w:keepNext/>
        <w:spacing w:before="240" w:after="120"/>
        <w:jc w:val="left"/>
      </w:pPr>
      <w:r>
        <w:rPr>
          <w:rFonts w:ascii="Calibri" w:hAnsi="Calibri" w:cs="Calibri"/>
          <w:b/>
          <w:i w:val="0"/>
          <w:caps/>
          <w:color w:val="8B6F12"/>
          <w:sz w:val="24"/>
        </w:rPr>
        <w:t>Key Assumptions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Assumption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Validation Date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member registry (~340 licensed buyers) available in structured exportable format by Week 3 of Phase 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2026-09-05</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At least two Ghanaian commercial banks execute escrow integration MOUs by end of Phase 1</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2027-01-30</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Minerals Commission issues a digital export permit API by Q2 2027</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2027-06-30</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af-west-1 (Cape Town) generally available by Phase 1 launch</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Ongoing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A5</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Tier 1 buyers accept third-party-operated platform provided SOC 2 + Chamber endorsement are in place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2027-07-31</w:t>
            </w:r>
          </w:p>
        </w:tc>
      </w:tr>
    </w:tbl>
    <w:p>
      <w:pPr>
        <w:spacing w:after="160" w:before="0"/>
      </w:pPr>
    </w:p>
    <w:p>
      <w:pPr>
        <w:pStyle w:val="Heading3"/>
        <w:keepNext/>
        <w:spacing w:before="240" w:after="120"/>
        <w:jc w:val="left"/>
      </w:pPr>
      <w:r>
        <w:rPr>
          <w:rFonts w:ascii="Calibri" w:hAnsi="Calibri" w:cs="Calibri"/>
          <w:b/>
          <w:i w:val="0"/>
          <w:caps/>
          <w:color w:val="8B6F12"/>
          <w:sz w:val="24"/>
        </w:rPr>
        <w:t>Constraints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Constraint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Type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Must launch Phase 1 before 2027-Q2 Chamber AGM</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Time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Must use Auth0 for identity (enterprise agreement in place)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Technical</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C3</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Must NOT operate as a licensed PSP or take custody of physical gold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Legal / Regulatory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C4</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Must achieve SOC 2 Type II before Tier 1 institutional buyers onboard (Phase 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C5</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data subject to Ghana Data Protection Act 2012; cross-border transfer requires lawful basis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Legal</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C6</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Maximum vendor cost overrun absorbed before revenue-share renegotiation: 10% of approved budget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Financial</w:t>
            </w:r>
          </w:p>
        </w:tc>
      </w:tr>
    </w:tbl>
    <w:p>
      <w:pPr>
        <w:spacing w:after="160" w:before="0"/>
      </w:pPr>
    </w:p>
    <w:p>
      <w:pPr>
        <w:pStyle w:val="Heading3"/>
        <w:keepNext/>
        <w:spacing w:before="240" w:after="120"/>
        <w:jc w:val="left"/>
      </w:pPr>
      <w:r>
        <w:rPr>
          <w:rFonts w:ascii="Calibri" w:hAnsi="Calibri" w:cs="Calibri"/>
          <w:b/>
          <w:i w:val="0"/>
          <w:caps/>
          <w:color w:val="8B6F12"/>
          <w:sz w:val="24"/>
        </w:rPr>
        <w:t>Dependencies</w:t>
      </w:r>
    </w:p>
    <w:tbl>
      <w:tblPr>
        <w:tblW w:type="auto" w:w="0"/>
        <w:jc w:val="center"/>
        <w:tblLayout w:type="fixed"/>
        <w:tblLook w:firstColumn="1" w:firstRow="1" w:lastColumn="0" w:lastRow="0" w:noHBand="0" w:noVBand="1" w:val="04A0"/>
      </w:tblPr>
      <w:tblGrid>
        <w:gridCol w:w="2296"/>
        <w:gridCol w:w="2296"/>
        <w:gridCol w:w="2296"/>
        <w:gridCol w:w="2296"/>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Dependency</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Owner</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Required By</w:t>
            </w:r>
          </w:p>
        </w:tc>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Impact if Delayed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member registry data export</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PMO</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 Week 3</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P1 onboarding delayed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Bank escrow integration MOUs</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Exec</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P2 Month 1</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2 cannot go-live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Minerals Commission export-permit API</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 Vendor</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 Month 1</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3 export VAS blocked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lab API contracts (SGS, etc.)</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 BD</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 Month 2</w:t>
            </w:r>
          </w:p>
        </w:tc>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Assay VAS delayed</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auditor engagement</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 Compliance Eng</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P3 Month 6</w:t>
            </w:r>
          </w:p>
        </w:tc>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4 sign-off at risk</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1.9 High-Level Risks</w:t>
      </w:r>
    </w:p>
    <w:p>
      <w:pPr>
        <w:spacing w:after="160" w:line="336" w:lineRule="auto"/>
        <w:ind w:firstLine="0"/>
        <w:jc w:val="both"/>
      </w:pPr>
      <w:r>
        <w:rPr>
          <w:rFonts w:ascii="Calibri" w:hAnsi="Calibri" w:cs="Calibri"/>
          <w:b w:val="0"/>
          <w:i w:val="0"/>
          <w:color w:val="1A1A1A"/>
          <w:sz w:val="21"/>
        </w:rPr>
        <w:t>Seven top risks have been identified with mitigation strategies. Operational mitigations are detailed in Documents 6 and 7. Each risk has a named owner and is reviewed at the monthly Joint Change Control Board meeting.</w:t>
      </w:r>
    </w:p>
    <w:tbl>
      <w:tblPr>
        <w:tblW w:type="auto" w:w="0"/>
        <w:jc w:val="center"/>
        <w:tblLayout w:type="fixed"/>
        <w:tblLook w:firstColumn="1" w:firstRow="1" w:lastColumn="0" w:lastRow="0" w:noHBand="0" w:noVBand="1" w:val="04A0"/>
      </w:tblPr>
      <w:tblGrid>
        <w:gridCol w:w="1837"/>
        <w:gridCol w:w="1837"/>
        <w:gridCol w:w="1837"/>
        <w:gridCol w:w="1837"/>
        <w:gridCol w:w="1837"/>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t>
            </w:r>
          </w:p>
        </w:tc>
        <w:tc>
          <w:tcPr>
            <w:tcW w:type="dxa" w:w="1722"/>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Risk</w:t>
            </w:r>
          </w:p>
        </w:tc>
        <w:tc>
          <w:tcPr>
            <w:tcW w:type="dxa" w:w="1722"/>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Likelihood</w:t>
            </w:r>
          </w:p>
        </w:tc>
        <w:tc>
          <w:tcPr>
            <w:tcW w:type="dxa" w:w="1722"/>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Impact</w:t>
            </w:r>
          </w:p>
        </w:tc>
        <w:tc>
          <w:tcPr>
            <w:tcW w:type="dxa" w:w="1722"/>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Mitigation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R1</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Key Tier 1 buyer declines to participate due to platform trust concerns</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High</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Secure 2 anchor Tier 1 buyers under LOI before Phase 2; Chamber endorsement; SOC 2 prerequisite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R2</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 partner bank withdraws or fails to integrate on schedule</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High</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Dual-track two bank MOUs from Phase 1; fallback to licensed PSP escrow; EscrowProvider interface abstraction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R3</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Regulatory change imposes new licensing requirement on platform</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Low</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Critical</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Quarterly compliance review; 90-day regulatory horizon scan; legal counsel retained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R4</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Cybersecurity incident (data breach or trade data exfiltration)</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Critical</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Defense-in-depth (WAF + IDS + KMS + immutable audit log); SOC 2 controls; 24h BoG notification; cyber insurance US$5M</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R5</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 key personnel departure (architect, TPM, or principal engineer)</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High</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Pair programming; ADRs and decision logs in repo; 2-week notice clause; documented runbooks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R6</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Trading volume underperforms forecast, jeopardizing revenue-share economics</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High</w:t>
            </w:r>
          </w:p>
        </w:tc>
        <w:tc>
          <w:tcPr>
            <w:tcW w:type="dxa" w:w="1722"/>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Conservative base-case model (1/3 of forecast); premium subscriptions as volume-independent revenue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R7</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Phase 1 member onboarding slower than target (KYC friction)</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Medium</w:t>
            </w:r>
          </w:p>
        </w:tc>
        <w:tc>
          <w:tcPr>
            <w:tcW w:type="dxa" w:w="1722"/>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Pre-load verified member data from Chamber registry; tiered KYC; in-app document upload + status tracking</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1.10 Success Criteria / KPIs</w:t>
      </w:r>
    </w:p>
    <w:p>
      <w:pPr>
        <w:spacing w:after="160" w:line="336" w:lineRule="auto"/>
        <w:ind w:firstLine="0"/>
        <w:jc w:val="both"/>
      </w:pPr>
      <w:r>
        <w:rPr>
          <w:rFonts w:ascii="Calibri" w:hAnsi="Calibri" w:cs="Calibri"/>
          <w:b w:val="0"/>
          <w:i w:val="0"/>
          <w:color w:val="1A1A1A"/>
          <w:sz w:val="21"/>
        </w:rPr>
        <w:t>Success is measured 90 days post Phase 4 Go-Live (by 31 October 2028). The KPI table below covers adoption, trading volume, efficiency, reliability, security, compliance, financial, and customer experience dimensions. The vendor's revenue share is contingent on KPI achievement as defined in the Master Services Agreement.</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KPI Category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Metric</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Target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Adoption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Active licensed members on platform</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280 of ~340 (82%)</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Adoption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Tier 1 buyer participation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8 of top 10 Ghana-licensed refiners</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Trading Volume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Cumulative trade value settled through escrow</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US$500M trailing 12 months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Trading Volume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Completed trades (RFQ + auction)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1,200 per quarter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Efficiency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Mean Time to Trade Settlement (MTTTS)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48 hours, 90th percentile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Efficiency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onboarding time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5 business days, median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Reliability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Platform uptime (SLA: 99.9%)</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99.95% measured monthly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Critical vulnerabilities open \&gt; 30 days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0</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Security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SOC 2 Type II report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Issued and unqualified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AML alert turnaround time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24 hours, 95th percentile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Financial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Platform gross revenue (trailing 12 months)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US$2.4M</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Financial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Chamber revenue share remitted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US$720K (30%)</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Customer Experience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NPS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 45</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Customer Experience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dispute rate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\&lt; 2% of trades</w:t>
            </w:r>
          </w:p>
        </w:tc>
      </w:tr>
    </w:tbl>
    <w:p>
      <w:pPr>
        <w:spacing w:after="160" w:before="0"/>
      </w:pPr>
    </w:p>
    <w:sectPr w:rsidR="00FC693F" w:rsidRPr="0006063C" w:rsidSect="00034616">
      <w:footerReference w:type="default" r:id="rId10"/>
      <w:headerReference w:type="default" r:id="rId11"/>
      <w:pgSz w:w="11906" w:h="16838"/>
      <w:pgMar w:top="1361" w:right="1361" w:bottom="1247" w:left="136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color w:val="6B6B6B"/>
        <w:sz w:val="16"/>
      </w:rPr>
      <w:t>Part of the AurumX Documentation Suite v1.0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jc w:val="center"/>
    </w:pPr>
    <w:r>
      <w:rPr>
        <w:rFonts w:ascii="Calibri" w:hAnsi="Calibri" w:cs="Calibri"/>
        <w:b w:val="0"/>
        <w:i/>
        <w:color w:val="6B6B6B"/>
        <w:sz w:val="16"/>
      </w:rPr>
      <w:t>AurumX Documentation Suite v1.0</w:t>
      <w:tab/>
    </w:r>
    <w:r>
      <w:rPr>
        <w:rFonts w:ascii="Calibri" w:hAnsi="Calibri" w:cs="Calibri"/>
        <w:b/>
        <w:i w:val="0"/>
        <w:color w:val="2D2D2D"/>
        <w:sz w:val="18"/>
      </w:rPr>
      <w:fldChar w:fldCharType="begin" w:dirty="true"/>
      <w:instrText xml:space="preserve">PAGE \* MERGEFORMAT</w:instrText>
      <w:fldChar w:fldCharType="separate"/>
      <w:t>Loading…</w:t>
      <w:fldChar w:fldCharType="end"/>
    </w:r>
    <w:r>
      <w:rPr>
        <w:rFonts w:ascii="Calibri" w:hAnsi="Calibri" w:cs="Calibri"/>
        <w:b w:val="0"/>
        <w:i/>
        <w:color w:val="6B6B6B"/>
        <w:sz w:val="16"/>
      </w:rPr>
      <w:tab/>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i w:val="0"/>
        <w:caps/>
        <w:color w:val="C9A227"/>
        <w:sz w:val="16"/>
      </w:rPr>
      <w:t xml:space="preserve">AURUMX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6F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