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  <w:ind w:left="1247" w:right="1247"/>
        <w:jc w:val="left"/>
        <w:shd w:val="clear" w:color="auto" w:fill="FAF6EC"/>
      </w:pPr>
    </w:p>
    <w:p>
      <w:pPr>
        <w:spacing w:before="1200" w:after="40"/>
        <w:ind w:left="1247" w:right="1247"/>
        <w:jc w:val="left"/>
        <w:shd w:val="clear" w:color="auto" w:fill="FAF6EC"/>
      </w:pPr>
      <w:r>
        <w:rPr>
          <w:rFonts w:ascii="Calibri" w:hAnsi="Calibri" w:cs="Calibri"/>
          <w:b/>
          <w:i w:val="0"/>
          <w:caps/>
          <w:color w:val="C9A227"/>
          <w:sz w:val="22"/>
        </w:rPr>
        <w:t>AURUMX</w:t>
      </w:r>
      <w:r>
        <w:rPr>
          <w:rFonts w:ascii="Calibri" w:hAnsi="Calibri" w:cs="Calibri"/>
          <w:b w:val="0"/>
          <w:i w:val="0"/>
          <w:caps/>
          <w:color w:val="6B6B6B"/>
          <w:sz w:val="22"/>
        </w:rPr>
        <w:t xml:space="preserve">  •  DOCUMENTATION SUITE v1.0</w:t>
      </w:r>
    </w:p>
    <w:p>
      <w:pPr>
        <w:spacing w:before="40" w:after="1200"/>
        <w:ind w:left="1247" w:right="1247"/>
        <w:jc w:val="left"/>
        <w:shd w:val="clear" w:color="auto" w:fill="FAF6EC"/>
        <w:pBdr>
          <w:bottom w:val="single" w:sz="18" w:space="4" w:color="C9A227"/>
        </w:pBdr>
      </w:pPr>
    </w:p>
    <w:p>
      <w:pPr>
        <w:spacing w:before="0" w:after="360" w:line="288" w:lineRule="auto"/>
        <w:ind w:left="1247" w:right="1247"/>
        <w:jc w:val="left"/>
        <w:shd w:val="clear" w:color="auto" w:fill="FAF6EC"/>
      </w:pPr>
      <w:r>
        <w:rPr>
          <w:rFonts w:ascii="Calibri" w:hAnsi="Calibri" w:cs="Calibri"/>
          <w:b/>
          <w:i w:val="0"/>
          <w:caps/>
          <w:color w:val="8B6F12"/>
          <w:sz w:val="28"/>
        </w:rPr>
        <w:t>DOCUMENT 02</w:t>
      </w:r>
    </w:p>
    <w:p>
      <w:pPr>
        <w:spacing w:after="160" w:line="252" w:lineRule="auto"/>
        <w:ind w:left="1247" w:right="1247"/>
        <w:jc w:val="left"/>
        <w:shd w:val="clear" w:color="auto" w:fill="FAF6EC"/>
      </w:pPr>
      <w:r>
        <w:rPr>
          <w:rFonts w:ascii="Calibri" w:hAnsi="Calibri" w:cs="Calibri"/>
          <w:b/>
          <w:i w:val="0"/>
          <w:color w:val="1A1A1A"/>
          <w:sz w:val="76"/>
        </w:rPr>
        <w:t>User Personas</w:t>
      </w:r>
    </w:p>
    <w:p>
      <w:pPr>
        <w:spacing w:before="0" w:after="400"/>
        <w:ind w:left="1247" w:right="6803"/>
        <w:shd w:val="clear" w:color="auto" w:fill="FAF6EC"/>
        <w:pBdr>
          <w:bottom w:val="single" w:sz="24" w:space="1" w:color="C9A227"/>
        </w:pBdr>
      </w:pPr>
    </w:p>
    <w:p>
      <w:pPr>
        <w:spacing w:after="720" w:line="336" w:lineRule="auto"/>
        <w:ind w:left="1247" w:right="2268"/>
        <w:jc w:val="left"/>
        <w:shd w:val="clear" w:color="auto" w:fill="FAF6EC"/>
      </w:pPr>
      <w:r>
        <w:rPr>
          <w:rFonts w:ascii="Calibri" w:hAnsi="Calibri" w:cs="Calibri"/>
          <w:b w:val="0"/>
          <w:i/>
          <w:color w:val="4A4A4A"/>
          <w:sz w:val="26"/>
        </w:rPr>
        <w:t>Four primary personas — Tier 1 Buyer, Tier 2 Buyer, Seller, and Compliance Officer — anchored in real Ghanaian gold-sector archetypes.</w:t>
      </w:r>
    </w:p>
    <w:p>
      <w:pPr>
        <w:spacing w:after="1200"/>
        <w:ind w:left="1247" w:right="1247"/>
        <w:jc w:val="left"/>
        <w:shd w:val="clear" w:color="auto" w:fill="FAF6EC"/>
      </w:pPr>
      <w:r>
        <w:rPr>
          <w:rFonts w:ascii="Calibri" w:hAnsi="Calibri" w:cs="Calibri"/>
          <w:b/>
          <w:i w:val="0"/>
          <w:caps/>
          <w:color w:val="6B6B6B"/>
          <w:sz w:val="18"/>
        </w:rPr>
        <w:t xml:space="preserve">SCOPE  </w:t>
      </w:r>
      <w:r>
        <w:rPr>
          <w:rFonts w:ascii="Calibri" w:hAnsi="Calibri" w:cs="Calibri"/>
          <w:b w:val="0"/>
          <w:i w:val="0"/>
          <w:color w:val="2D2D2D"/>
          <w:sz w:val="20"/>
        </w:rPr>
        <w:t>Kwame • Abena • Ibrahim • Efua</w:t>
      </w:r>
    </w:p>
    <w:p>
      <w:pPr>
        <w:spacing w:before="0" w:after="1000" w:line="240" w:lineRule="auto"/>
        <w:ind w:left="1247" w:right="1247"/>
        <w:shd w:val="clear" w:color="auto" w:fill="FAF6EC"/>
      </w:pPr>
      <w:r>
        <w:rPr>
          <w:rFonts w:ascii="Calibri" w:hAnsi="Calibri" w:cs="Calibri"/>
          <w:b w:val="0"/>
          <w:i w:val="0"/>
          <w:color w:val="FAF6EC"/>
          <w:sz w:val="20"/>
        </w:rPr>
        <w:t xml:space="preserve"> </w:t>
      </w:r>
    </w:p>
    <w:p>
      <w:pPr>
        <w:spacing w:before="0" w:after="1000" w:line="240" w:lineRule="auto"/>
        <w:ind w:left="1247" w:right="1247"/>
        <w:shd w:val="clear" w:color="auto" w:fill="FAF6EC"/>
      </w:pPr>
      <w:r>
        <w:rPr>
          <w:rFonts w:ascii="Calibri" w:hAnsi="Calibri" w:cs="Calibri"/>
          <w:b w:val="0"/>
          <w:i w:val="0"/>
          <w:color w:val="FAF6EC"/>
          <w:sz w:val="20"/>
        </w:rPr>
        <w:t xml:space="preserve"> </w:t>
      </w:r>
    </w:p>
    <w:p>
      <w:pPr>
        <w:spacing w:before="0" w:after="1000" w:line="240" w:lineRule="auto"/>
        <w:ind w:left="1247" w:right="1247"/>
        <w:shd w:val="clear" w:color="auto" w:fill="FAF6EC"/>
      </w:pPr>
      <w:r>
        <w:rPr>
          <w:rFonts w:ascii="Calibri" w:hAnsi="Calibri" w:cs="Calibri"/>
          <w:b w:val="0"/>
          <w:i w:val="0"/>
          <w:color w:val="FAF6EC"/>
          <w:sz w:val="20"/>
        </w:rPr>
        <w:t xml:space="preserve"> </w:t>
      </w:r>
    </w:p>
    <w:p>
      <w:pPr>
        <w:spacing w:before="0" w:after="160"/>
        <w:ind w:left="1247" w:right="1247"/>
        <w:shd w:val="clear" w:color="auto" w:fill="FAF6EC"/>
        <w:pBdr>
          <w:top w:val="single" w:sz="8" w:space="4" w:color="C9A227"/>
        </w:pBdr>
      </w:pPr>
    </w:p>
    <w:p>
      <w:pPr>
        <w:spacing w:after="40"/>
        <w:ind w:left="1247" w:right="1247"/>
        <w:shd w:val="clear" w:color="auto" w:fill="FAF6EC"/>
      </w:pPr>
      <w:r>
        <w:rPr>
          <w:rFonts w:ascii="Calibri" w:hAnsi="Calibri" w:cs="Calibri"/>
          <w:b/>
          <w:i w:val="0"/>
          <w:caps/>
          <w:color w:val="6B6B6B"/>
          <w:sz w:val="16"/>
        </w:rPr>
        <w:t xml:space="preserve">SPONSOR  </w:t>
      </w:r>
      <w:r>
        <w:rPr>
          <w:rFonts w:ascii="Calibri" w:hAnsi="Calibri" w:cs="Calibri"/>
          <w:b w:val="0"/>
          <w:i w:val="0"/>
          <w:color w:val="1A1A1A"/>
          <w:sz w:val="20"/>
        </w:rPr>
        <w:t>Ghana Chamber of Gold Buyers</w:t>
      </w:r>
    </w:p>
    <w:p>
      <w:pPr>
        <w:spacing w:after="40"/>
        <w:ind w:left="1247" w:right="1247"/>
        <w:shd w:val="clear" w:color="auto" w:fill="FAF6EC"/>
      </w:pPr>
      <w:r>
        <w:rPr>
          <w:rFonts w:ascii="Calibri" w:hAnsi="Calibri" w:cs="Calibri"/>
          <w:b/>
          <w:i w:val="0"/>
          <w:caps/>
          <w:color w:val="6B6B6B"/>
          <w:sz w:val="16"/>
        </w:rPr>
        <w:t xml:space="preserve">TECHNOLOGY PARTNER  </w:t>
      </w:r>
      <w:r>
        <w:rPr>
          <w:rFonts w:ascii="Calibri" w:hAnsi="Calibri" w:cs="Calibri"/>
          <w:b w:val="0"/>
          <w:i w:val="0"/>
          <w:color w:val="1A1A1A"/>
          <w:sz w:val="20"/>
        </w:rPr>
        <w:t>Vanta Technologies Ltd.</w:t>
      </w:r>
    </w:p>
    <w:p>
      <w:pPr>
        <w:spacing w:after="1200"/>
        <w:ind w:left="1247" w:right="1247"/>
        <w:shd w:val="clear" w:color="auto" w:fill="FAF6EC"/>
      </w:pPr>
      <w:r>
        <w:rPr>
          <w:rFonts w:ascii="Calibri" w:hAnsi="Calibri" w:cs="Calibri"/>
          <w:b/>
          <w:i w:val="0"/>
          <w:caps/>
          <w:color w:val="8B6F12"/>
          <w:sz w:val="16"/>
        </w:rPr>
        <w:t>CONFIDENTIAL  •  CHAMBER &amp; VENDOR INTERNAL  •  AUTHORIZATION DATE 15 AUGUST 2026</w:t>
      </w:r>
    </w:p>
    <w:p>
      <w:pPr>
        <w:sectPr>
          <w:footerReference w:type="firs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120"/>
        <w:jc w:val="left"/>
      </w:pPr>
      <w:r>
        <w:rPr>
          <w:rFonts w:ascii="Calibri" w:hAnsi="Calibri" w:cs="Calibri"/>
          <w:b/>
          <w:i w:val="0"/>
          <w:caps/>
          <w:color w:val="1A1A1A"/>
          <w:sz w:val="44"/>
        </w:rPr>
        <w:t>TABLE OF CONTENTS</w:t>
      </w:r>
    </w:p>
    <w:p>
      <w:pPr>
        <w:spacing w:before="0" w:after="480"/>
        <w:pBdr>
          <w:bottom w:val="single" w:sz="12" w:space="1" w:color="C9A227"/>
        </w:pBdr>
        <w:ind w:right="7370"/>
      </w:pPr>
    </w:p>
    <w:p>
      <w:pPr>
        <w:spacing w:after="240"/>
      </w:pPr>
      <w:r>
        <w:fldChar w:fldCharType="begin" w:dirty="true"/>
        <w:instrText xml:space="preserve">TOC \o "1-3" \h \z \u</w:instrText>
        <w:fldChar w:fldCharType="separate"/>
        <w:t>Loading…</w:t>
        <w:fldChar w:fldCharType="end"/>
      </w:r>
    </w:p>
    <w:p>
      <w:pPr>
        <w:spacing w:before="240"/>
        <w:jc w:val="left"/>
      </w:pPr>
      <w:r>
        <w:rPr>
          <w:rFonts w:ascii="Calibri" w:hAnsi="Calibri" w:cs="Calibri"/>
          <w:b w:val="0"/>
          <w:i/>
          <w:color w:val="6B6B6B"/>
          <w:sz w:val="18"/>
        </w:rPr>
        <w:t>Right-click the table of contents and select “Update Field” to refresh page numbers after opening in Microsoft Word.</w:t>
      </w:r>
    </w:p>
    <w:p>
      <w:r>
        <w:br w:type="page"/>
      </w:r>
    </w:p>
    <w:p>
      <w:pPr>
        <w:pStyle w:val="Heading1"/>
        <w:keepNext/>
        <w:spacing w:before="240" w:after="120"/>
        <w:jc w:val="left"/>
        <w:pBdr>
          <w:bottom w:val="single" w:sz="16" w:space="6" w:color="C9A227"/>
        </w:pBdr>
      </w:pPr>
      <w:r>
        <w:rPr>
          <w:rFonts w:ascii="Calibri" w:hAnsi="Calibri" w:cs="Calibri"/>
          <w:b/>
          <w:i w:val="0"/>
          <w:color w:val="1A1A1A"/>
          <w:sz w:val="56"/>
        </w:rPr>
        <w:t>Document 2 — User Personas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Four primary personas anchor the design of the AurumX platform. Each is fictional but anchored in real stakeholder archetypes observed in the Ghanaian gold-buying sector. Names, ages, frustrations, and quotes are deliberately specific so that engineering, design, and product decisions can be tested against concrete user models rather than abstract types. Where a persona implies a feature priority, that implication is listed explicitly so it can be traced to the backlog.</w:t>
      </w: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2.1 Persona 1 — Kwame Asare, Tier 1 Buyer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Attribute</w:t>
            </w:r>
          </w:p>
        </w:tc>
        <w:tc>
          <w:tcPr>
            <w:tcW w:type="dxa" w:w="6888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Name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Kwame Asare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Age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52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Job title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Head of West African Sourcing, Helvetia Refining AG (LBMA Good Delivery refiner)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Technical skill level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High. Daily user of Bloomberg Terminal, SAP S/4HANA, internal trade tools; skeptical of consumer-grade UX.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Industry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Precious metals refining &amp; bullion trading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Company size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~2,400 employees globally; West African sourcing team of 8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Annual procurement budget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US$250M–$400M of doré and refined gold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Goals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Source 30–50 kg of gold per week from Ghanaian Tier 2 sellers and aggregators at or below the LBMA benchmark, with full provenance documentation for Swiss import compliance.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Pre-qualify and maintain a vetted panel of 12–15 Ghanaian counterparties whose KYC, licensing, and AML status are continuously validated.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Reduce per-deal administrative overhead from 6–8 hours to under 1 hour.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Receive early visibility of large lots (≥ 5 kg, ≥ 99.5% purity) with right of first refusal where possible.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Maintain an audit trail defensible against Swiss FINMA and OECD Due Diligence Guidance reviews.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Pain Points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Counterparty discovery is relationship-bound — most deals happen through WhatsApp and personal phone calls. Documentation is paper-heavy and error-prone. Provenance gaps create compliance risk under OECD Annex II. Price opacity at the local level means Kwame's team cannot verify whether aggregator quotes are fair. No early-warning system exists for supply disruptions.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&gt; I do not need another marketplace. I need a verified counterparty on the other side of every kilogram, with paper that survives a FINMA audit.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Product Implications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Implication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Priority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Phase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Verified counterparty directory with live license status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Tier 1 pre-notification with optional RFQ exclusivity window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Full provenance chain with hash-anchored documents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2–3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OECD Annex II red-flag indicators on counterparty profiles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API access for SAP integration (push purchase orders, pull confirmations)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Desktop-first UX; mobile is read-only for trade review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Price benchmarking widget showing LBMA fix + local premium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2.2 Persona 2 — Abena Owusu, Tier 2 Buyer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Attribute</w:t>
            </w:r>
          </w:p>
        </w:tc>
        <w:tc>
          <w:tcPr>
            <w:tcW w:type="dxa" w:w="6888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Name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Abena Owusu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Age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34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Job title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Managing Director, GoldLink Exports Ltd. (Accra-based licensed gold exporter)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Technical skill level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Medium-High. Power user of Excel, WhatsApp Business, Google Workspace; limited API literacy.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Industry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Gold export &amp; aggregation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Company size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12 employees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Annual export volume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80–150 kg/year, primarily to UAE and India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Goals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Maintain a steady pipeline of 8–12 kg of gold per week for export, sourced from 4–6 trusted aggregators.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Reduce the time from gold-in-vault to export permit approved from 10–14 days to under 5 days.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Negotiate better margins by accessing multiple competing seller offers.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Manage export documentation, customs filings, and PMMC paperwork in one place.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Build a track record that lets her access trade finance from her bank.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Pain Points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Liquidity is unpredictable — when an aggregator relationship falters, she has no fast way to find vetted alternatives. Documentation is exhausting — exporting one shipment requires 7 documents across 4 agencies with different portals. Price discovery is opaque. Bank credit is hard — despite a clean track record, her bank treats her as high-risk. Cash flow timing is brutal — she pays sellers within 48 hours but buyers pay on T+7 to T+30 terms, leaving her bearing all settlement risk.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&gt; If I can move gold from vault to export permit in five days instead of fourteen, I can take three more shipments a month. That is the difference between surviving and growing.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Product Implications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Implication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Priority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Phase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Mobile-first UX for trade review and document management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Critical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One-stop export documentation workflow (PMMC, GRA, BoG)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3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RFQ comparison view showing multiple seller offers side-by-side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Escrow as the default settlement method, with bank integration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Trade history export (PDF + structured) for bank trade finance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Bidirectional SMS / WhatsApp notifications (not just email)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Lightweight financial dashboard showing cash flow and P&amp;L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3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2.3 Persona 3 — Ibrahim Toure, Seller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Attribute</w:t>
            </w:r>
          </w:p>
        </w:tc>
        <w:tc>
          <w:tcPr>
            <w:tcW w:type="dxa" w:w="6888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Name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Ibrahim Toure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Age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Job title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General Secretary, Banda Small-Scale Miners Cooperative (Upper West Region)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Technical skill level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Low-Medium. Comfortable with basic smartphone apps; struggles with complex forms.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Industry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Artisanal and small-scale gold mining (ASM) and aggregation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Organization size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Cooperative of ~140 small-scale miners; ~3 kg/week throughput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License type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Minerals Commission Small-Scale Mining License + Inter-Regional Gold Buyer Permit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Goals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Sell the cooperative's gold at the best available price without traveling to Accra for every negotiation.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Receive payment within 48 hours of delivery — currently the cooperative waits 5–10 days.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Build a verifiable, auditable record of production and sales to qualify for fair-trade certifications.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Reduce dependence on a single aggregator-middleman who currently takes a 4–6% margin.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Get proactive alerts when buyer demand spikes.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Pain Points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Logistics are dangerous and expensive — transporting 2–3 kg of gold by road from Wa to Accra costs US$800–1,200. Buyer default risk is real — the cooperative has been burned twice. Price discovery is broken — they get one middleman's quote with no way to know if it is fair. Documentation is hard to maintain — the last license renewal took 11 weeks. No access to finance — no bank will advance working capital against future sales.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&gt; We mine the gold. Someone else sets the price. If this platform lets me see three offers before I sell, and the money is in escrow before the gold leaves my hand, I will use it every week.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Product Implications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Implication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Priority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Phase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Extremely low-bandwidth mobile UX; SMS fallback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Critical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One-tap lot creation with photo + weight capture from phone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Escrow visible to seller before gold leaves possession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Critical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WhatsApp-based trade confirmations and document delivery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Localized pricing display (USD primary, GHS secondary with FX source)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Voice-guided onboarding in English + Twi + Hausa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Group/cooperative account with multi-user roles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Demand-spike alerts via SMS when buyer RFQs target cooperative's region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2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2.4 Persona 4 — Efua Boateng, Compliance Officer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Attribute</w:t>
            </w:r>
          </w:p>
        </w:tc>
        <w:tc>
          <w:tcPr>
            <w:tcW w:type="dxa" w:w="6888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Name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Efua Boateng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Age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Job title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Director of Compliance &amp; Member Affairs, Ghana Chamber of Gold Buyers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Technical skill level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High. Former Big 4 auditor; comfortable with BI tools and SQL.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Industry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Industry association / regulatory compliance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Team</w:t>
            </w:r>
          </w:p>
        </w:tc>
        <w:tc>
          <w:tcPr>
            <w:tcW w:type="dxa" w:w="6888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Chamber staff of 18; Efua's team of 3 covers compliance, onboarding, dispute resolution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Education</w:t>
            </w:r>
          </w:p>
        </w:tc>
        <w:tc>
          <w:tcPr>
            <w:tcW w:type="dxa" w:w="6888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MSc Forensic Accounting; CA (Ghana); AML certification (ICA)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Goals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Provide the Chamber's Executive Council with monthly compliance health metrics with drill-down to specific trades.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Reduce average time to onboard a new member from 4–6 weeks to under 5 business days.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Detect and investigate suspicious trading patterns within 24 hours of occurrence.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Maintain an audit trail defensible against Bank of Ghana, Minerals Commission, and FATF review.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Standardize and automate quarterly compliance reporting to regulators.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&gt; I am not asking for magic. I am asking for one source of truth, with timestamps, that I can hand to a Bank of Ghana examiner at 9 AM on a Monday.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Product Implications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Implication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Priority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Phase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Real-time compliance dashboard with drill-down to trade level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P1→P4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Workflow engine for member onboarding with parallel cross-checks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Sanction list screening integrated with daily refresh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Critical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Anomaly detection with explainable alerts (rule-based + ML)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P2/P4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Immutable audit log with hash-anchored records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Critical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1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Dispute resolution module with shared trade fact view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Medium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3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Automated quarterly regulatory report generation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Phase 4</w:t>
            </w:r>
          </w:p>
        </w:tc>
      </w:tr>
    </w:tbl>
    <w:p>
      <w:pPr>
        <w:spacing w:after="160" w:before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1361" w:right="1361" w:bottom="1247" w:left="1361" w:header="68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/>
        <w:color w:val="6B6B6B"/>
        <w:sz w:val="16"/>
      </w:rPr>
      <w:t>Part of the AurumX Documentation Suite v1.0  •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92" w:val="center"/>
        <w:tab w:pos="9184" w:val="right"/>
      </w:tabs>
      <w:jc w:val="center"/>
    </w:pPr>
    <w:r>
      <w:rPr>
        <w:rFonts w:ascii="Calibri" w:hAnsi="Calibri" w:cs="Calibri"/>
        <w:b w:val="0"/>
        <w:i/>
        <w:color w:val="6B6B6B"/>
        <w:sz w:val="16"/>
      </w:rPr>
      <w:t>AurumX Documentation Suite v1.0</w:t>
      <w:tab/>
    </w:r>
    <w:r>
      <w:rPr>
        <w:rFonts w:ascii="Calibri" w:hAnsi="Calibri" w:cs="Calibri"/>
        <w:b/>
        <w:i w:val="0"/>
        <w:color w:val="2D2D2D"/>
        <w:sz w:val="18"/>
      </w:rPr>
      <w:fldChar w:fldCharType="begin" w:dirty="true"/>
      <w:instrText xml:space="preserve">PAGE \* MERGEFORMAT</w:instrText>
      <w:fldChar w:fldCharType="separate"/>
      <w:t>Loading…</w:t>
      <w:fldChar w:fldCharType="end"/>
    </w:r>
    <w:r>
      <w:rPr>
        <w:rFonts w:ascii="Calibri" w:hAnsi="Calibri" w:cs="Calibri"/>
        <w:b w:val="0"/>
        <w:i/>
        <w:color w:val="6B6B6B"/>
        <w:sz w:val="16"/>
      </w:rPr>
      <w:tab/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/>
        <w:i w:val="0"/>
        <w:caps/>
        <w:color w:val="C9A227"/>
        <w:sz w:val="16"/>
      </w:rPr>
      <w:t xml:space="preserve">AURUMX  •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B6F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