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88" w:lineRule="auto"/>
        <w:ind w:left="1247" w:right="1247"/>
        <w:jc w:val="left"/>
        <w:shd w:val="clear" w:color="auto" w:fill="FAF6EC"/>
      </w:pPr>
    </w:p>
    <w:p>
      <w:pPr>
        <w:spacing w:before="1200" w:after="40"/>
        <w:ind w:left="1247" w:right="1247"/>
        <w:jc w:val="left"/>
        <w:shd w:val="clear" w:color="auto" w:fill="FAF6EC"/>
      </w:pPr>
      <w:r>
        <w:rPr>
          <w:rFonts w:ascii="Calibri" w:hAnsi="Calibri" w:cs="Calibri"/>
          <w:b/>
          <w:i w:val="0"/>
          <w:caps/>
          <w:color w:val="C9A227"/>
          <w:sz w:val="22"/>
        </w:rPr>
        <w:t>AURUMX</w:t>
      </w:r>
      <w:r>
        <w:rPr>
          <w:rFonts w:ascii="Calibri" w:hAnsi="Calibri" w:cs="Calibri"/>
          <w:b w:val="0"/>
          <w:i w:val="0"/>
          <w:caps/>
          <w:color w:val="6B6B6B"/>
          <w:sz w:val="22"/>
        </w:rPr>
        <w:t xml:space="preserve">  •  DOCUMENTATION SUITE v1.0</w:t>
      </w:r>
    </w:p>
    <w:p>
      <w:pPr>
        <w:spacing w:before="40" w:after="1200"/>
        <w:ind w:left="1247" w:right="1247"/>
        <w:jc w:val="left"/>
        <w:shd w:val="clear" w:color="auto" w:fill="FAF6EC"/>
        <w:pBdr>
          <w:bottom w:val="single" w:sz="18" w:space="4" w:color="C9A227"/>
        </w:pBdr>
      </w:pPr>
    </w:p>
    <w:p>
      <w:pPr>
        <w:spacing w:before="0" w:after="360" w:line="288" w:lineRule="auto"/>
        <w:ind w:left="1247" w:right="1247"/>
        <w:jc w:val="left"/>
        <w:shd w:val="clear" w:color="auto" w:fill="FAF6EC"/>
      </w:pPr>
      <w:r>
        <w:rPr>
          <w:rFonts w:ascii="Calibri" w:hAnsi="Calibri" w:cs="Calibri"/>
          <w:b/>
          <w:i w:val="0"/>
          <w:caps/>
          <w:color w:val="8B6F12"/>
          <w:sz w:val="28"/>
        </w:rPr>
        <w:t>DOCUMENT 03</w:t>
      </w:r>
    </w:p>
    <w:p>
      <w:pPr>
        <w:spacing w:after="160" w:line="252" w:lineRule="auto"/>
        <w:ind w:left="1247" w:right="1247"/>
        <w:jc w:val="left"/>
        <w:shd w:val="clear" w:color="auto" w:fill="FAF6EC"/>
      </w:pPr>
      <w:r>
        <w:rPr>
          <w:rFonts w:ascii="Calibri" w:hAnsi="Calibri" w:cs="Calibri"/>
          <w:b/>
          <w:i w:val="0"/>
          <w:color w:val="1A1A1A"/>
          <w:sz w:val="76"/>
        </w:rPr>
        <w:t>User Success Journeys</w:t>
      </w:r>
    </w:p>
    <w:p>
      <w:pPr>
        <w:spacing w:before="0" w:after="400"/>
        <w:ind w:left="1247" w:right="6803"/>
        <w:shd w:val="clear" w:color="auto" w:fill="FAF6EC"/>
        <w:pBdr>
          <w:bottom w:val="single" w:sz="24" w:space="1" w:color="C9A227"/>
        </w:pBdr>
      </w:pPr>
    </w:p>
    <w:p>
      <w:pPr>
        <w:spacing w:after="720" w:line="336" w:lineRule="auto"/>
        <w:ind w:left="1247" w:right="2268"/>
        <w:jc w:val="left"/>
        <w:shd w:val="clear" w:color="auto" w:fill="FAF6EC"/>
      </w:pPr>
      <w:r>
        <w:rPr>
          <w:rFonts w:ascii="Calibri" w:hAnsi="Calibri" w:cs="Calibri"/>
          <w:b w:val="0"/>
          <w:i/>
          <w:color w:val="4A4A4A"/>
          <w:sz w:val="26"/>
        </w:rPr>
        <w:t>End-to-end experience narratives for each persona pursuing their single most critical goal on the platform.</w:t>
      </w:r>
    </w:p>
    <w:p>
      <w:pPr>
        <w:spacing w:after="1200"/>
        <w:ind w:left="1247" w:right="1247"/>
        <w:jc w:val="left"/>
        <w:shd w:val="clear" w:color="auto" w:fill="FAF6EC"/>
      </w:pPr>
      <w:r>
        <w:rPr>
          <w:rFonts w:ascii="Calibri" w:hAnsi="Calibri" w:cs="Calibri"/>
          <w:b/>
          <w:i w:val="0"/>
          <w:caps/>
          <w:color w:val="6B6B6B"/>
          <w:sz w:val="18"/>
        </w:rPr>
        <w:t xml:space="preserve">SCOPE  </w:t>
      </w:r>
      <w:r>
        <w:rPr>
          <w:rFonts w:ascii="Calibri" w:hAnsi="Calibri" w:cs="Calibri"/>
          <w:b w:val="0"/>
          <w:i w:val="0"/>
          <w:color w:val="2D2D2D"/>
          <w:sz w:val="20"/>
        </w:rPr>
        <w:t>Discover • Validate • Trade • Settle • Habitual Use</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000" w:line="240" w:lineRule="auto"/>
        <w:ind w:left="1247" w:right="1247"/>
        <w:shd w:val="clear" w:color="auto" w:fill="FAF6EC"/>
      </w:pPr>
      <w:r>
        <w:rPr>
          <w:rFonts w:ascii="Calibri" w:hAnsi="Calibri" w:cs="Calibri"/>
          <w:b w:val="0"/>
          <w:i w:val="0"/>
          <w:color w:val="FAF6EC"/>
          <w:sz w:val="20"/>
        </w:rPr>
        <w:t xml:space="preserve"> </w:t>
      </w:r>
    </w:p>
    <w:p>
      <w:pPr>
        <w:spacing w:before="0" w:after="160"/>
        <w:ind w:left="1247" w:right="1247"/>
        <w:shd w:val="clear" w:color="auto" w:fill="FAF6EC"/>
        <w:pBdr>
          <w:top w:val="single" w:sz="8" w:space="4" w:color="C9A227"/>
        </w:pBdr>
      </w:pPr>
    </w:p>
    <w:p>
      <w:pPr>
        <w:spacing w:after="40"/>
        <w:ind w:left="1247" w:right="1247"/>
        <w:shd w:val="clear" w:color="auto" w:fill="FAF6EC"/>
      </w:pPr>
      <w:r>
        <w:rPr>
          <w:rFonts w:ascii="Calibri" w:hAnsi="Calibri" w:cs="Calibri"/>
          <w:b/>
          <w:i w:val="0"/>
          <w:caps/>
          <w:color w:val="6B6B6B"/>
          <w:sz w:val="16"/>
        </w:rPr>
        <w:t xml:space="preserve">SPONSOR  </w:t>
      </w:r>
      <w:r>
        <w:rPr>
          <w:rFonts w:ascii="Calibri" w:hAnsi="Calibri" w:cs="Calibri"/>
          <w:b w:val="0"/>
          <w:i w:val="0"/>
          <w:color w:val="1A1A1A"/>
          <w:sz w:val="20"/>
        </w:rPr>
        <w:t>Ghana Chamber of Gold Buyers</w:t>
      </w:r>
    </w:p>
    <w:p>
      <w:pPr>
        <w:spacing w:after="40"/>
        <w:ind w:left="1247" w:right="1247"/>
        <w:shd w:val="clear" w:color="auto" w:fill="FAF6EC"/>
      </w:pPr>
      <w:r>
        <w:rPr>
          <w:rFonts w:ascii="Calibri" w:hAnsi="Calibri" w:cs="Calibri"/>
          <w:b/>
          <w:i w:val="0"/>
          <w:caps/>
          <w:color w:val="6B6B6B"/>
          <w:sz w:val="16"/>
        </w:rPr>
        <w:t xml:space="preserve">TECHNOLOGY PARTNER  </w:t>
      </w:r>
      <w:r>
        <w:rPr>
          <w:rFonts w:ascii="Calibri" w:hAnsi="Calibri" w:cs="Calibri"/>
          <w:b w:val="0"/>
          <w:i w:val="0"/>
          <w:color w:val="1A1A1A"/>
          <w:sz w:val="20"/>
        </w:rPr>
        <w:t>Vanta Technologies Ltd.</w:t>
      </w:r>
    </w:p>
    <w:p>
      <w:pPr>
        <w:spacing w:after="1200"/>
        <w:ind w:left="1247" w:right="1247"/>
        <w:shd w:val="clear" w:color="auto" w:fill="FAF6EC"/>
      </w:pPr>
      <w:r>
        <w:rPr>
          <w:rFonts w:ascii="Calibri" w:hAnsi="Calibri" w:cs="Calibri"/>
          <w:b/>
          <w:i w:val="0"/>
          <w:caps/>
          <w:color w:val="8B6F12"/>
          <w:sz w:val="16"/>
        </w:rPr>
        <w:t>CONFIDENTIAL  •  CHAMBER &amp; VENDOR INTERNAL  •  AUTHORIZATION DATE 15 AUGUST 2026</w:t>
      </w:r>
    </w:p>
    <w:p>
      <w:pPr>
        <w:sectPr>
          <w:footerReference w:type="first" r:id="rId9"/>
          <w:pgSz w:w="11906" w:h="16838"/>
          <w:pgMar w:top="0" w:right="0" w:bottom="0" w:left="0" w:header="720" w:footer="720" w:gutter="0"/>
          <w:cols w:space="720"/>
          <w:docGrid w:linePitch="360"/>
        </w:sectPr>
      </w:pPr>
    </w:p>
    <w:p>
      <w:pPr>
        <w:spacing w:before="0" w:after="120"/>
        <w:jc w:val="left"/>
      </w:pPr>
      <w:r>
        <w:rPr>
          <w:rFonts w:ascii="Calibri" w:hAnsi="Calibri" w:cs="Calibri"/>
          <w:b/>
          <w:i w:val="0"/>
          <w:caps/>
          <w:color w:val="1A1A1A"/>
          <w:sz w:val="44"/>
        </w:rPr>
        <w:t>TABLE OF CONTENTS</w:t>
      </w:r>
    </w:p>
    <w:p>
      <w:pPr>
        <w:spacing w:before="0" w:after="480"/>
        <w:pBdr>
          <w:bottom w:val="single" w:sz="12" w:space="1" w:color="C9A227"/>
        </w:pBdr>
        <w:ind w:right="7370"/>
      </w:pPr>
    </w:p>
    <w:p>
      <w:pPr>
        <w:spacing w:after="240"/>
      </w:pPr>
      <w:r>
        <w:fldChar w:fldCharType="begin" w:dirty="true"/>
        <w:instrText xml:space="preserve">TOC \o "1-3" \h \z \u</w:instrText>
        <w:fldChar w:fldCharType="separate"/>
        <w:t>Loading…</w:t>
        <w:fldChar w:fldCharType="end"/>
      </w:r>
    </w:p>
    <w:p>
      <w:pPr>
        <w:spacing w:before="240"/>
        <w:jc w:val="left"/>
      </w:pPr>
      <w:r>
        <w:rPr>
          <w:rFonts w:ascii="Calibri" w:hAnsi="Calibri" w:cs="Calibri"/>
          <w:b w:val="0"/>
          <w:i/>
          <w:color w:val="6B6B6B"/>
          <w:sz w:val="18"/>
        </w:rPr>
        <w:t>Right-click the table of contents and select “Update Field” to refresh page numbers after opening in Microsoft Word.</w:t>
      </w:r>
    </w:p>
    <w:p>
      <w:r>
        <w:br w:type="page"/>
      </w:r>
    </w:p>
    <w:p>
      <w:pPr>
        <w:pStyle w:val="Heading1"/>
        <w:keepNext/>
        <w:spacing w:before="240" w:after="120"/>
        <w:jc w:val="left"/>
        <w:pBdr>
          <w:bottom w:val="single" w:sz="16" w:space="6" w:color="C9A227"/>
        </w:pBdr>
      </w:pPr>
      <w:r>
        <w:rPr>
          <w:rFonts w:ascii="Calibri" w:hAnsi="Calibri" w:cs="Calibri"/>
          <w:b/>
          <w:i w:val="0"/>
          <w:color w:val="1A1A1A"/>
          <w:sz w:val="56"/>
        </w:rPr>
        <w:t>Document 3 — User Success Journeys</w:t>
      </w:r>
    </w:p>
    <w:p>
      <w:pPr>
        <w:spacing w:after="160" w:line="336" w:lineRule="auto"/>
        <w:ind w:firstLine="0"/>
        <w:jc w:val="both"/>
      </w:pPr>
      <w:r>
        <w:rPr>
          <w:rFonts w:ascii="Calibri" w:hAnsi="Calibri" w:cs="Calibri"/>
          <w:b w:val="0"/>
          <w:i w:val="0"/>
          <w:color w:val="1A1A1A"/>
          <w:sz w:val="21"/>
        </w:rPr>
        <w:t>A user success journey describes the end-to-end experience a persona has while pursuing their single most critical goal on the platform. Each journey is broken into stages, and for each stage we describe the user's actions, the touchpoints they encounter, their emotions and pain points along the way, and the opportunities the product has to remove friction or add value. The four journeys below correspond to the four primary personas introduced in Document 2.</w:t>
      </w:r>
    </w:p>
    <w:p>
      <w:pPr>
        <w:pStyle w:val="Heading2"/>
        <w:keepNext/>
        <w:spacing w:before="360" w:after="160"/>
        <w:jc w:val="left"/>
        <w:pBdr>
          <w:bottom w:val="single" w:sz="6" w:space="4" w:color="C9A227"/>
        </w:pBdr>
      </w:pPr>
      <w:r>
        <w:rPr>
          <w:rFonts w:ascii="Calibri" w:hAnsi="Calibri" w:cs="Calibri"/>
          <w:b/>
          <w:i w:val="0"/>
          <w:color w:val="1A1A1A"/>
          <w:sz w:val="32"/>
        </w:rPr>
        <w:t>3.1 Journey 1 — Kwame: Vet and Onboard a New Tier 2 Counterparty</w:t>
      </w:r>
    </w:p>
    <w:p>
      <w:pPr>
        <w:spacing w:after="160" w:line="336" w:lineRule="auto"/>
        <w:ind w:firstLine="0"/>
        <w:jc w:val="both"/>
      </w:pPr>
      <w:r>
        <w:rPr>
          <w:rFonts w:ascii="Calibri" w:hAnsi="Calibri" w:cs="Calibri"/>
          <w:b w:val="0"/>
          <w:i w:val="0"/>
          <w:color w:val="1A1A1A"/>
          <w:sz w:val="21"/>
        </w:rPr>
        <w:t>Kwame Asare, Head of West African Sourcing at Helvetia Refining AG, needs to identify, vet, and onboard a new Ghanaian Tier 2 seller — from initial discovery to first completed trade with full audit defensibility — in under 21 days. This journey moves through Discover → Validate → First Trade → Settle &amp; Deliver → Habitual Use.</w:t>
      </w:r>
    </w:p>
    <w:p>
      <w:pPr>
        <w:pStyle w:val="Heading3"/>
        <w:keepNext/>
        <w:spacing w:before="240" w:after="120"/>
        <w:jc w:val="left"/>
      </w:pPr>
      <w:r>
        <w:rPr>
          <w:rFonts w:ascii="Calibri" w:hAnsi="Calibri" w:cs="Calibri"/>
          <w:b/>
          <w:i w:val="0"/>
          <w:caps/>
          <w:color w:val="8B6F12"/>
          <w:sz w:val="24"/>
        </w:rPr>
        <w:t>Stage 1 — Discover (Days 1–3)</w:t>
      </w:r>
    </w:p>
    <w:p>
      <w:pPr>
        <w:spacing w:after="160" w:line="336" w:lineRule="auto"/>
        <w:ind w:firstLine="0"/>
        <w:jc w:val="both"/>
      </w:pPr>
      <w:r>
        <w:rPr>
          <w:rFonts w:ascii="Calibri" w:hAnsi="Calibri" w:cs="Calibri"/>
          <w:b w:val="0"/>
          <w:i w:val="0"/>
          <w:color w:val="1A1A1A"/>
          <w:sz w:val="21"/>
        </w:rPr>
        <w:t>Kwame receives an in-platform alert that a new Tier 2 seller (GoldLink Exports, owned by Abena Owusu) has been verified and listed. He opens the counterparty directory, filters by region, license type, and trade volume history, and shortlists three candidates including GoldLink. The platform's AML/risk screen has rated GoldLink as Low risk, providing immediate relief.</w:t>
      </w:r>
    </w:p>
    <w:p>
      <w:pPr>
        <w:spacing w:after="160" w:line="336" w:lineRule="auto"/>
        <w:ind w:firstLine="0"/>
        <w:jc w:val="both"/>
      </w:pPr>
      <w:r>
        <w:rPr>
          <w:rFonts w:ascii="Calibri" w:hAnsi="Calibri" w:cs="Calibri"/>
          <w:b w:val="0"/>
          <w:i w:val="0"/>
          <w:color w:val="1A1A1A"/>
          <w:sz w:val="21"/>
        </w:rPr>
        <w:t>Pain point: the directory shows license status but not historical trade volume benchmark or average settlement speed. Kwame has to click through to a separate screen to compare against peers.</w:t>
      </w:r>
    </w:p>
    <w:p>
      <w:pPr>
        <w:spacing w:after="160" w:line="336" w:lineRule="auto"/>
        <w:ind w:firstLine="0"/>
        <w:jc w:val="both"/>
      </w:pPr>
      <w:r>
        <w:rPr>
          <w:rFonts w:ascii="Calibri" w:hAnsi="Calibri" w:cs="Calibri"/>
          <w:b w:val="0"/>
          <w:i w:val="0"/>
          <w:color w:val="1A1A1A"/>
          <w:sz w:val="21"/>
        </w:rPr>
        <w:t>Opportunity: surface a peer-benchmark widget directly in the directory card showing median trade volume, median settlement time, and dispute rate for similar-sized exporters. Show OECD Annex II red-flag indicators as colored badges rather than a single aggregate score.</w:t>
      </w:r>
    </w:p>
    <w:p>
      <w:pPr>
        <w:pStyle w:val="Heading3"/>
        <w:keepNext/>
        <w:spacing w:before="240" w:after="120"/>
        <w:jc w:val="left"/>
      </w:pPr>
      <w:r>
        <w:rPr>
          <w:rFonts w:ascii="Calibri" w:hAnsi="Calibri" w:cs="Calibri"/>
          <w:b/>
          <w:i w:val="0"/>
          <w:caps/>
          <w:color w:val="8B6F12"/>
          <w:sz w:val="24"/>
        </w:rPr>
        <w:t>Stage 2 — Validate (Days 4–10)</w:t>
      </w:r>
    </w:p>
    <w:p>
      <w:pPr>
        <w:spacing w:after="160" w:line="336" w:lineRule="auto"/>
        <w:ind w:firstLine="0"/>
        <w:jc w:val="both"/>
      </w:pPr>
      <w:r>
        <w:rPr>
          <w:rFonts w:ascii="Calibri" w:hAnsi="Calibri" w:cs="Calibri"/>
          <w:b w:val="0"/>
          <w:i w:val="0"/>
          <w:color w:val="1A1A1A"/>
          <w:sz w:val="21"/>
        </w:rPr>
        <w:t>Kwame requests an Enhanced Due Diligence (EDD) pack for GoldLink. The platform pulls the pack from Abena's onboarding upload plus the Chamber registry. Kwame reviews the license scan, tax certificate, beneficial ownership declaration, and three-year trade history. He validates GoldLink against OECD Annex II indicators — origin, supplier source, payment patterns — and approves GoldLink as a Tier 1-listed counterparty.</w:t>
      </w:r>
    </w:p>
    <w:p>
      <w:pPr>
        <w:spacing w:after="160" w:line="336" w:lineRule="auto"/>
        <w:ind w:firstLine="0"/>
        <w:jc w:val="both"/>
      </w:pPr>
      <w:r>
        <w:rPr>
          <w:rFonts w:ascii="Calibri" w:hAnsi="Calibri" w:cs="Calibri"/>
          <w:b w:val="0"/>
          <w:i w:val="0"/>
          <w:color w:val="1A1A1A"/>
          <w:sz w:val="21"/>
        </w:rPr>
        <w:t>Pain point: EDD packs are inconsistent across sellers — some include beneficial ownership, others omit it. OECD risk scoring is a single aggregate number rather than a structured rubric.</w:t>
      </w:r>
    </w:p>
    <w:p>
      <w:pPr>
        <w:spacing w:after="160" w:line="336" w:lineRule="auto"/>
        <w:ind w:firstLine="0"/>
        <w:jc w:val="both"/>
      </w:pPr>
      <w:r>
        <w:rPr>
          <w:rFonts w:ascii="Calibri" w:hAnsi="Calibri" w:cs="Calibri"/>
          <w:b w:val="0"/>
          <w:i w:val="0"/>
          <w:color w:val="1A1A1A"/>
          <w:sz w:val="21"/>
        </w:rPr>
        <w:t>Opportunity: enforce a standardized EDD template at onboarding with required fields and validation. Structure OECD risk as a rubric with each dimension scored separately.</w:t>
      </w:r>
    </w:p>
    <w:p>
      <w:pPr>
        <w:pStyle w:val="Heading3"/>
        <w:keepNext/>
        <w:spacing w:before="240" w:after="120"/>
        <w:jc w:val="left"/>
      </w:pPr>
      <w:r>
        <w:rPr>
          <w:rFonts w:ascii="Calibri" w:hAnsi="Calibri" w:cs="Calibri"/>
          <w:b/>
          <w:i w:val="0"/>
          <w:caps/>
          <w:color w:val="8B6F12"/>
          <w:sz w:val="24"/>
        </w:rPr>
        <w:t>Stage 3 — First Trade (Days 11–14)</w:t>
      </w:r>
    </w:p>
    <w:p>
      <w:pPr>
        <w:spacing w:after="160" w:line="336" w:lineRule="auto"/>
        <w:ind w:firstLine="0"/>
        <w:jc w:val="both"/>
      </w:pPr>
      <w:r>
        <w:rPr>
          <w:rFonts w:ascii="Calibri" w:hAnsi="Calibri" w:cs="Calibri"/>
          <w:b w:val="0"/>
          <w:i w:val="0"/>
          <w:color w:val="1A1A1A"/>
          <w:sz w:val="21"/>
        </w:rPr>
        <w:t>GoldLink lists a 5 kg, 99.5% purity lot. Kwame receives a Tier 1 priority alert (his Tier 1 status grants 4-hour exclusivity). He submits a counter-offer at US$2 below the LBMA fix. Abena responds within 90 minutes. They settle on a price after two rounds. Escrow is funded automatically by Kwame's bank integration.</w:t>
      </w:r>
    </w:p>
    <w:p>
      <w:pPr>
        <w:spacing w:after="160" w:line="336" w:lineRule="auto"/>
        <w:ind w:firstLine="0"/>
        <w:jc w:val="both"/>
      </w:pPr>
      <w:r>
        <w:rPr>
          <w:rFonts w:ascii="Calibri" w:hAnsi="Calibri" w:cs="Calibri"/>
          <w:b w:val="0"/>
          <w:i w:val="0"/>
          <w:color w:val="1A1A1A"/>
          <w:sz w:val="21"/>
        </w:rPr>
        <w:t>Pain point: the negotiation UI requires a full page reload after each counter-offer, which feels slow for high-stakes back-and-forth. The Tier 1 exclusivity window is not visible in the negotiation header.</w:t>
      </w:r>
    </w:p>
    <w:p>
      <w:pPr>
        <w:spacing w:after="160" w:line="336" w:lineRule="auto"/>
        <w:ind w:firstLine="0"/>
        <w:jc w:val="both"/>
      </w:pPr>
      <w:r>
        <w:rPr>
          <w:rFonts w:ascii="Calibri" w:hAnsi="Calibri" w:cs="Calibri"/>
          <w:b w:val="0"/>
          <w:i w:val="0"/>
          <w:color w:val="1A1A1A"/>
          <w:sz w:val="21"/>
        </w:rPr>
        <w:t>Opportunity: real-time negotiation UI via WebSocket; prominent countdown for Tier 1 exclusivity window; AI-suggested counter-offer price ranges based on LBMA fix, lot purity, and recent comparable trades.</w:t>
      </w:r>
    </w:p>
    <w:p>
      <w:pPr>
        <w:pStyle w:val="Heading3"/>
        <w:keepNext/>
        <w:spacing w:before="240" w:after="120"/>
        <w:jc w:val="left"/>
      </w:pPr>
      <w:r>
        <w:rPr>
          <w:rFonts w:ascii="Calibri" w:hAnsi="Calibri" w:cs="Calibri"/>
          <w:b/>
          <w:i w:val="0"/>
          <w:caps/>
          <w:color w:val="8B6F12"/>
          <w:sz w:val="24"/>
        </w:rPr>
        <w:t>Stage 4 — Settle &amp; Deliver (Days 15–18)</w:t>
      </w:r>
    </w:p>
    <w:p>
      <w:pPr>
        <w:spacing w:after="160" w:line="336" w:lineRule="auto"/>
        <w:ind w:firstLine="0"/>
        <w:jc w:val="both"/>
      </w:pPr>
      <w:r>
        <w:rPr>
          <w:rFonts w:ascii="Calibri" w:hAnsi="Calibri" w:cs="Calibri"/>
          <w:b w:val="0"/>
          <w:i w:val="0"/>
          <w:color w:val="1A1A1A"/>
          <w:sz w:val="21"/>
        </w:rPr>
        <w:t>Gold is delivered to the partner vault. Vault confirms receipt in the platform. SGS assay lab issues a digital certificate, auto-attached to the trade record. Title transfers on-platform; escrow releases funds to Abena. Export documentation bundle (PMMC, GRA Customs, BoG FX approval) auto-generates as a PDF + structured JSON package. Kwame's per-deal admin time drops from 6–8 hours to under 45 minutes — directly enabling the Charter Objective of MTTTS ≤ 48 hours.</w:t>
      </w:r>
    </w:p>
    <w:p>
      <w:pPr>
        <w:pStyle w:val="Heading3"/>
        <w:keepNext/>
        <w:spacing w:before="240" w:after="120"/>
        <w:jc w:val="left"/>
      </w:pPr>
      <w:r>
        <w:rPr>
          <w:rFonts w:ascii="Calibri" w:hAnsi="Calibri" w:cs="Calibri"/>
          <w:b/>
          <w:i w:val="0"/>
          <w:caps/>
          <w:color w:val="8B6F12"/>
          <w:sz w:val="24"/>
        </w:rPr>
        <w:t>Stage 5 — Habitual Use (Days 19–21+)</w:t>
      </w:r>
    </w:p>
    <w:p>
      <w:pPr>
        <w:spacing w:after="160" w:line="336" w:lineRule="auto"/>
        <w:ind w:firstLine="0"/>
        <w:jc w:val="both"/>
      </w:pPr>
      <w:r>
        <w:rPr>
          <w:rFonts w:ascii="Calibri" w:hAnsi="Calibri" w:cs="Calibri"/>
          <w:b w:val="0"/>
          <w:i w:val="0"/>
          <w:color w:val="1A1A1A"/>
          <w:sz w:val="21"/>
        </w:rPr>
        <w:t>Kwame adds GoldLink to his preferred counterparty panel. He sets up an auto-alert for any 5+ kg, 99.5%+ purity lot from GoldLink. Over the next 8 weeks, he completes 6 more trades with GoldLink. His per-deal admin time stabilizes below 1 hour. The platform's value to Kwame is the collapse of counterparty-vetting time from weeks to days and the elimination of paperwork on every trade.</w:t>
      </w:r>
    </w:p>
    <w:p>
      <w:pPr>
        <w:spacing w:after="160" w:line="336" w:lineRule="auto"/>
        <w:ind w:firstLine="0"/>
        <w:jc w:val="both"/>
      </w:pPr>
      <w:r>
        <w:rPr>
          <w:rFonts w:ascii="Calibri" w:hAnsi="Calibri" w:cs="Calibri"/>
          <w:b w:val="0"/>
          <w:i w:val="0"/>
          <w:color w:val="1A1A1A"/>
          <w:sz w:val="21"/>
        </w:rPr>
        <w:t>&gt; Journey 1 Summary: Kwame's journey moves from proactive discovery through structured validation, into the first trade, and finally into habitual partnership. His per-deal admin time falls from 6–8 hours to under 1 hour, directly enabling Charter Objective \#3 (MTTTS ≤ 48 hours). His continued Tier 1 participation is the precondition for the platform's liquidity.</w:t>
      </w:r>
    </w:p>
    <w:p>
      <w:pPr>
        <w:pStyle w:val="Heading2"/>
        <w:keepNext/>
        <w:spacing w:before="360" w:after="160"/>
        <w:jc w:val="left"/>
        <w:pBdr>
          <w:bottom w:val="single" w:sz="6" w:space="4" w:color="C9A227"/>
        </w:pBdr>
      </w:pPr>
      <w:r>
        <w:rPr>
          <w:rFonts w:ascii="Calibri" w:hAnsi="Calibri" w:cs="Calibri"/>
          <w:b/>
          <w:i w:val="0"/>
          <w:color w:val="1A1A1A"/>
          <w:sz w:val="32"/>
        </w:rPr>
        <w:t>3.2 Journey 2 — Abena: Source, Sell, and Export Within 5 Days</w:t>
      </w:r>
    </w:p>
    <w:p>
      <w:pPr>
        <w:spacing w:after="160" w:line="336" w:lineRule="auto"/>
        <w:ind w:firstLine="0"/>
        <w:jc w:val="both"/>
      </w:pPr>
      <w:r>
        <w:rPr>
          <w:rFonts w:ascii="Calibri" w:hAnsi="Calibri" w:cs="Calibri"/>
          <w:b w:val="0"/>
          <w:i w:val="0"/>
          <w:color w:val="1A1A1A"/>
          <w:sz w:val="21"/>
        </w:rPr>
        <w:t>Abena Owusu needs to source gold from a new aggregator, complete the trade through escrow, and obtain a full export permit set within 5 business days, where the same workflow today takes 10–14 days. This is the platform's commercial core.</w:t>
      </w:r>
    </w:p>
    <w:p>
      <w:pPr>
        <w:pStyle w:val="Heading3"/>
        <w:keepNext/>
        <w:spacing w:before="240" w:after="120"/>
        <w:jc w:val="left"/>
      </w:pPr>
      <w:r>
        <w:rPr>
          <w:rFonts w:ascii="Calibri" w:hAnsi="Calibri" w:cs="Calibri"/>
          <w:b/>
          <w:i w:val="0"/>
          <w:caps/>
          <w:color w:val="8B6F12"/>
          <w:sz w:val="24"/>
        </w:rPr>
        <w:t>Stage 1 — Discover Supply (Day 1)</w:t>
      </w:r>
    </w:p>
    <w:p>
      <w:pPr>
        <w:spacing w:after="160" w:line="336" w:lineRule="auto"/>
        <w:ind w:firstLine="0"/>
        <w:jc w:val="both"/>
      </w:pPr>
      <w:r>
        <w:rPr>
          <w:rFonts w:ascii="Calibri" w:hAnsi="Calibri" w:cs="Calibri"/>
          <w:b w:val="0"/>
          <w:i w:val="0"/>
          <w:color w:val="1A1A1A"/>
          <w:sz w:val="21"/>
        </w:rPr>
        <w:t>Abena logs into the AurumX mobile PWA during her morning commute. She reviews 4 incoming RFQs from aggregators, including one from the Banda Cooperative. The platform presents a side-by-side comparison of the 4 lots — weight, purity, asking price vs. LBMA fix, and seller trust score. She selects the Banda Cooperative's 3 kg lot at 99.2% purity.</w:t>
      </w:r>
    </w:p>
    <w:p>
      <w:pPr>
        <w:spacing w:after="160" w:line="336" w:lineRule="auto"/>
        <w:ind w:firstLine="0"/>
        <w:jc w:val="both"/>
      </w:pPr>
      <w:r>
        <w:rPr>
          <w:rFonts w:ascii="Calibri" w:hAnsi="Calibri" w:cs="Calibri"/>
          <w:b w:val="0"/>
          <w:i w:val="0"/>
          <w:color w:val="1A1A1A"/>
          <w:sz w:val="21"/>
        </w:rPr>
        <w:t>Pain point: the mobile UI is slightly cramped on the comparison view; she has to scroll horizontally. The seller trust score is a single number without explanation.</w:t>
      </w:r>
    </w:p>
    <w:p>
      <w:pPr>
        <w:spacing w:after="160" w:line="336" w:lineRule="auto"/>
        <w:ind w:firstLine="0"/>
        <w:jc w:val="both"/>
      </w:pPr>
      <w:r>
        <w:rPr>
          <w:rFonts w:ascii="Calibri" w:hAnsi="Calibri" w:cs="Calibri"/>
          <w:b w:val="0"/>
          <w:i w:val="0"/>
          <w:color w:val="1A1A1A"/>
          <w:sz w:val="21"/>
        </w:rPr>
        <w:t>Opportunity: responsive comparison view optimized for phone (stacked cards, not horizontal scroll). Explainable trust score — tap to see underlying factors.</w:t>
      </w:r>
    </w:p>
    <w:p>
      <w:pPr>
        <w:pStyle w:val="Heading3"/>
        <w:keepNext/>
        <w:spacing w:before="240" w:after="120"/>
        <w:jc w:val="left"/>
      </w:pPr>
      <w:r>
        <w:rPr>
          <w:rFonts w:ascii="Calibri" w:hAnsi="Calibri" w:cs="Calibri"/>
          <w:b/>
          <w:i w:val="0"/>
          <w:caps/>
          <w:color w:val="8B6F12"/>
          <w:sz w:val="24"/>
        </w:rPr>
        <w:t>Stage 2 — Negotiate &amp; Trade (Day 2)</w:t>
      </w:r>
    </w:p>
    <w:p>
      <w:pPr>
        <w:spacing w:after="160" w:line="336" w:lineRule="auto"/>
        <w:ind w:firstLine="0"/>
        <w:jc w:val="both"/>
      </w:pPr>
      <w:r>
        <w:rPr>
          <w:rFonts w:ascii="Calibri" w:hAnsi="Calibri" w:cs="Calibri"/>
          <w:b w:val="0"/>
          <w:i w:val="0"/>
          <w:color w:val="1A1A1A"/>
          <w:sz w:val="21"/>
        </w:rPr>
        <w:t>Abena submits a counter-offer via the mobile app. Ibrahim responds within 2 hours via WhatsApp (the platform mirrors the conversation in-app). They settle on a price after one round. Escrow is funded automatically by Abena's bank (Stanbic) through the platform's bank escrow integration.</w:t>
      </w:r>
    </w:p>
    <w:p>
      <w:pPr>
        <w:spacing w:after="160" w:line="336" w:lineRule="auto"/>
        <w:ind w:firstLine="0"/>
        <w:jc w:val="both"/>
      </w:pPr>
      <w:r>
        <w:rPr>
          <w:rFonts w:ascii="Calibri" w:hAnsi="Calibri" w:cs="Calibri"/>
          <w:b w:val="0"/>
          <w:i w:val="0"/>
          <w:color w:val="1A1A1A"/>
          <w:sz w:val="21"/>
        </w:rPr>
        <w:t>Pain point: the WhatsApp mirror has a 30-second delay. Bank escrow integration requires pre-authorization; she does not remember having done so.</w:t>
      </w:r>
    </w:p>
    <w:p>
      <w:pPr>
        <w:spacing w:after="160" w:line="336" w:lineRule="auto"/>
        <w:ind w:firstLine="0"/>
        <w:jc w:val="both"/>
      </w:pPr>
      <w:r>
        <w:rPr>
          <w:rFonts w:ascii="Calibri" w:hAnsi="Calibri" w:cs="Calibri"/>
          <w:b w:val="0"/>
          <w:i w:val="0"/>
          <w:color w:val="1A1A1A"/>
          <w:sz w:val="21"/>
        </w:rPr>
        <w:t>Opportunity: reduce WhatsApp mirror latency to under 5 seconds; clear pre-authorization banner at trade start showing escrow will be funded by Stanbic account ending 4521.</w:t>
      </w:r>
    </w:p>
    <w:p>
      <w:pPr>
        <w:pStyle w:val="Heading3"/>
        <w:keepNext/>
        <w:spacing w:before="240" w:after="120"/>
        <w:jc w:val="left"/>
      </w:pPr>
      <w:r>
        <w:rPr>
          <w:rFonts w:ascii="Calibri" w:hAnsi="Calibri" w:cs="Calibri"/>
          <w:b/>
          <w:i w:val="0"/>
          <w:caps/>
          <w:color w:val="8B6F12"/>
          <w:sz w:val="24"/>
        </w:rPr>
        <w:t>Stage 3 — Receive &amp; Assay (Day 3)</w:t>
      </w:r>
    </w:p>
    <w:p>
      <w:pPr>
        <w:spacing w:after="160" w:line="336" w:lineRule="auto"/>
        <w:ind w:firstLine="0"/>
        <w:jc w:val="both"/>
      </w:pPr>
      <w:r>
        <w:rPr>
          <w:rFonts w:ascii="Calibri" w:hAnsi="Calibri" w:cs="Calibri"/>
          <w:b w:val="0"/>
          <w:i w:val="0"/>
          <w:color w:val="1A1A1A"/>
          <w:sz w:val="21"/>
        </w:rPr>
        <w:t>The cooperative delivers gold to Abena's partner vault (Brink's Accra). Vault receipt is confirmed via operator API. Abena requests assay through the platform; SGS assays within 12 hours and uploads a digital certificate. Title transfers from the cooperative to Abena on-platform. Escrow releases funds to the cooperative's bank account within 30 minutes.</w:t>
      </w:r>
    </w:p>
    <w:p>
      <w:pPr>
        <w:pStyle w:val="Heading3"/>
        <w:keepNext/>
        <w:spacing w:before="240" w:after="120"/>
        <w:jc w:val="left"/>
      </w:pPr>
      <w:r>
        <w:rPr>
          <w:rFonts w:ascii="Calibri" w:hAnsi="Calibri" w:cs="Calibri"/>
          <w:b/>
          <w:i w:val="0"/>
          <w:caps/>
          <w:color w:val="8B6F12"/>
          <w:sz w:val="24"/>
        </w:rPr>
        <w:t>Stage 4 — Export Documentation (Days 4–5)</w:t>
      </w:r>
    </w:p>
    <w:p>
      <w:pPr>
        <w:spacing w:after="160" w:line="336" w:lineRule="auto"/>
        <w:ind w:firstLine="0"/>
        <w:jc w:val="both"/>
      </w:pPr>
      <w:r>
        <w:rPr>
          <w:rFonts w:ascii="Calibri" w:hAnsi="Calibri" w:cs="Calibri"/>
          <w:b w:val="0"/>
          <w:i w:val="0"/>
          <w:color w:val="1A1A1A"/>
          <w:sz w:val="21"/>
        </w:rPr>
        <w:t>Abena initiates the export workflow on the platform. The platform auto-applies for a PMMC export permit, pre-populates a GRA customs declaration, and routes a Bank of Ghana FX approval request. All three permits are returned within 48 hours. The platform assembles a single export bundle for Abena's records and for the international buyer. Total cycle time: 5 days vs. 10–14 days pre-platform.</w:t>
      </w:r>
    </w:p>
    <w:p>
      <w:pPr>
        <w:pStyle w:val="Heading3"/>
        <w:keepNext/>
        <w:spacing w:before="240" w:after="120"/>
        <w:jc w:val="left"/>
      </w:pPr>
      <w:r>
        <w:rPr>
          <w:rFonts w:ascii="Calibri" w:hAnsi="Calibri" w:cs="Calibri"/>
          <w:b/>
          <w:i w:val="0"/>
          <w:caps/>
          <w:color w:val="8B6F12"/>
          <w:sz w:val="24"/>
        </w:rPr>
        <w:t>Stage 5 — Habitual Use (Weeks 2+)</w:t>
      </w:r>
    </w:p>
    <w:p>
      <w:pPr>
        <w:spacing w:after="160" w:line="336" w:lineRule="auto"/>
        <w:ind w:firstLine="0"/>
        <w:jc w:val="both"/>
      </w:pPr>
      <w:r>
        <w:rPr>
          <w:rFonts w:ascii="Calibri" w:hAnsi="Calibri" w:cs="Calibri"/>
          <w:b w:val="0"/>
          <w:i w:val="0"/>
          <w:color w:val="1A1A1A"/>
          <w:sz w:val="21"/>
        </w:rPr>
        <w:t>Abena exports her trade history ledger as a structured PDF + JSON package and submits it to Stanbic's trade finance desk. Stanbic approves a US$500K working capital line against her documented trade history. Within 8 weeks, she has completed 6 trades and increased her weekly export volume by 40%. Her access to bank working capital — unlocked by the auditable trade history — multiplies her trade volume, which in turn drives the platform's transaction-fee revenue.</w:t>
      </w:r>
    </w:p>
    <w:p>
      <w:pPr>
        <w:spacing w:after="160" w:line="336" w:lineRule="auto"/>
        <w:ind w:firstLine="0"/>
        <w:jc w:val="both"/>
      </w:pPr>
      <w:r>
        <w:rPr>
          <w:rFonts w:ascii="Calibri" w:hAnsi="Calibri" w:cs="Calibri"/>
          <w:b w:val="0"/>
          <w:i w:val="0"/>
          <w:color w:val="1A1A1A"/>
          <w:sz w:val="21"/>
        </w:rPr>
        <w:t>&gt; Journey 2 Summary: Abena's journey is the platform's commercial core. Her ability to move from gold-in-vault to export-permit-set in 5 days instead of 14 directly enables Charter Objective \#2 (US$50M cumulative trade value processed). Her access to bank working capital — unlocked by the auditable trade history — multiplies her trade volume, which in turn drives the platform's transaction-fee revenue.</w:t>
      </w:r>
    </w:p>
    <w:p>
      <w:pPr>
        <w:pStyle w:val="Heading2"/>
        <w:keepNext/>
        <w:spacing w:before="360" w:after="160"/>
        <w:jc w:val="left"/>
        <w:pBdr>
          <w:bottom w:val="single" w:sz="6" w:space="4" w:color="C9A227"/>
        </w:pBdr>
      </w:pPr>
      <w:r>
        <w:rPr>
          <w:rFonts w:ascii="Calibri" w:hAnsi="Calibri" w:cs="Calibri"/>
          <w:b/>
          <w:i w:val="0"/>
          <w:color w:val="1A1A1A"/>
          <w:sz w:val="32"/>
        </w:rPr>
        <w:t>3.3 Journey 3 — Ibrahim: Sell Gold Safely Without Traveling to Accra</w:t>
      </w:r>
    </w:p>
    <w:p>
      <w:pPr>
        <w:spacing w:after="160" w:line="336" w:lineRule="auto"/>
        <w:ind w:firstLine="0"/>
        <w:jc w:val="both"/>
      </w:pPr>
      <w:r>
        <w:rPr>
          <w:rFonts w:ascii="Calibri" w:hAnsi="Calibri" w:cs="Calibri"/>
          <w:b w:val="0"/>
          <w:i w:val="0"/>
          <w:color w:val="1A1A1A"/>
          <w:sz w:val="21"/>
        </w:rPr>
        <w:t>Ibrahim Toure needs to list the cooperative's 3 kg of weekly gold, receive three competing offers, sell to the highest bidder, and receive payment in escrow before the gold leaves his possession — all without traveling to Accra.</w:t>
      </w:r>
    </w:p>
    <w:p>
      <w:pPr>
        <w:pStyle w:val="Heading3"/>
        <w:keepNext/>
        <w:spacing w:before="240" w:after="120"/>
        <w:jc w:val="left"/>
      </w:pPr>
      <w:r>
        <w:rPr>
          <w:rFonts w:ascii="Calibri" w:hAnsi="Calibri" w:cs="Calibri"/>
          <w:b/>
          <w:i w:val="0"/>
          <w:caps/>
          <w:color w:val="8B6F12"/>
          <w:sz w:val="24"/>
        </w:rPr>
        <w:t>Onboard (Days 1–5)</w:t>
      </w:r>
    </w:p>
    <w:p>
      <w:pPr>
        <w:spacing w:after="160" w:line="336" w:lineRule="auto"/>
        <w:ind w:firstLine="0"/>
        <w:jc w:val="both"/>
      </w:pPr>
      <w:r>
        <w:rPr>
          <w:rFonts w:ascii="Calibri" w:hAnsi="Calibri" w:cs="Calibri"/>
          <w:b w:val="0"/>
          <w:i w:val="0"/>
          <w:color w:val="1A1A1A"/>
          <w:sz w:val="21"/>
        </w:rPr>
        <w:t>Ibrahim receives a WhatsApp invite from the Chamber, taps the link, opens the PWA, creates an organization account, and uploads the cooperative's mining license and member roster. The Chamber compliance team verifies the documents within 5 business days — vs. 6 weeks under the current paper-based process. Multilingual onboarding in English + Twi + Hausa is essential for his Treasurer (Hausa-speaking).</w:t>
      </w:r>
    </w:p>
    <w:p>
      <w:pPr>
        <w:pStyle w:val="Heading3"/>
        <w:keepNext/>
        <w:spacing w:before="240" w:after="120"/>
        <w:jc w:val="left"/>
      </w:pPr>
      <w:r>
        <w:rPr>
          <w:rFonts w:ascii="Calibri" w:hAnsi="Calibri" w:cs="Calibri"/>
          <w:b/>
          <w:i w:val="0"/>
          <w:caps/>
          <w:color w:val="8B6F12"/>
          <w:sz w:val="24"/>
        </w:rPr>
        <w:t>List &amp; Receive Offers (Days 6–8)</w:t>
      </w:r>
    </w:p>
    <w:p>
      <w:pPr>
        <w:spacing w:after="160" w:line="336" w:lineRule="auto"/>
        <w:ind w:firstLine="0"/>
        <w:jc w:val="both"/>
      </w:pPr>
      <w:r>
        <w:rPr>
          <w:rFonts w:ascii="Calibri" w:hAnsi="Calibri" w:cs="Calibri"/>
          <w:b w:val="0"/>
          <w:i w:val="0"/>
          <w:color w:val="1A1A1A"/>
          <w:sz w:val="21"/>
        </w:rPr>
        <w:t>Ibrahim taps "List a lot" on his phone, captures two photos, enters weight (3.0 kg) and purity (99.2%), and submits. The platform generates a lot ID and confirms via SMS. Within 2 hours the first offer arrives; by Day 2, three competing offers are visible side-by-side, with prices shown in USD primary and GHS secondary. The cooperative's executive committee reviews via WhatsApp and accepts the highest offer (from Abena at GoldLink).</w:t>
      </w:r>
    </w:p>
    <w:p>
      <w:pPr>
        <w:pStyle w:val="Heading3"/>
        <w:keepNext/>
        <w:spacing w:before="240" w:after="120"/>
        <w:jc w:val="left"/>
      </w:pPr>
      <w:r>
        <w:rPr>
          <w:rFonts w:ascii="Calibri" w:hAnsi="Calibri" w:cs="Calibri"/>
          <w:b/>
          <w:i w:val="0"/>
          <w:caps/>
          <w:color w:val="8B6F12"/>
          <w:sz w:val="24"/>
        </w:rPr>
        <w:t>Deliver &amp; Settle (Days 9–10)</w:t>
      </w:r>
    </w:p>
    <w:p>
      <w:pPr>
        <w:spacing w:after="160" w:line="336" w:lineRule="auto"/>
        <w:ind w:firstLine="0"/>
        <w:jc w:val="both"/>
      </w:pPr>
      <w:r>
        <w:rPr>
          <w:rFonts w:ascii="Calibri" w:hAnsi="Calibri" w:cs="Calibri"/>
          <w:b w:val="0"/>
          <w:i w:val="0"/>
          <w:color w:val="1A1A1A"/>
          <w:sz w:val="21"/>
        </w:rPr>
        <w:t>Escrow is funded by Abena's bank before the gold leaves Ibrahim's possession — he receives an SMS confirming escrow balance. He arranges armored transport through the platform's logistics VAS (Brink's Wa-to-Accra, US$950). The gold arrives at the Accra vault the next morning. Vault receipt is confirmed; payment is released to the cooperative's bank account within 30 minutes.</w:t>
      </w:r>
    </w:p>
    <w:p>
      <w:pPr>
        <w:spacing w:after="160" w:line="336" w:lineRule="auto"/>
        <w:ind w:firstLine="0"/>
        <w:jc w:val="both"/>
      </w:pPr>
      <w:r>
        <w:rPr>
          <w:rFonts w:ascii="Calibri" w:hAnsi="Calibri" w:cs="Calibri"/>
          <w:b w:val="0"/>
          <w:i w:val="0"/>
          <w:color w:val="1A1A1A"/>
          <w:sz w:val="21"/>
        </w:rPr>
        <w:t>&gt; Journey 3 Summary: Ibrahim's journey is the platform's social-impact story. His transition from middleman-dependent to platform-empowered seller directly addresses the Charter's broader objective of capturing informal trade into the formal channel (from ~30% to ≥ 55%).</w:t>
      </w:r>
    </w:p>
    <w:p>
      <w:pPr>
        <w:pStyle w:val="Heading2"/>
        <w:keepNext/>
        <w:spacing w:before="360" w:after="160"/>
        <w:jc w:val="left"/>
        <w:pBdr>
          <w:bottom w:val="single" w:sz="6" w:space="4" w:color="C9A227"/>
        </w:pBdr>
      </w:pPr>
      <w:r>
        <w:rPr>
          <w:rFonts w:ascii="Calibri" w:hAnsi="Calibri" w:cs="Calibri"/>
          <w:b/>
          <w:i w:val="0"/>
          <w:color w:val="1A1A1A"/>
          <w:sz w:val="32"/>
        </w:rPr>
        <w:t>3.4 Journey 4 — Efua: Detect and Investigate a Suspicious Trade Within 24 Hours</w:t>
      </w:r>
    </w:p>
    <w:p>
      <w:pPr>
        <w:spacing w:after="160" w:line="336" w:lineRule="auto"/>
        <w:ind w:firstLine="0"/>
        <w:jc w:val="both"/>
      </w:pPr>
      <w:r>
        <w:rPr>
          <w:rFonts w:ascii="Calibri" w:hAnsi="Calibri" w:cs="Calibri"/>
          <w:b w:val="0"/>
          <w:i w:val="0"/>
          <w:color w:val="1A1A1A"/>
          <w:sz w:val="21"/>
        </w:rPr>
        <w:t>Efua Boateng needs to detect a suspicious trade within 24 hours of occurrence, investigate it with full audit trail access, and either clear or escalate it within 48 hours.</w:t>
      </w:r>
    </w:p>
    <w:p>
      <w:pPr>
        <w:pStyle w:val="Heading3"/>
        <w:keepNext/>
        <w:spacing w:before="240" w:after="120"/>
        <w:jc w:val="left"/>
      </w:pPr>
      <w:r>
        <w:rPr>
          <w:rFonts w:ascii="Calibri" w:hAnsi="Calibri" w:cs="Calibri"/>
          <w:b/>
          <w:i w:val="0"/>
          <w:caps/>
          <w:color w:val="8B6F12"/>
          <w:sz w:val="24"/>
        </w:rPr>
        <w:t>Monitor (Hour 0–2)</w:t>
      </w:r>
    </w:p>
    <w:p>
      <w:pPr>
        <w:spacing w:after="160" w:line="336" w:lineRule="auto"/>
        <w:ind w:firstLine="0"/>
        <w:jc w:val="both"/>
      </w:pPr>
      <w:r>
        <w:rPr>
          <w:rFonts w:ascii="Calibri" w:hAnsi="Calibri" w:cs="Calibri"/>
          <w:b w:val="0"/>
          <w:i w:val="0"/>
          <w:color w:val="1A1A1A"/>
          <w:sz w:val="21"/>
        </w:rPr>
        <w:t>At 8 AM, Efua opens the compliance dashboard. The platform's anomaly-detection engine has flagged an overnight trade: a Tier 2 buyer (6 weeks old) has placed an unusually high bid (12% above next-highest offer) on a 4 kg lot, with payment from a newly-onboarded bank account. The alert explanation cites three signals: bid-price-outlier, counterparty-velocity-anomaly, payment-source-recently-onboarded.</w:t>
      </w:r>
    </w:p>
    <w:p>
      <w:pPr>
        <w:pStyle w:val="Heading3"/>
        <w:keepNext/>
        <w:spacing w:before="240" w:after="120"/>
        <w:jc w:val="left"/>
      </w:pPr>
      <w:r>
        <w:rPr>
          <w:rFonts w:ascii="Calibri" w:hAnsi="Calibri" w:cs="Calibri"/>
          <w:b/>
          <w:i w:val="0"/>
          <w:caps/>
          <w:color w:val="8B6F12"/>
          <w:sz w:val="24"/>
        </w:rPr>
        <w:t>Investigate (Hour 2–8)</w:t>
      </w:r>
    </w:p>
    <w:p>
      <w:pPr>
        <w:spacing w:after="160" w:line="336" w:lineRule="auto"/>
        <w:ind w:firstLine="0"/>
        <w:jc w:val="both"/>
      </w:pPr>
      <w:r>
        <w:rPr>
          <w:rFonts w:ascii="Calibri" w:hAnsi="Calibri" w:cs="Calibri"/>
          <w:b w:val="0"/>
          <w:i w:val="0"/>
          <w:color w:val="1A1A1A"/>
          <w:sz w:val="21"/>
        </w:rPr>
        <w:t>Efua opens the trade-facts timeline — a chronological view of every event in the trade lifecycle. She pulls the counterparty's KYC history (3 prior trades, all clean), cross-checks against OFAC, EU, UN, and Ghana MoF sanction lists (no matches), and reviews 12 comparable peer trades. The flagged bid is a clear outlier.</w:t>
      </w:r>
    </w:p>
    <w:p>
      <w:pPr>
        <w:pStyle w:val="Heading3"/>
        <w:keepNext/>
        <w:spacing w:before="240" w:after="120"/>
        <w:jc w:val="left"/>
      </w:pPr>
      <w:r>
        <w:rPr>
          <w:rFonts w:ascii="Calibri" w:hAnsi="Calibri" w:cs="Calibri"/>
          <w:b/>
          <w:i w:val="0"/>
          <w:caps/>
          <w:color w:val="8B6F12"/>
          <w:sz w:val="24"/>
        </w:rPr>
        <w:t>Decide (Hour 8–24)</w:t>
      </w:r>
    </w:p>
    <w:p>
      <w:pPr>
        <w:spacing w:after="160" w:line="336" w:lineRule="auto"/>
        <w:ind w:firstLine="0"/>
        <w:jc w:val="both"/>
      </w:pPr>
      <w:r>
        <w:rPr>
          <w:rFonts w:ascii="Calibri" w:hAnsi="Calibri" w:cs="Calibri"/>
          <w:b w:val="0"/>
          <w:i w:val="0"/>
          <w:color w:val="1A1A1A"/>
          <w:sz w:val="21"/>
        </w:rPr>
        <w:t>Efua escalates the case to the Executive Council with a pre-filled investigation pack. The Council reviews within 4 hours and approves a formal inquiry. Efua files a Suspicious Activity Report (SAR) with Ghana's Financial Intelligence Centre. Through the platform, she freezes the trade — escrow is held pending review, the buyer is suspended, the seller is notified (with appropriate confidentiality).</w:t>
      </w:r>
    </w:p>
    <w:p>
      <w:pPr>
        <w:pStyle w:val="Heading3"/>
        <w:keepNext/>
        <w:spacing w:before="240" w:after="120"/>
        <w:jc w:val="left"/>
      </w:pPr>
      <w:r>
        <w:rPr>
          <w:rFonts w:ascii="Calibri" w:hAnsi="Calibri" w:cs="Calibri"/>
          <w:b/>
          <w:i w:val="0"/>
          <w:caps/>
          <w:color w:val="8B6F12"/>
          <w:sz w:val="24"/>
        </w:rPr>
        <w:t>Habitual Use (Weeks 2+)</w:t>
      </w:r>
    </w:p>
    <w:p>
      <w:pPr>
        <w:spacing w:after="160" w:line="336" w:lineRule="auto"/>
        <w:ind w:firstLine="0"/>
        <w:jc w:val="both"/>
      </w:pPr>
      <w:r>
        <w:rPr>
          <w:rFonts w:ascii="Calibri" w:hAnsi="Calibri" w:cs="Calibri"/>
          <w:b w:val="0"/>
          <w:i w:val="0"/>
          <w:color w:val="1A1A1A"/>
          <w:sz w:val="21"/>
        </w:rPr>
        <w:t>The pattern (new-member + high-bid-outlier + recently-onboarded-payment-source) is added as a permanent rule in the anomaly-detection engine. The event is auto-included in the next quarterly BoG report. Efua shares the pattern (anonymized) with members in compliance training.</w:t>
      </w:r>
    </w:p>
    <w:p>
      <w:pPr>
        <w:spacing w:after="160" w:line="336" w:lineRule="auto"/>
        <w:ind w:firstLine="0"/>
        <w:jc w:val="both"/>
      </w:pPr>
      <w:r>
        <w:rPr>
          <w:rFonts w:ascii="Calibri" w:hAnsi="Calibri" w:cs="Calibri"/>
          <w:b w:val="0"/>
          <w:i w:val="0"/>
          <w:color w:val="1A1A1A"/>
          <w:sz w:val="21"/>
        </w:rPr>
        <w:t>&gt; Journey 4 Summary: Efua's journey is the platform's regulatory and reputational safeguard. Her ability to detect, investigate, and act on a suspicious trade within 24 hours — vs. weeks or months today — is the precondition for Bank of Ghana and Minerals Commission confidence, without which Tier 1 institutional buyers will not participate.</w:t>
      </w:r>
    </w:p>
    <w:p>
      <w:pPr>
        <w:pStyle w:val="Heading2"/>
        <w:keepNext/>
        <w:spacing w:before="360" w:after="160"/>
        <w:jc w:val="left"/>
        <w:pBdr>
          <w:bottom w:val="single" w:sz="6" w:space="4" w:color="C9A227"/>
        </w:pBdr>
      </w:pPr>
      <w:r>
        <w:rPr>
          <w:rFonts w:ascii="Calibri" w:hAnsi="Calibri" w:cs="Calibri"/>
          <w:b/>
          <w:i w:val="0"/>
          <w:color w:val="1A1A1A"/>
          <w:sz w:val="32"/>
        </w:rPr>
        <w:t>3.5 Journey-to-Charter Cross-Reference</w:t>
      </w:r>
    </w:p>
    <w:tbl>
      <w:tblPr>
        <w:tblW w:type="auto" w:w="0"/>
        <w:jc w:val="center"/>
        <w:tblLayout w:type="fixed"/>
        <w:tblLook w:firstColumn="1" w:firstRow="1" w:lastColumn="0" w:lastRow="0" w:noHBand="0" w:noVBand="1" w:val="04A0"/>
      </w:tblPr>
      <w:tblGrid>
        <w:gridCol w:w="3061"/>
        <w:gridCol w:w="3061"/>
        <w:gridCol w:w="3061"/>
      </w:tblGrid>
      <w:tr>
        <w:trPr>
          <w:tblHeader/>
          <w:cantSplit/>
        </w:trPr>
        <w:tc>
          <w:tcPr>
            <w:tcW w:type="dxa" w:w="2296"/>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Charter Objective</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Primary Journey</w:t>
            </w:r>
          </w:p>
        </w:tc>
        <w:tc>
          <w:tcPr>
            <w:tcW w:type="dxa" w:w="3444"/>
            <w:shd w:val="clear" w:color="auto" w:fill="1A1A1A"/>
            <w:tcBorders>
              <w:top w:val="single" w:sz="8" w:space="0" w:color="C9A227"/>
              <w:left w:val="single" w:sz="8" w:space="0" w:color="C9A227"/>
              <w:bottom w:val="single" w:sz="8" w:space="0" w:color="C9A227"/>
              <w:right w:val="single" w:sz="8" w:space="0" w:color="C9A227"/>
            </w:tcBorders>
            <w:tcMar>
              <w:top w:w="120" w:type="dxa"/>
              <w:left w:w="140" w:type="dxa"/>
              <w:bottom w:w="120" w:type="dxa"/>
              <w:right w:w="140" w:type="dxa"/>
            </w:tcMar>
            <w:vAlign w:val="center"/>
          </w:tcPr>
          <w:p>
            <w:pPr>
              <w:spacing w:after="0" w:line="288" w:lineRule="auto"/>
              <w:jc w:val="left"/>
            </w:pPr>
            <w:r>
              <w:rPr>
                <w:rFonts w:ascii="Calibri" w:hAnsi="Calibri" w:cs="Calibri"/>
                <w:b/>
                <w:i w:val="0"/>
                <w:caps/>
                <w:color w:val="FFFFFF"/>
                <w:sz w:val="19"/>
              </w:rPr>
              <w:t>Success Indicator</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\#1 — Phase 1 Portal, ≥ 100 members by 2027-02-28</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Journey 1 + 3 (Stage 1)</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Kwame + Ibrahim complete onboarding</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 — US$50M cumulative trade value by 2027-12-31</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Journey 2 + 3 (full)</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Abena + Ibrahim trade cycles repeat weekly</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\#3 — MTTTS ≤ 48h, 90th percentile by 2028-03-31</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Journey 1 + 2 (Stage 4)</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Kwame settlement ≤ 48h; Abena full cycle ≤ 5 days</w:t>
            </w:r>
          </w:p>
        </w:tc>
      </w:tr>
      <w:tr>
        <w:trPr>
          <w:cantSplit/>
        </w:trPr>
        <w:tc>
          <w:tcPr>
            <w:tcW w:type="dxa" w:w="2296"/>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\#4 — US$1.2M platform revenue, 12 months post Phase 2</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Journey 1 + 2 (Stage 5)</w:t>
            </w:r>
          </w:p>
        </w:tc>
        <w:tc>
          <w:tcPr>
            <w:tcW w:type="dxa" w:w="3444"/>
            <w:shd w:val="clear" w:color="auto" w:fill="F5F1E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Habitual weekly trade cycles sustain fee revenue</w:t>
            </w:r>
          </w:p>
        </w:tc>
      </w:tr>
      <w:tr>
        <w:trPr>
          <w:cantSplit/>
        </w:trPr>
        <w:tc>
          <w:tcPr>
            <w:tcW w:type="dxa" w:w="2296"/>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\#5 — SOC 2 + FATF Rec 22 by 2028-06-30</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Journey 4 (full)</w:t>
            </w:r>
          </w:p>
        </w:tc>
        <w:tc>
          <w:tcPr>
            <w:tcW w:type="dxa" w:w="3444"/>
            <w:tcBorders>
              <w:top w:val="single" w:sz="4" w:space="0" w:color="C9A227"/>
              <w:left w:val="single" w:sz="4" w:space="0" w:color="C9A227"/>
              <w:bottom w:val="single" w:sz="4" w:space="0" w:color="C9A227"/>
              <w:right w:val="single" w:sz="4" w:space="0" w:color="C9A227"/>
            </w:tcBorders>
            <w:tcMar>
              <w:top w:w="90" w:type="dxa"/>
              <w:left w:w="140" w:type="dxa"/>
              <w:bottom w:w="90" w:type="dxa"/>
              <w:right w:w="140" w:type="dxa"/>
            </w:tcMar>
            <w:vAlign w:val="top"/>
          </w:tcPr>
          <w:p>
            <w:pPr>
              <w:spacing w:after="0" w:line="312" w:lineRule="auto"/>
              <w:jc w:val="left"/>
            </w:pPr>
            <w:r>
              <w:rPr>
                <w:rFonts w:ascii="Calibri" w:hAnsi="Calibri" w:cs="Calibri"/>
                <w:b w:val="0"/>
                <w:i w:val="0"/>
                <w:color w:val="1A1A1A"/>
                <w:sz w:val="19"/>
              </w:rPr>
              <w:t>24-hour detection-to-action cycle</w:t>
            </w:r>
          </w:p>
        </w:tc>
      </w:tr>
    </w:tbl>
    <w:p>
      <w:pPr>
        <w:spacing w:after="160" w:before="0"/>
      </w:pPr>
    </w:p>
    <w:sectPr w:rsidR="00FC693F" w:rsidRPr="0006063C" w:rsidSect="00034616">
      <w:footerReference w:type="default" r:id="rId10"/>
      <w:headerReference w:type="default" r:id="rId11"/>
      <w:pgSz w:w="11906" w:h="16838"/>
      <w:pgMar w:top="1361" w:right="1361" w:bottom="1247" w:left="1361" w:header="680"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color w:val="6B6B6B"/>
        <w:sz w:val="16"/>
      </w:rPr>
      <w:t>Part of the AurumX Documentation Suite v1.0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92" w:val="center"/>
        <w:tab w:pos="9184" w:val="right"/>
      </w:tabs>
      <w:jc w:val="center"/>
    </w:pPr>
    <w:r>
      <w:rPr>
        <w:rFonts w:ascii="Calibri" w:hAnsi="Calibri" w:cs="Calibri"/>
        <w:b w:val="0"/>
        <w:i/>
        <w:color w:val="6B6B6B"/>
        <w:sz w:val="16"/>
      </w:rPr>
      <w:t>AurumX Documentation Suite v1.0</w:t>
      <w:tab/>
    </w:r>
    <w:r>
      <w:rPr>
        <w:rFonts w:ascii="Calibri" w:hAnsi="Calibri" w:cs="Calibri"/>
        <w:b/>
        <w:i w:val="0"/>
        <w:color w:val="2D2D2D"/>
        <w:sz w:val="18"/>
      </w:rPr>
      <w:fldChar w:fldCharType="begin" w:dirty="true"/>
      <w:instrText xml:space="preserve">PAGE \* MERGEFORMAT</w:instrText>
      <w:fldChar w:fldCharType="separate"/>
      <w:t>Loading…</w:t>
      <w:fldChar w:fldCharType="end"/>
    </w:r>
    <w:r>
      <w:rPr>
        <w:rFonts w:ascii="Calibri" w:hAnsi="Calibri" w:cs="Calibri"/>
        <w:b w:val="0"/>
        <w:i/>
        <w:color w:val="6B6B6B"/>
        <w:sz w:val="16"/>
      </w:rPr>
      <w:tab/>
      <w:t>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s="Calibri"/>
        <w:b/>
        <w:i w:val="0"/>
        <w:caps/>
        <w:color w:val="C9A227"/>
        <w:sz w:val="16"/>
      </w:rPr>
      <w:t xml:space="preserve">AURUMX  •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5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8B6F1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