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8" w:lineRule="auto"/>
        <w:ind w:left="1247" w:right="1247"/>
        <w:jc w:val="left"/>
        <w:shd w:val="clear" w:color="auto" w:fill="FAF6EC"/>
      </w:pPr>
    </w:p>
    <w:p>
      <w:pPr>
        <w:spacing w:before="1200" w:after="40"/>
        <w:ind w:left="1247" w:right="1247"/>
        <w:jc w:val="left"/>
        <w:shd w:val="clear" w:color="auto" w:fill="FAF6EC"/>
      </w:pPr>
      <w:r>
        <w:rPr>
          <w:rFonts w:ascii="Calibri" w:hAnsi="Calibri" w:cs="Calibri"/>
          <w:b/>
          <w:i w:val="0"/>
          <w:caps/>
          <w:color w:val="C9A227"/>
          <w:sz w:val="22"/>
        </w:rPr>
        <w:t>AURUMX</w:t>
      </w:r>
      <w:r>
        <w:rPr>
          <w:rFonts w:ascii="Calibri" w:hAnsi="Calibri" w:cs="Calibri"/>
          <w:b w:val="0"/>
          <w:i w:val="0"/>
          <w:caps/>
          <w:color w:val="6B6B6B"/>
          <w:sz w:val="22"/>
        </w:rPr>
        <w:t xml:space="preserve">  •  DOCUMENTATION SUITE v1.0</w:t>
      </w:r>
    </w:p>
    <w:p>
      <w:pPr>
        <w:spacing w:before="40" w:after="1200"/>
        <w:ind w:left="1247" w:right="1247"/>
        <w:jc w:val="left"/>
        <w:shd w:val="clear" w:color="auto" w:fill="FAF6EC"/>
        <w:pBdr>
          <w:bottom w:val="single" w:sz="18" w:space="4" w:color="C9A227"/>
        </w:pBdr>
      </w:pPr>
    </w:p>
    <w:p>
      <w:pPr>
        <w:spacing w:before="0" w:after="360" w:line="288" w:lineRule="auto"/>
        <w:ind w:left="1247" w:right="1247"/>
        <w:jc w:val="left"/>
        <w:shd w:val="clear" w:color="auto" w:fill="FAF6EC"/>
      </w:pPr>
      <w:r>
        <w:rPr>
          <w:rFonts w:ascii="Calibri" w:hAnsi="Calibri" w:cs="Calibri"/>
          <w:b/>
          <w:i w:val="0"/>
          <w:caps/>
          <w:color w:val="8B6F12"/>
          <w:sz w:val="28"/>
        </w:rPr>
        <w:t>DOCUMENT 04</w:t>
      </w:r>
    </w:p>
    <w:p>
      <w:pPr>
        <w:spacing w:after="160" w:line="252" w:lineRule="auto"/>
        <w:ind w:left="1247" w:right="1247"/>
        <w:jc w:val="left"/>
        <w:shd w:val="clear" w:color="auto" w:fill="FAF6EC"/>
      </w:pPr>
      <w:r>
        <w:rPr>
          <w:rFonts w:ascii="Calibri" w:hAnsi="Calibri" w:cs="Calibri"/>
          <w:b/>
          <w:i w:val="0"/>
          <w:color w:val="1A1A1A"/>
          <w:sz w:val="76"/>
        </w:rPr>
        <w:t>System Architecture &amp; Design</w:t>
      </w:r>
    </w:p>
    <w:p>
      <w:pPr>
        <w:spacing w:before="0" w:after="400"/>
        <w:ind w:left="1247" w:right="6803"/>
        <w:shd w:val="clear" w:color="auto" w:fill="FAF6EC"/>
        <w:pBdr>
          <w:bottom w:val="single" w:sz="24" w:space="1" w:color="C9A227"/>
        </w:pBdr>
      </w:pPr>
    </w:p>
    <w:p>
      <w:pPr>
        <w:spacing w:after="720" w:line="336" w:lineRule="auto"/>
        <w:ind w:left="1247" w:right="2268"/>
        <w:jc w:val="left"/>
        <w:shd w:val="clear" w:color="auto" w:fill="FAF6EC"/>
      </w:pPr>
      <w:r>
        <w:rPr>
          <w:rFonts w:ascii="Calibri" w:hAnsi="Calibri" w:cs="Calibri"/>
          <w:b w:val="0"/>
          <w:i/>
          <w:color w:val="4A4A4A"/>
          <w:sz w:val="26"/>
        </w:rPr>
        <w:t>Technology stack, component map, data model, design patterns, API design, and Architecture Decision Records (ADRs).</w:t>
      </w:r>
    </w:p>
    <w:p>
      <w:pPr>
        <w:spacing w:after="1200"/>
        <w:ind w:left="1247" w:right="1247"/>
        <w:jc w:val="left"/>
        <w:shd w:val="clear" w:color="auto" w:fill="FAF6EC"/>
      </w:pPr>
      <w:r>
        <w:rPr>
          <w:rFonts w:ascii="Calibri" w:hAnsi="Calibri" w:cs="Calibri"/>
          <w:b/>
          <w:i w:val="0"/>
          <w:caps/>
          <w:color w:val="6B6B6B"/>
          <w:sz w:val="18"/>
        </w:rPr>
        <w:t xml:space="preserve">SCOPE  </w:t>
      </w:r>
      <w:r>
        <w:rPr>
          <w:rFonts w:ascii="Calibri" w:hAnsi="Calibri" w:cs="Calibri"/>
          <w:b w:val="0"/>
          <w:i w:val="0"/>
          <w:color w:val="2D2D2D"/>
          <w:sz w:val="20"/>
        </w:rPr>
        <w:t>Stack • Components • Data Model • Patterns • APIs • ADRs</w:t>
      </w:r>
    </w:p>
    <w:p>
      <w:pPr>
        <w:spacing w:before="0" w:after="1000" w:line="240" w:lineRule="auto"/>
        <w:ind w:left="1247" w:right="1247"/>
        <w:shd w:val="clear" w:color="auto" w:fill="FAF6EC"/>
      </w:pPr>
      <w:r>
        <w:rPr>
          <w:rFonts w:ascii="Calibri" w:hAnsi="Calibri" w:cs="Calibri"/>
          <w:b w:val="0"/>
          <w:i w:val="0"/>
          <w:color w:val="FAF6EC"/>
          <w:sz w:val="20"/>
        </w:rPr>
        <w:t xml:space="preserve"> </w:t>
      </w:r>
    </w:p>
    <w:p>
      <w:pPr>
        <w:spacing w:before="0" w:after="1000" w:line="240" w:lineRule="auto"/>
        <w:ind w:left="1247" w:right="1247"/>
        <w:shd w:val="clear" w:color="auto" w:fill="FAF6EC"/>
      </w:pPr>
      <w:r>
        <w:rPr>
          <w:rFonts w:ascii="Calibri" w:hAnsi="Calibri" w:cs="Calibri"/>
          <w:b w:val="0"/>
          <w:i w:val="0"/>
          <w:color w:val="FAF6EC"/>
          <w:sz w:val="20"/>
        </w:rPr>
        <w:t xml:space="preserve"> </w:t>
      </w:r>
    </w:p>
    <w:p>
      <w:pPr>
        <w:spacing w:before="0" w:after="1000" w:line="240" w:lineRule="auto"/>
        <w:ind w:left="1247" w:right="1247"/>
        <w:shd w:val="clear" w:color="auto" w:fill="FAF6EC"/>
      </w:pPr>
      <w:r>
        <w:rPr>
          <w:rFonts w:ascii="Calibri" w:hAnsi="Calibri" w:cs="Calibri"/>
          <w:b w:val="0"/>
          <w:i w:val="0"/>
          <w:color w:val="FAF6EC"/>
          <w:sz w:val="20"/>
        </w:rPr>
        <w:t xml:space="preserve"> </w:t>
      </w:r>
    </w:p>
    <w:p>
      <w:pPr>
        <w:spacing w:before="0" w:after="160"/>
        <w:ind w:left="1247" w:right="1247"/>
        <w:shd w:val="clear" w:color="auto" w:fill="FAF6EC"/>
        <w:pBdr>
          <w:top w:val="single" w:sz="8" w:space="4" w:color="C9A227"/>
        </w:pBdr>
      </w:pPr>
    </w:p>
    <w:p>
      <w:pPr>
        <w:spacing w:after="40"/>
        <w:ind w:left="1247" w:right="1247"/>
        <w:shd w:val="clear" w:color="auto" w:fill="FAF6EC"/>
      </w:pPr>
      <w:r>
        <w:rPr>
          <w:rFonts w:ascii="Calibri" w:hAnsi="Calibri" w:cs="Calibri"/>
          <w:b/>
          <w:i w:val="0"/>
          <w:caps/>
          <w:color w:val="6B6B6B"/>
          <w:sz w:val="16"/>
        </w:rPr>
        <w:t xml:space="preserve">SPONSOR  </w:t>
      </w:r>
      <w:r>
        <w:rPr>
          <w:rFonts w:ascii="Calibri" w:hAnsi="Calibri" w:cs="Calibri"/>
          <w:b w:val="0"/>
          <w:i w:val="0"/>
          <w:color w:val="1A1A1A"/>
          <w:sz w:val="20"/>
        </w:rPr>
        <w:t>Ghana Chamber of Gold Buyers</w:t>
      </w:r>
    </w:p>
    <w:p>
      <w:pPr>
        <w:spacing w:after="40"/>
        <w:ind w:left="1247" w:right="1247"/>
        <w:shd w:val="clear" w:color="auto" w:fill="FAF6EC"/>
      </w:pPr>
      <w:r>
        <w:rPr>
          <w:rFonts w:ascii="Calibri" w:hAnsi="Calibri" w:cs="Calibri"/>
          <w:b/>
          <w:i w:val="0"/>
          <w:caps/>
          <w:color w:val="6B6B6B"/>
          <w:sz w:val="16"/>
        </w:rPr>
        <w:t xml:space="preserve">TECHNOLOGY PARTNER  </w:t>
      </w:r>
      <w:r>
        <w:rPr>
          <w:rFonts w:ascii="Calibri" w:hAnsi="Calibri" w:cs="Calibri"/>
          <w:b w:val="0"/>
          <w:i w:val="0"/>
          <w:color w:val="1A1A1A"/>
          <w:sz w:val="20"/>
        </w:rPr>
        <w:t>Vanta Technologies Ltd.</w:t>
      </w:r>
    </w:p>
    <w:p>
      <w:pPr>
        <w:spacing w:after="1200"/>
        <w:ind w:left="1247" w:right="1247"/>
        <w:shd w:val="clear" w:color="auto" w:fill="FAF6EC"/>
      </w:pPr>
      <w:r>
        <w:rPr>
          <w:rFonts w:ascii="Calibri" w:hAnsi="Calibri" w:cs="Calibri"/>
          <w:b/>
          <w:i w:val="0"/>
          <w:caps/>
          <w:color w:val="8B6F12"/>
          <w:sz w:val="16"/>
        </w:rPr>
        <w:t>CONFIDENTIAL  •  CHAMBER &amp; VENDOR INTERNAL  •  AUTHORIZATION DATE 15 AUGUST 2026</w:t>
      </w:r>
    </w:p>
    <w:p>
      <w:pPr>
        <w:sectPr>
          <w:footerReference w:type="first" r:id="rId9"/>
          <w:pgSz w:w="11906" w:h="16838"/>
          <w:pgMar w:top="0" w:right="0" w:bottom="0" w:left="0" w:header="720" w:footer="720" w:gutter="0"/>
          <w:cols w:space="720"/>
          <w:docGrid w:linePitch="360"/>
        </w:sectPr>
      </w:pPr>
    </w:p>
    <w:p>
      <w:pPr>
        <w:spacing w:before="0" w:after="120"/>
        <w:jc w:val="left"/>
      </w:pPr>
      <w:r>
        <w:rPr>
          <w:rFonts w:ascii="Calibri" w:hAnsi="Calibri" w:cs="Calibri"/>
          <w:b/>
          <w:i w:val="0"/>
          <w:caps/>
          <w:color w:val="1A1A1A"/>
          <w:sz w:val="44"/>
        </w:rPr>
        <w:t>TABLE OF CONTENTS</w:t>
      </w:r>
    </w:p>
    <w:p>
      <w:pPr>
        <w:spacing w:before="0" w:after="480"/>
        <w:pBdr>
          <w:bottom w:val="single" w:sz="12" w:space="1" w:color="C9A227"/>
        </w:pBdr>
        <w:ind w:right="7370"/>
      </w:pPr>
    </w:p>
    <w:p>
      <w:pPr>
        <w:spacing w:after="240"/>
      </w:pPr>
      <w:r>
        <w:fldChar w:fldCharType="begin" w:dirty="true"/>
        <w:instrText xml:space="preserve">TOC \o "1-3" \h \z \u</w:instrText>
        <w:fldChar w:fldCharType="separate"/>
        <w:t>Loading…</w:t>
        <w:fldChar w:fldCharType="end"/>
      </w:r>
    </w:p>
    <w:p>
      <w:pPr>
        <w:spacing w:before="240"/>
        <w:jc w:val="left"/>
      </w:pPr>
      <w:r>
        <w:rPr>
          <w:rFonts w:ascii="Calibri" w:hAnsi="Calibri" w:cs="Calibri"/>
          <w:b w:val="0"/>
          <w:i/>
          <w:color w:val="6B6B6B"/>
          <w:sz w:val="18"/>
        </w:rPr>
        <w:t>Right-click the table of contents and select “Update Field” to refresh page numbers after opening in Microsoft Word.</w:t>
      </w:r>
    </w:p>
    <w:p>
      <w:r>
        <w:br w:type="page"/>
      </w:r>
    </w:p>
    <w:p>
      <w:pPr>
        <w:pStyle w:val="Heading1"/>
        <w:keepNext/>
        <w:spacing w:before="240" w:after="120"/>
        <w:jc w:val="left"/>
        <w:pBdr>
          <w:bottom w:val="single" w:sz="16" w:space="6" w:color="C9A227"/>
        </w:pBdr>
      </w:pPr>
      <w:r>
        <w:rPr>
          <w:rFonts w:ascii="Calibri" w:hAnsi="Calibri" w:cs="Calibri"/>
          <w:b/>
          <w:i w:val="0"/>
          <w:color w:val="1A1A1A"/>
          <w:sz w:val="56"/>
        </w:rPr>
        <w:t>Document 4 — System Architecture &amp; Design</w:t>
      </w:r>
    </w:p>
    <w:p>
      <w:pPr>
        <w:spacing w:after="160" w:line="336" w:lineRule="auto"/>
        <w:ind w:firstLine="0"/>
        <w:jc w:val="both"/>
      </w:pPr>
      <w:r>
        <w:rPr>
          <w:rFonts w:ascii="Calibri" w:hAnsi="Calibri" w:cs="Calibri"/>
          <w:b w:val="0"/>
          <w:i w:val="0"/>
          <w:color w:val="1A1A1A"/>
          <w:sz w:val="21"/>
        </w:rPr>
        <w:t>The AurumX platform is built around six architecture principles: member-gated (not open marketplace); event-driven core; audit-first data model; vendor and partner agnostic; mobile-first delivery with desktop-required for high-value decisions; cost-aware scaling. Each principle is tied to a Charter constraint or risk.</w:t>
      </w:r>
    </w:p>
    <w:p>
      <w:pPr>
        <w:pStyle w:val="Heading2"/>
        <w:keepNext/>
        <w:spacing w:before="360" w:after="160"/>
        <w:jc w:val="left"/>
        <w:pBdr>
          <w:bottom w:val="single" w:sz="6" w:space="4" w:color="C9A227"/>
        </w:pBdr>
      </w:pPr>
      <w:r>
        <w:rPr>
          <w:rFonts w:ascii="Calibri" w:hAnsi="Calibri" w:cs="Calibri"/>
          <w:b/>
          <w:i w:val="0"/>
          <w:color w:val="1A1A1A"/>
          <w:sz w:val="32"/>
        </w:rPr>
        <w:t>4.1 Technology Stack</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Layer</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Technology</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Rationale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Frontend (web/PWA)</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Next.js 16 + React 19 + TypeScript + Tailwind CSS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Server-rendered PWA supports low-bandwidth mobile use; strong typing for safety-critical financial UX</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Backend framework</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NestJS (Node.js 22 LTS, TypeScript)</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Opinionated module system; first-class DI; matches frontend language; strong OpenAPI generation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API style</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REST (primary) + GraphQL (BFF) + Webhooks + WebSocket</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REST for partner integrations; GraphQL for portal; WebSocket for negotiation latency</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Primary database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PostgreSQL 16</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ACID guarantees for trade ledger; JSONB for flexible metadata; Row-Level Security for tenant isolation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Cache</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Redis 7 (cluster mode)</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Session store, rate-limit counters, real-time negotiation state</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Search</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Elasticsearch 8</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Lot discovery, full-text on member directory, audit-log search</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Event bus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Apache Kafka (AWS MSK)</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Domain events for audit log, anomaly detection, notification fan-out; 7-year retention</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Object storage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S3 + KMS encryption</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Document storage with lifecycle to Glacier for archival</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Identity</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Auth0 (B2B tenant)</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Enterprise agreement in place; supports organization-level RBAC</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Container orchestration</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EKS (managed Kubernetes)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Multi-AZ, autoscaling, mature ecosystem</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CI/CD</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GitHub Actions + Argo CD (GitOps)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Branch-driven builds; declarative K8s deployments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Observability</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Datadog (APM + logs + metrics) + Sentry</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Unified observability; strong OpenTelemetry support</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IaC</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Terraform + Helm</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Cloud-agnostic; Helm for K8s release management</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Cloud</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AWS (af-west-1 primary, eu-west-1 DR)</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African region for Ghana data residency; EU region for DR</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4.2 High-Level Component Map</w:t>
      </w:r>
    </w:p>
    <w:p>
      <w:pPr>
        <w:spacing w:after="160" w:line="336" w:lineRule="auto"/>
        <w:ind w:firstLine="0"/>
        <w:jc w:val="both"/>
      </w:pPr>
      <w:r>
        <w:rPr>
          <w:rFonts w:ascii="Calibri" w:hAnsi="Calibri" w:cs="Calibri"/>
          <w:b w:val="0"/>
          <w:i w:val="0"/>
          <w:color w:val="1A1A1A"/>
          <w:sz w:val="21"/>
        </w:rPr>
        <w:t>The platform is organized into five tiers: Client tier (PWA + Chamber Admin Console); Edge tier (CloudFront + WAF); API tier (Kong Gateway + Auth0); Service tier (EKS-hosted NestJS services with Integration Adapters and Background Workers); Data tier (PostgreSQL, Redis, Kafka, Elasticsearch, S3). All stateful services span three Availability Zones with synchronous replication for RDS. Partner integrations (banks, vaults, assay labs, government APIs) are abstracted behind Strategy-pattern interfaces so one provider can be swapped for another — directly mitigating Charter Risk R2 (escrow partner withdrawal).</w:t>
      </w:r>
    </w:p>
    <w:p>
      <w:pPr>
        <w:pStyle w:val="Heading2"/>
        <w:keepNext/>
        <w:spacing w:before="360" w:after="160"/>
        <w:jc w:val="left"/>
        <w:pBdr>
          <w:bottom w:val="single" w:sz="6" w:space="4" w:color="C9A227"/>
        </w:pBdr>
      </w:pPr>
      <w:r>
        <w:rPr>
          <w:rFonts w:ascii="Calibri" w:hAnsi="Calibri" w:cs="Calibri"/>
          <w:b/>
          <w:i w:val="0"/>
          <w:color w:val="1A1A1A"/>
          <w:sz w:val="32"/>
        </w:rPr>
        <w:t>4.3 Data Model — Core Entities</w:t>
      </w:r>
    </w:p>
    <w:p>
      <w:pPr>
        <w:spacing w:after="160" w:line="336" w:lineRule="auto"/>
        <w:ind w:firstLine="0"/>
        <w:jc w:val="both"/>
      </w:pPr>
      <w:r>
        <w:rPr>
          <w:rFonts w:ascii="Calibri" w:hAnsi="Calibri" w:cs="Calibri"/>
          <w:b w:val="0"/>
          <w:i w:val="0"/>
          <w:color w:val="1A1A1A"/>
          <w:sz w:val="21"/>
        </w:rPr>
        <w:t>The data model is organized around six core aggregates: Organization (members with tier, license, KYC status); GoldLot (weight, purity, serial number, provenance chain); RFQ/Auction + Bid; Trade + Escrow + Contract; TradeEvent (immutable audit); ComplianceAlert + AlertEvent. Each aggregate has a defined state machine (see Document 5).</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Aggregate</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Key Fields</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Owning Service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Organization</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id, name, tier (TIER_1/TIER_2/SELLER), status, kyc_status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Member Service</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GoldLot</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id, seller_org_id, weight_grams, purity, serial_number, status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Lot Service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RFQ / Auction</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id, lot_id, buyer_org_id, asking_price_usd, status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RFQ Engine / Auction Engine</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Bid</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id, rfq_id, bidder_org_id, amount_usd, status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RFQ / Auction Engine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Trade</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id, lot_id, buyer_org_id, seller_org_id, amount_usd, status, settled_at</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Trade Service</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Escrow</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id, trade_id, bank_account_id, amount_usd, status, bank_reference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Escrow Service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TradeEvent</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id, trade_id, event_type, event_payload, hash_anchor, occurred_at</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Audit Log Service</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ComplianceAlert</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id, triggered_by_trade_id, severity, status, signals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Compliance Service</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4.4 Design Patterns</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Pattern</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Where Applied</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Why</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Domain-Driven Design (DDD)</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Core domain services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Complex business rules require rich domain models, not anemic CRUD</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Event Sourcing (partial)</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Trade, Compliance Alert aggregates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Audit-defensible history; replayable for investigations</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CQRS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Lot read model (Elasticsearch); write model (PostgreSQL)</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Optimization for high-read lot discovery</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Repository + Unit of Work</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All data access layers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Testability; consistency boundaries per aggregate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Strategy</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EscrowProvider, PaymentProvider, NotificationProvider, AssayProvider</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Vendor-agnostic — provider swap mitigates Charter Risk R2</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Outbox Pattern</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All services publishing to Kafka</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Guarantees atomic DB write + event publish (no dual-write inconsistency)</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Saga (choreography)</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Trade lifecycle (8+ stages)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Long-running distributed transaction without 2PC</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Materialized View</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Analytics rollups for compliance dashboard</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Decouples heavy read queries from trade-write hot path</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4.5 API Design</w:t>
      </w:r>
    </w:p>
    <w:p>
      <w:pPr>
        <w:pStyle w:val="Heading3"/>
        <w:keepNext/>
        <w:spacing w:before="240" w:after="120"/>
        <w:jc w:val="left"/>
      </w:pPr>
      <w:r>
        <w:rPr>
          <w:rFonts w:ascii="Calibri" w:hAnsi="Calibri" w:cs="Calibri"/>
          <w:b/>
          <w:i w:val="0"/>
          <w:caps/>
          <w:color w:val="8B6F12"/>
          <w:sz w:val="24"/>
        </w:rPr>
        <w:t>Conventions</w:t>
      </w:r>
    </w:p>
    <w:p>
      <w:pPr>
        <w:pStyle w:val="ListBullet"/>
        <w:spacing w:after="80" w:line="324" w:lineRule="auto"/>
        <w:ind w:left="340" w:hanging="170"/>
      </w:pPr>
      <w:r>
        <w:rPr>
          <w:rFonts w:ascii="Calibri" w:hAnsi="Calibri" w:cs="Calibri"/>
          <w:b w:val="0"/>
          <w:i w:val="0"/>
          <w:color w:val="1A1A1A"/>
          <w:sz w:val="21"/>
        </w:rPr>
        <w:t>HTTPS only (TLS 1.3 minimum). JSON format with ISO 8601 UTC timestamps and decimal-string monetary amounts.</w:t>
      </w:r>
    </w:p>
    <w:p>
      <w:pPr>
        <w:pStyle w:val="ListBullet"/>
        <w:spacing w:after="80" w:line="324" w:lineRule="auto"/>
        <w:ind w:left="340" w:hanging="170"/>
      </w:pPr>
      <w:r>
        <w:rPr>
          <w:rFonts w:ascii="Calibri" w:hAnsi="Calibri" w:cs="Calibri"/>
          <w:b w:val="0"/>
          <w:i w:val="0"/>
          <w:color w:val="1A1A1A"/>
          <w:sz w:val="21"/>
        </w:rPr>
        <w:t>URL versioning (/v1/, /v2/). Backward-compatible changes within major version; breaking changes require new major with 12-month overlap.</w:t>
      </w:r>
    </w:p>
    <w:p>
      <w:pPr>
        <w:pStyle w:val="ListBullet"/>
        <w:spacing w:after="80" w:line="324" w:lineRule="auto"/>
        <w:ind w:left="340" w:hanging="170"/>
      </w:pPr>
      <w:r>
        <w:rPr>
          <w:rFonts w:ascii="Calibri" w:hAnsi="Calibri" w:cs="Calibri"/>
          <w:b w:val="0"/>
          <w:i w:val="0"/>
          <w:color w:val="1A1A1A"/>
          <w:sz w:val="21"/>
        </w:rPr>
        <w:t>Cursor-based pagination. Idempotency-Key header required for all POST that creates resources or triggers side effects (24-hour idempotency window).</w:t>
      </w:r>
    </w:p>
    <w:p>
      <w:pPr>
        <w:pStyle w:val="ListBullet"/>
        <w:spacing w:after="80" w:line="324" w:lineRule="auto"/>
        <w:ind w:left="340" w:hanging="170"/>
      </w:pPr>
      <w:r>
        <w:rPr>
          <w:rFonts w:ascii="Calibri" w:hAnsi="Calibri" w:cs="Calibri"/>
          <w:b w:val="0"/>
          <w:i w:val="0"/>
          <w:color w:val="1A1A1A"/>
          <w:sz w:val="21"/>
        </w:rPr>
        <w:t>Rate limiting: token-bucket per API key. Errors use RFC 7807 Problem Details format.</w:t>
      </w:r>
    </w:p>
    <w:p>
      <w:pPr>
        <w:pStyle w:val="Heading3"/>
        <w:keepNext/>
        <w:spacing w:before="240" w:after="120"/>
        <w:jc w:val="left"/>
      </w:pPr>
      <w:r>
        <w:rPr>
          <w:rFonts w:ascii="Calibri" w:hAnsi="Calibri" w:cs="Calibri"/>
          <w:b/>
          <w:i w:val="0"/>
          <w:caps/>
          <w:color w:val="8B6F12"/>
          <w:sz w:val="24"/>
        </w:rPr>
        <w:t>Authentication</w:t>
      </w:r>
    </w:p>
    <w:p>
      <w:pPr>
        <w:spacing w:after="160" w:line="336" w:lineRule="auto"/>
        <w:ind w:firstLine="0"/>
        <w:jc w:val="both"/>
      </w:pPr>
      <w:r>
        <w:rPr>
          <w:rFonts w:ascii="Calibri" w:hAnsi="Calibri" w:cs="Calibri"/>
          <w:b w:val="0"/>
          <w:i w:val="0"/>
          <w:color w:val="1A1A1A"/>
          <w:sz w:val="21"/>
        </w:rPr>
        <w:t>Auth0 B2B with Organizations — one Auth0 Organization per Chamber member Organization. Authorization Code + PKCE for the PWA; Client Credentials for machine-to-machine (Tier 1 ERP integration, government API adapters). JWT (RS256), 1-hour access tokens; refresh tokens 30-day sliding window. RBAC model: roles scoped per Organization (org.admin, org.trader, org.compliance, org.viewer) and globally (chamber.compliance, chamber.executive, chamber.ops). MFA required for org.admin, all Chamber roles, and any trade action above US$100K.</w:t>
      </w:r>
    </w:p>
    <w:p>
      <w:pPr>
        <w:pStyle w:val="Heading3"/>
        <w:keepNext/>
        <w:spacing w:before="240" w:after="120"/>
        <w:jc w:val="left"/>
      </w:pPr>
      <w:r>
        <w:rPr>
          <w:rFonts w:ascii="Calibri" w:hAnsi="Calibri" w:cs="Calibri"/>
          <w:b/>
          <w:i w:val="0"/>
          <w:caps/>
          <w:color w:val="8B6F12"/>
          <w:sz w:val="24"/>
        </w:rPr>
        <w:t>Key Endpoints (Selected)</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Endpoint</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Purpose</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Backs User Flow</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POST /v1/organizations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Create new member organization</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UF-01 Onboarding</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POST /v1/organizations/{id}/kyc/submit</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Submit KYC form</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UF-01 Onboarding</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POST /v1/lots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Create a new gold lot</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UF-02 Lot Creation</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POST /v1/lots/{id}/publish</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Publish lot to qualified buyers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UF-02 Lot Creation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POST /v1/rfqs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Submit RFQ with asking price</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UF-03 RFQ Submission</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POST /v1/rfqs/{id}/bids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Submit a bid</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UF-03 RFQ Submission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POST /v1/rfqs/{id}/negotiate</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Submit counter-offer</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UF-03 RFQ Submission</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POST /v1/rfqs/{id}/accept</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Accept terms; trade created</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UF-03 RFQ Submission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POST /v1/trades/{id}/escrow/fund</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Trigger bank escrow funding</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UF-05 Escrow Funding</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POST /v1/trades/{id}/escrow/release</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Release escrow to seller</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UF-05 Escrow Funding</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POST /v1/trades/{id}/freeze</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Freeze trade (compliance only)</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UF-08 Compliance Investigation</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GET /v1/compliance/alerts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List compliance alerts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UF-08 Compliance Investigation</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POST /v1/compliance/alerts/{id}/events</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Acknowledge / escalate / file SAR</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UF-08 Compliance Investigation</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POST /v1/exports</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Initiate export documentation workflow</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UF-07 Export Documentation</w:t>
            </w:r>
          </w:p>
        </w:tc>
      </w:tr>
    </w:tbl>
    <w:p>
      <w:pPr>
        <w:spacing w:after="160" w:before="0"/>
      </w:pPr>
    </w:p>
    <w:p>
      <w:pPr>
        <w:pStyle w:val="Heading2"/>
        <w:keepNext/>
        <w:spacing w:before="360" w:after="160"/>
        <w:jc w:val="left"/>
        <w:pBdr>
          <w:bottom w:val="single" w:sz="6" w:space="4" w:color="C9A227"/>
        </w:pBdr>
      </w:pPr>
      <w:r>
        <w:rPr>
          <w:rFonts w:ascii="Calibri" w:hAnsi="Calibri" w:cs="Calibri"/>
          <w:b/>
          <w:i w:val="0"/>
          <w:color w:val="1A1A1A"/>
          <w:sz w:val="32"/>
        </w:rPr>
        <w:t>4.6 Architecture Decision Records (ADRs)</w:t>
      </w:r>
    </w:p>
    <w:p>
      <w:pPr>
        <w:pStyle w:val="Heading3"/>
        <w:keepNext/>
        <w:spacing w:before="240" w:after="120"/>
        <w:jc w:val="left"/>
      </w:pPr>
      <w:r>
        <w:rPr>
          <w:rFonts w:ascii="Calibri" w:hAnsi="Calibri" w:cs="Calibri"/>
          <w:b/>
          <w:i w:val="0"/>
          <w:caps/>
          <w:color w:val="8B6F12"/>
          <w:sz w:val="24"/>
        </w:rPr>
        <w:t>ADR-001 — Adopt Event-Driven SOA over Monolith</w:t>
      </w:r>
    </w:p>
    <w:p>
      <w:pPr>
        <w:spacing w:after="160" w:line="336" w:lineRule="auto"/>
        <w:ind w:firstLine="0"/>
        <w:jc w:val="both"/>
      </w:pPr>
      <w:r>
        <w:rPr>
          <w:rFonts w:ascii="Calibri" w:hAnsi="Calibri" w:cs="Calibri"/>
          <w:b w:val="0"/>
          <w:i w:val="0"/>
          <w:color w:val="1A1A1A"/>
          <w:sz w:val="21"/>
        </w:rPr>
        <w:t>Context: The platform spans heterogeneous concerns (member onboarding, trade lifecycle, escrow, compliance) with sharply different scaling profiles. Compliance requires a 24-hour detection-to-action SLA. SOC 2 Type II is mandatory.</w:t>
      </w:r>
    </w:p>
    <w:p>
      <w:pPr>
        <w:spacing w:after="160" w:line="336" w:lineRule="auto"/>
        <w:ind w:firstLine="0"/>
        <w:jc w:val="both"/>
      </w:pPr>
      <w:r>
        <w:rPr>
          <w:rFonts w:ascii="Calibri" w:hAnsi="Calibri" w:cs="Calibri"/>
          <w:b w:val="0"/>
          <w:i w:val="0"/>
          <w:color w:val="1A1A1A"/>
          <w:sz w:val="21"/>
        </w:rPr>
        <w:t>Decision: Event-driven service-oriented architecture (not full microservices) with Kafka as the event backbone, the Outbox pattern for atomic DB writes + event publish, and Saga choreography for the trade lifecycle. One PostgreSQL cluster shared across services via separate schemas; no cross-service direct DB access.</w:t>
      </w:r>
    </w:p>
    <w:p>
      <w:pPr>
        <w:spacing w:after="160" w:line="336" w:lineRule="auto"/>
        <w:ind w:firstLine="0"/>
        <w:jc w:val="both"/>
      </w:pPr>
      <w:r>
        <w:rPr>
          <w:rFonts w:ascii="Calibri" w:hAnsi="Calibri" w:cs="Calibri"/>
          <w:b w:val="0"/>
          <w:i w:val="0"/>
          <w:color w:val="1A1A1A"/>
          <w:sz w:val="21"/>
        </w:rPr>
        <w:t>Consequences: (+) Independent scaling; (+) intrinsic audit trail; (+) compliance can subscribe to all trade events without coupling. (−) Operational complexity; (−) distributed-systems pitfalls (eventual consistency, idempotency).</w:t>
      </w:r>
    </w:p>
    <w:p>
      <w:pPr>
        <w:pStyle w:val="Heading3"/>
        <w:keepNext/>
        <w:spacing w:before="240" w:after="120"/>
        <w:jc w:val="left"/>
      </w:pPr>
      <w:r>
        <w:rPr>
          <w:rFonts w:ascii="Calibri" w:hAnsi="Calibri" w:cs="Calibri"/>
          <w:b/>
          <w:i w:val="0"/>
          <w:caps/>
          <w:color w:val="8B6F12"/>
          <w:sz w:val="24"/>
        </w:rPr>
        <w:t>ADR-002 — Use Auth0 B2B for Identity</w:t>
      </w:r>
    </w:p>
    <w:p>
      <w:pPr>
        <w:spacing w:after="160" w:line="336" w:lineRule="auto"/>
        <w:ind w:firstLine="0"/>
        <w:jc w:val="both"/>
      </w:pPr>
      <w:r>
        <w:rPr>
          <w:rFonts w:ascii="Calibri" w:hAnsi="Calibri" w:cs="Calibri"/>
          <w:b w:val="0"/>
          <w:i w:val="0"/>
          <w:color w:val="1A1A1A"/>
          <w:sz w:val="21"/>
        </w:rPr>
        <w:t>Context: Platform requires organization-scoped RBAC, MFA, SSO for Tier 1 buyers (SAML), per-organization IP allowlisting. Charter §8 C2 mandates Auth0.</w:t>
      </w:r>
    </w:p>
    <w:p>
      <w:pPr>
        <w:spacing w:after="160" w:line="336" w:lineRule="auto"/>
        <w:ind w:firstLine="0"/>
        <w:jc w:val="both"/>
      </w:pPr>
      <w:r>
        <w:rPr>
          <w:rFonts w:ascii="Calibri" w:hAnsi="Calibri" w:cs="Calibri"/>
          <w:b w:val="0"/>
          <w:i w:val="0"/>
          <w:color w:val="1A1A1A"/>
          <w:sz w:val="21"/>
        </w:rPr>
        <w:t>Decision: Auth0 B2B with Organizations. One Auth0 Organization per AurumX Organization. Custom claims for fine-grained permissions. SAML/OIDC enterprise connections for Tier 1 buyers; Auth0-hosted login branded for the Chamber.</w:t>
      </w:r>
    </w:p>
    <w:p>
      <w:pPr>
        <w:spacing w:after="160" w:line="336" w:lineRule="auto"/>
        <w:ind w:firstLine="0"/>
        <w:jc w:val="both"/>
      </w:pPr>
      <w:r>
        <w:rPr>
          <w:rFonts w:ascii="Calibri" w:hAnsi="Calibri" w:cs="Calibri"/>
          <w:b w:val="0"/>
          <w:i w:val="0"/>
          <w:color w:val="1A1A1A"/>
          <w:sz w:val="21"/>
        </w:rPr>
        <w:t>Consequences: (+) SOC 2 already in place for Auth0; (+) MFA and SSO built-in. (−) Vendor lock-in; (−) per-MAU pricing can scale steeply.</w:t>
      </w:r>
    </w:p>
    <w:p>
      <w:pPr>
        <w:pStyle w:val="Heading3"/>
        <w:keepNext/>
        <w:spacing w:before="240" w:after="120"/>
        <w:jc w:val="left"/>
      </w:pPr>
      <w:r>
        <w:rPr>
          <w:rFonts w:ascii="Calibri" w:hAnsi="Calibri" w:cs="Calibri"/>
          <w:b/>
          <w:i w:val="0"/>
          <w:caps/>
          <w:color w:val="8B6F12"/>
          <w:sz w:val="24"/>
        </w:rPr>
        <w:t>ADR-003 — Use Kafka (AWS MSK) over RabbitMQ/SQS</w:t>
      </w:r>
    </w:p>
    <w:p>
      <w:pPr>
        <w:spacing w:after="160" w:line="336" w:lineRule="auto"/>
        <w:ind w:firstLine="0"/>
        <w:jc w:val="both"/>
      </w:pPr>
      <w:r>
        <w:rPr>
          <w:rFonts w:ascii="Calibri" w:hAnsi="Calibri" w:cs="Calibri"/>
          <w:b w:val="0"/>
          <w:i w:val="0"/>
          <w:color w:val="1A1A1A"/>
          <w:sz w:val="21"/>
        </w:rPr>
        <w:t>Context: Trade lifecycle is a long-running saga with 8+ stages. Compliance must replay any trade's full event history on demand for investigation and SOC 2 audit. Throughput forecast: ~500 events/sec peak, ~50 events/sec average — modest, but replayability is critical.</w:t>
      </w:r>
    </w:p>
    <w:p>
      <w:pPr>
        <w:spacing w:after="160" w:line="336" w:lineRule="auto"/>
        <w:ind w:firstLine="0"/>
        <w:jc w:val="both"/>
      </w:pPr>
      <w:r>
        <w:rPr>
          <w:rFonts w:ascii="Calibri" w:hAnsi="Calibri" w:cs="Calibri"/>
          <w:b w:val="0"/>
          <w:i w:val="0"/>
          <w:color w:val="1A1A1A"/>
          <w:sz w:val="21"/>
        </w:rPr>
        <w:t>Decision: Apache Kafka (AWS MSK Standard, 3-broker multi-AZ) as the event backbone. Outbox pattern for atomic DB write + event publish. Log-compacted audit-log topic as canonical replay source. Retention: 7 years.</w:t>
      </w:r>
    </w:p>
    <w:p>
      <w:pPr>
        <w:spacing w:after="160" w:line="336" w:lineRule="auto"/>
        <w:ind w:firstLine="0"/>
        <w:jc w:val="both"/>
      </w:pPr>
      <w:r>
        <w:rPr>
          <w:rFonts w:ascii="Calibri" w:hAnsi="Calibri" w:cs="Calibri"/>
          <w:b w:val="0"/>
          <w:i w:val="0"/>
          <w:color w:val="1A1A1A"/>
          <w:sz w:val="21"/>
        </w:rPr>
        <w:t>Consequences: (+) Replayable event history — direct enabler for compliance; (+) multiple consumers without coupling. (−) MSK operational cost (~US$1,800/month baseline).</w:t>
      </w:r>
    </w:p>
    <w:p>
      <w:pPr>
        <w:pStyle w:val="Heading3"/>
        <w:keepNext/>
        <w:spacing w:before="240" w:after="120"/>
        <w:jc w:val="left"/>
      </w:pPr>
      <w:r>
        <w:rPr>
          <w:rFonts w:ascii="Calibri" w:hAnsi="Calibri" w:cs="Calibri"/>
          <w:b/>
          <w:i w:val="0"/>
          <w:caps/>
          <w:color w:val="8B6F12"/>
          <w:sz w:val="24"/>
        </w:rPr>
        <w:t>ADR-004 — Use the Outbox Pattern for Atomic Event Publish</w:t>
      </w:r>
    </w:p>
    <w:p>
      <w:pPr>
        <w:spacing w:after="160" w:line="336" w:lineRule="auto"/>
        <w:ind w:firstLine="0"/>
        <w:jc w:val="both"/>
      </w:pPr>
      <w:r>
        <w:rPr>
          <w:rFonts w:ascii="Calibri" w:hAnsi="Calibri" w:cs="Calibri"/>
          <w:b w:val="0"/>
          <w:i w:val="0"/>
          <w:color w:val="1A1A1A"/>
          <w:sz w:val="21"/>
        </w:rPr>
        <w:t>Context: With event-driven architecture (ADR-001) and Kafka (ADR-003), the dual-write problem arises: if a service writes to PostgreSQL and then publishes to Kafka, a failure between the two leaves the system inconsistent. For an audited financial platform, this is unacceptable.</w:t>
      </w:r>
    </w:p>
    <w:p>
      <w:pPr>
        <w:spacing w:after="160" w:line="336" w:lineRule="auto"/>
        <w:ind w:firstLine="0"/>
        <w:jc w:val="both"/>
      </w:pPr>
      <w:r>
        <w:rPr>
          <w:rFonts w:ascii="Calibri" w:hAnsi="Calibri" w:cs="Calibri"/>
          <w:b w:val="0"/>
          <w:i w:val="0"/>
          <w:color w:val="1A1A1A"/>
          <w:sz w:val="21"/>
        </w:rPr>
        <w:t>Decision: Every service that publishes events uses the Outbox pattern — in a single DB transaction, write the domain aggregate AND insert a row into the service's local outbox table; a separate worker reads the outbox and publishes to Kafka. Idempotent consumers deduplicate by event ID.</w:t>
      </w:r>
    </w:p>
    <w:p>
      <w:pPr>
        <w:spacing w:after="160" w:line="336" w:lineRule="auto"/>
        <w:ind w:firstLine="0"/>
        <w:jc w:val="both"/>
      </w:pPr>
      <w:r>
        <w:rPr>
          <w:rFonts w:ascii="Calibri" w:hAnsi="Calibri" w:cs="Calibri"/>
          <w:b w:val="0"/>
          <w:i w:val="0"/>
          <w:color w:val="1A1A1A"/>
          <w:sz w:val="21"/>
        </w:rPr>
        <w:t>Consequences: (+) Atomicity guarantee between DB state and event stream; (+) recoverable from any failure. (−) Adds an outbox table per service; (−) slight write-latency increase.</w:t>
      </w:r>
    </w:p>
    <w:p>
      <w:pPr>
        <w:pStyle w:val="Heading3"/>
        <w:keepNext/>
        <w:spacing w:before="240" w:after="120"/>
        <w:jc w:val="left"/>
      </w:pPr>
      <w:r>
        <w:rPr>
          <w:rFonts w:ascii="Calibri" w:hAnsi="Calibri" w:cs="Calibri"/>
          <w:b/>
          <w:i w:val="0"/>
          <w:caps/>
          <w:color w:val="8B6F12"/>
          <w:sz w:val="24"/>
        </w:rPr>
        <w:t>ADR-005 — Next.js PWA, No Native Apps in Phases 1–4</w:t>
      </w:r>
    </w:p>
    <w:p>
      <w:pPr>
        <w:spacing w:after="160" w:line="336" w:lineRule="auto"/>
        <w:ind w:firstLine="0"/>
        <w:jc w:val="both"/>
      </w:pPr>
      <w:r>
        <w:rPr>
          <w:rFonts w:ascii="Calibri" w:hAnsi="Calibri" w:cs="Calibri"/>
          <w:b w:val="0"/>
          <w:i w:val="0"/>
          <w:color w:val="1A1A1A"/>
          <w:sz w:val="21"/>
        </w:rPr>
        <w:t>Context: Persona coverage spans Kwame (desktop-required), Abena (mobile-first), and Ibrahim (mobile-only on 3G). Native iOS+Android require 2 separate codebases and App Store review cycles.</w:t>
      </w:r>
    </w:p>
    <w:p>
      <w:pPr>
        <w:spacing w:after="160" w:line="336" w:lineRule="auto"/>
        <w:ind w:firstLine="0"/>
        <w:jc w:val="both"/>
      </w:pPr>
      <w:r>
        <w:rPr>
          <w:rFonts w:ascii="Calibri" w:hAnsi="Calibri" w:cs="Calibri"/>
          <w:b w:val="0"/>
          <w:i w:val="0"/>
          <w:color w:val="1A1A1A"/>
          <w:sz w:val="21"/>
        </w:rPr>
        <w:t>Decision: Build entire member-facing UI as a Next.js PWA — server-rendered pages for first-paint performance on low-bandwidth connections; service worker for offline-tolerant document capture; responsive design with mobile-first patterns. Push notifications via Web Push API with SMS/WhatsApp fallback.</w:t>
      </w:r>
    </w:p>
    <w:p>
      <w:pPr>
        <w:spacing w:after="160" w:line="336" w:lineRule="auto"/>
        <w:ind w:firstLine="0"/>
        <w:jc w:val="both"/>
      </w:pPr>
      <w:r>
        <w:rPr>
          <w:rFonts w:ascii="Calibri" w:hAnsi="Calibri" w:cs="Calibri"/>
          <w:b w:val="0"/>
          <w:i w:val="0"/>
          <w:color w:val="1A1A1A"/>
          <w:sz w:val="21"/>
        </w:rPr>
        <w:t>Consequences: (+) Single codebase across desktop, tablet, mobile; (+) no App Store review cycles. (−) Some Tier 1 buyers may push back; mitigated by excellent PWA experience and API access for SAP integration.</w:t>
      </w:r>
    </w:p>
    <w:sectPr w:rsidR="00FC693F" w:rsidRPr="0006063C" w:rsidSect="00034616">
      <w:footerReference w:type="default" r:id="rId10"/>
      <w:headerReference w:type="default" r:id="rId11"/>
      <w:pgSz w:w="11906" w:h="16838"/>
      <w:pgMar w:top="1361" w:right="1361" w:bottom="1247" w:left="1361" w:header="68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color w:val="6B6B6B"/>
        <w:sz w:val="16"/>
      </w:rPr>
      <w:t>Part of the AurumX Documentation Suite v1.0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92" w:val="center"/>
        <w:tab w:pos="9184" w:val="right"/>
      </w:tabs>
      <w:jc w:val="center"/>
    </w:pPr>
    <w:r>
      <w:rPr>
        <w:rFonts w:ascii="Calibri" w:hAnsi="Calibri" w:cs="Calibri"/>
        <w:b w:val="0"/>
        <w:i/>
        <w:color w:val="6B6B6B"/>
        <w:sz w:val="16"/>
      </w:rPr>
      <w:t>AurumX Documentation Suite v1.0</w:t>
      <w:tab/>
    </w:r>
    <w:r>
      <w:rPr>
        <w:rFonts w:ascii="Calibri" w:hAnsi="Calibri" w:cs="Calibri"/>
        <w:b/>
        <w:i w:val="0"/>
        <w:color w:val="2D2D2D"/>
        <w:sz w:val="18"/>
      </w:rPr>
      <w:fldChar w:fldCharType="begin" w:dirty="true"/>
      <w:instrText xml:space="preserve">PAGE \* MERGEFORMAT</w:instrText>
      <w:fldChar w:fldCharType="separate"/>
      <w:t>Loading…</w:t>
      <w:fldChar w:fldCharType="end"/>
    </w:r>
    <w:r>
      <w:rPr>
        <w:rFonts w:ascii="Calibri" w:hAnsi="Calibri" w:cs="Calibri"/>
        <w:b w:val="0"/>
        <w:i/>
        <w:color w:val="6B6B6B"/>
        <w:sz w:val="16"/>
      </w:rPr>
      <w:tab/>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b/>
        <w:i w:val="0"/>
        <w:caps/>
        <w:color w:val="C9A227"/>
        <w:sz w:val="16"/>
      </w:rPr>
      <w:t xml:space="preserve">AURUMX  •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5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B6F1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