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88" w:lineRule="auto"/>
        <w:ind w:left="1247" w:right="1247"/>
        <w:jc w:val="left"/>
        <w:shd w:val="clear" w:color="auto" w:fill="FAF6EC"/>
      </w:pPr>
    </w:p>
    <w:p>
      <w:pPr>
        <w:spacing w:before="1200" w:after="40"/>
        <w:ind w:left="1247" w:right="1247"/>
        <w:jc w:val="left"/>
        <w:shd w:val="clear" w:color="auto" w:fill="FAF6EC"/>
      </w:pPr>
      <w:r>
        <w:rPr>
          <w:rFonts w:ascii="Calibri" w:hAnsi="Calibri" w:cs="Calibri"/>
          <w:b/>
          <w:i w:val="0"/>
          <w:caps/>
          <w:color w:val="C9A227"/>
          <w:sz w:val="22"/>
        </w:rPr>
        <w:t>AURUMX</w:t>
      </w:r>
      <w:r>
        <w:rPr>
          <w:rFonts w:ascii="Calibri" w:hAnsi="Calibri" w:cs="Calibri"/>
          <w:b w:val="0"/>
          <w:i w:val="0"/>
          <w:caps/>
          <w:color w:val="6B6B6B"/>
          <w:sz w:val="22"/>
        </w:rPr>
        <w:t xml:space="preserve">  •  DOCUMENTATION SUITE v1.0</w:t>
      </w:r>
    </w:p>
    <w:p>
      <w:pPr>
        <w:spacing w:before="40" w:after="1200"/>
        <w:ind w:left="1247" w:right="1247"/>
        <w:jc w:val="left"/>
        <w:shd w:val="clear" w:color="auto" w:fill="FAF6EC"/>
        <w:pBdr>
          <w:bottom w:val="single" w:sz="18" w:space="4" w:color="C9A227"/>
        </w:pBdr>
      </w:pPr>
    </w:p>
    <w:p>
      <w:pPr>
        <w:spacing w:before="0" w:after="360" w:line="288" w:lineRule="auto"/>
        <w:ind w:left="1247" w:right="1247"/>
        <w:jc w:val="left"/>
        <w:shd w:val="clear" w:color="auto" w:fill="FAF6EC"/>
      </w:pPr>
      <w:r>
        <w:rPr>
          <w:rFonts w:ascii="Calibri" w:hAnsi="Calibri" w:cs="Calibri"/>
          <w:b/>
          <w:i w:val="0"/>
          <w:caps/>
          <w:color w:val="8B6F12"/>
          <w:sz w:val="28"/>
        </w:rPr>
        <w:t>DOCUMENT 05</w:t>
      </w:r>
    </w:p>
    <w:p>
      <w:pPr>
        <w:spacing w:after="160" w:line="252" w:lineRule="auto"/>
        <w:ind w:left="1247" w:right="1247"/>
        <w:jc w:val="left"/>
        <w:shd w:val="clear" w:color="auto" w:fill="FAF6EC"/>
      </w:pPr>
      <w:r>
        <w:rPr>
          <w:rFonts w:ascii="Calibri" w:hAnsi="Calibri" w:cs="Calibri"/>
          <w:b/>
          <w:i w:val="0"/>
          <w:color w:val="1A1A1A"/>
          <w:sz w:val="76"/>
        </w:rPr>
        <w:t>User Flows &amp; System Flows</w:t>
      </w:r>
    </w:p>
    <w:p>
      <w:pPr>
        <w:spacing w:before="0" w:after="400"/>
        <w:ind w:left="1247" w:right="6803"/>
        <w:shd w:val="clear" w:color="auto" w:fill="FAF6EC"/>
        <w:pBdr>
          <w:bottom w:val="single" w:sz="24" w:space="1" w:color="C9A227"/>
        </w:pBdr>
      </w:pPr>
    </w:p>
    <w:p>
      <w:pPr>
        <w:spacing w:after="720" w:line="336" w:lineRule="auto"/>
        <w:ind w:left="1247" w:right="2268"/>
        <w:jc w:val="left"/>
        <w:shd w:val="clear" w:color="auto" w:fill="FAF6EC"/>
      </w:pPr>
      <w:r>
        <w:rPr>
          <w:rFonts w:ascii="Calibri" w:hAnsi="Calibri" w:cs="Calibri"/>
          <w:b w:val="0"/>
          <w:i/>
          <w:color w:val="4A4A4A"/>
          <w:sz w:val="26"/>
        </w:rPr>
        <w:t>Nine user flows, sequence diagrams, and seven state machines covering the full trade lifecycle.</w:t>
      </w:r>
    </w:p>
    <w:p>
      <w:pPr>
        <w:spacing w:after="1200"/>
        <w:ind w:left="1247" w:right="1247"/>
        <w:jc w:val="left"/>
        <w:shd w:val="clear" w:color="auto" w:fill="FAF6EC"/>
      </w:pPr>
      <w:r>
        <w:rPr>
          <w:rFonts w:ascii="Calibri" w:hAnsi="Calibri" w:cs="Calibri"/>
          <w:b/>
          <w:i w:val="0"/>
          <w:caps/>
          <w:color w:val="6B6B6B"/>
          <w:sz w:val="18"/>
        </w:rPr>
        <w:t xml:space="preserve">SCOPE  </w:t>
      </w:r>
      <w:r>
        <w:rPr>
          <w:rFonts w:ascii="Calibri" w:hAnsi="Calibri" w:cs="Calibri"/>
          <w:b w:val="0"/>
          <w:i w:val="0"/>
          <w:color w:val="2D2D2D"/>
          <w:sz w:val="20"/>
        </w:rPr>
        <w:t>UF-01 to UF-09 • State Machines • Sequence Diagrams</w:t>
      </w:r>
    </w:p>
    <w:p>
      <w:pPr>
        <w:spacing w:before="0" w:after="1000" w:line="240" w:lineRule="auto"/>
        <w:ind w:left="1247" w:right="1247"/>
        <w:shd w:val="clear" w:color="auto" w:fill="FAF6EC"/>
      </w:pPr>
      <w:r>
        <w:rPr>
          <w:rFonts w:ascii="Calibri" w:hAnsi="Calibri" w:cs="Calibri"/>
          <w:b w:val="0"/>
          <w:i w:val="0"/>
          <w:color w:val="FAF6EC"/>
          <w:sz w:val="20"/>
        </w:rPr>
        <w:t xml:space="preserve"> </w:t>
      </w:r>
    </w:p>
    <w:p>
      <w:pPr>
        <w:spacing w:before="0" w:after="1000" w:line="240" w:lineRule="auto"/>
        <w:ind w:left="1247" w:right="1247"/>
        <w:shd w:val="clear" w:color="auto" w:fill="FAF6EC"/>
      </w:pPr>
      <w:r>
        <w:rPr>
          <w:rFonts w:ascii="Calibri" w:hAnsi="Calibri" w:cs="Calibri"/>
          <w:b w:val="0"/>
          <w:i w:val="0"/>
          <w:color w:val="FAF6EC"/>
          <w:sz w:val="20"/>
        </w:rPr>
        <w:t xml:space="preserve"> </w:t>
      </w:r>
    </w:p>
    <w:p>
      <w:pPr>
        <w:spacing w:before="0" w:after="1000" w:line="240" w:lineRule="auto"/>
        <w:ind w:left="1247" w:right="1247"/>
        <w:shd w:val="clear" w:color="auto" w:fill="FAF6EC"/>
      </w:pPr>
      <w:r>
        <w:rPr>
          <w:rFonts w:ascii="Calibri" w:hAnsi="Calibri" w:cs="Calibri"/>
          <w:b w:val="0"/>
          <w:i w:val="0"/>
          <w:color w:val="FAF6EC"/>
          <w:sz w:val="20"/>
        </w:rPr>
        <w:t xml:space="preserve"> </w:t>
      </w:r>
    </w:p>
    <w:p>
      <w:pPr>
        <w:spacing w:before="0" w:after="160"/>
        <w:ind w:left="1247" w:right="1247"/>
        <w:shd w:val="clear" w:color="auto" w:fill="FAF6EC"/>
        <w:pBdr>
          <w:top w:val="single" w:sz="8" w:space="4" w:color="C9A227"/>
        </w:pBdr>
      </w:pPr>
    </w:p>
    <w:p>
      <w:pPr>
        <w:spacing w:after="40"/>
        <w:ind w:left="1247" w:right="1247"/>
        <w:shd w:val="clear" w:color="auto" w:fill="FAF6EC"/>
      </w:pPr>
      <w:r>
        <w:rPr>
          <w:rFonts w:ascii="Calibri" w:hAnsi="Calibri" w:cs="Calibri"/>
          <w:b/>
          <w:i w:val="0"/>
          <w:caps/>
          <w:color w:val="6B6B6B"/>
          <w:sz w:val="16"/>
        </w:rPr>
        <w:t xml:space="preserve">SPONSOR  </w:t>
      </w:r>
      <w:r>
        <w:rPr>
          <w:rFonts w:ascii="Calibri" w:hAnsi="Calibri" w:cs="Calibri"/>
          <w:b w:val="0"/>
          <w:i w:val="0"/>
          <w:color w:val="1A1A1A"/>
          <w:sz w:val="20"/>
        </w:rPr>
        <w:t>Ghana Chamber of Gold Buyers</w:t>
      </w:r>
    </w:p>
    <w:p>
      <w:pPr>
        <w:spacing w:after="40"/>
        <w:ind w:left="1247" w:right="1247"/>
        <w:shd w:val="clear" w:color="auto" w:fill="FAF6EC"/>
      </w:pPr>
      <w:r>
        <w:rPr>
          <w:rFonts w:ascii="Calibri" w:hAnsi="Calibri" w:cs="Calibri"/>
          <w:b/>
          <w:i w:val="0"/>
          <w:caps/>
          <w:color w:val="6B6B6B"/>
          <w:sz w:val="16"/>
        </w:rPr>
        <w:t xml:space="preserve">TECHNOLOGY PARTNER  </w:t>
      </w:r>
      <w:r>
        <w:rPr>
          <w:rFonts w:ascii="Calibri" w:hAnsi="Calibri" w:cs="Calibri"/>
          <w:b w:val="0"/>
          <w:i w:val="0"/>
          <w:color w:val="1A1A1A"/>
          <w:sz w:val="20"/>
        </w:rPr>
        <w:t>Vanta Technologies Ltd.</w:t>
      </w:r>
    </w:p>
    <w:p>
      <w:pPr>
        <w:spacing w:after="1200"/>
        <w:ind w:left="1247" w:right="1247"/>
        <w:shd w:val="clear" w:color="auto" w:fill="FAF6EC"/>
      </w:pPr>
      <w:r>
        <w:rPr>
          <w:rFonts w:ascii="Calibri" w:hAnsi="Calibri" w:cs="Calibri"/>
          <w:b/>
          <w:i w:val="0"/>
          <w:caps/>
          <w:color w:val="8B6F12"/>
          <w:sz w:val="16"/>
        </w:rPr>
        <w:t>CONFIDENTIAL  •  CHAMBER &amp; VENDOR INTERNAL  •  AUTHORIZATION DATE 15 AUGUST 2026</w:t>
      </w:r>
    </w:p>
    <w:p>
      <w:pPr>
        <w:sectPr>
          <w:footerReference w:type="first" r:id="rId9"/>
          <w:pgSz w:w="11906" w:h="16838"/>
          <w:pgMar w:top="0" w:right="0" w:bottom="0" w:left="0" w:header="720" w:footer="720" w:gutter="0"/>
          <w:cols w:space="720"/>
          <w:docGrid w:linePitch="360"/>
        </w:sectPr>
      </w:pPr>
    </w:p>
    <w:p>
      <w:pPr>
        <w:spacing w:before="0" w:after="120"/>
        <w:jc w:val="left"/>
      </w:pPr>
      <w:r>
        <w:rPr>
          <w:rFonts w:ascii="Calibri" w:hAnsi="Calibri" w:cs="Calibri"/>
          <w:b/>
          <w:i w:val="0"/>
          <w:caps/>
          <w:color w:val="1A1A1A"/>
          <w:sz w:val="44"/>
        </w:rPr>
        <w:t>TABLE OF CONTENTS</w:t>
      </w:r>
    </w:p>
    <w:p>
      <w:pPr>
        <w:spacing w:before="0" w:after="480"/>
        <w:pBdr>
          <w:bottom w:val="single" w:sz="12" w:space="1" w:color="C9A227"/>
        </w:pBdr>
        <w:ind w:right="7370"/>
      </w:pPr>
    </w:p>
    <w:p>
      <w:pPr>
        <w:spacing w:after="240"/>
      </w:pPr>
      <w:r>
        <w:fldChar w:fldCharType="begin" w:dirty="true"/>
        <w:instrText xml:space="preserve">TOC \o "1-3" \h \z \u</w:instrText>
        <w:fldChar w:fldCharType="separate"/>
        <w:t>Loading…</w:t>
        <w:fldChar w:fldCharType="end"/>
      </w:r>
    </w:p>
    <w:p>
      <w:pPr>
        <w:spacing w:before="240"/>
        <w:jc w:val="left"/>
      </w:pPr>
      <w:r>
        <w:rPr>
          <w:rFonts w:ascii="Calibri" w:hAnsi="Calibri" w:cs="Calibri"/>
          <w:b w:val="0"/>
          <w:i/>
          <w:color w:val="6B6B6B"/>
          <w:sz w:val="18"/>
        </w:rPr>
        <w:t>Right-click the table of contents and select “Update Field” to refresh page numbers after opening in Microsoft Word.</w:t>
      </w:r>
    </w:p>
    <w:p>
      <w:r>
        <w:br w:type="page"/>
      </w:r>
    </w:p>
    <w:p>
      <w:pPr>
        <w:pStyle w:val="Heading1"/>
        <w:keepNext/>
        <w:spacing w:before="240" w:after="120"/>
        <w:jc w:val="left"/>
        <w:pBdr>
          <w:bottom w:val="single" w:sz="16" w:space="6" w:color="C9A227"/>
        </w:pBdr>
      </w:pPr>
      <w:r>
        <w:rPr>
          <w:rFonts w:ascii="Calibri" w:hAnsi="Calibri" w:cs="Calibri"/>
          <w:b/>
          <w:i w:val="0"/>
          <w:color w:val="1A1A1A"/>
          <w:sz w:val="56"/>
        </w:rPr>
        <w:t>Document 5 — User Flows &amp; System Flows</w:t>
      </w:r>
    </w:p>
    <w:p>
      <w:pPr>
        <w:spacing w:after="160" w:line="336" w:lineRule="auto"/>
        <w:ind w:firstLine="0"/>
        <w:jc w:val="both"/>
      </w:pPr>
      <w:r>
        <w:rPr>
          <w:rFonts w:ascii="Calibri" w:hAnsi="Calibri" w:cs="Calibri"/>
          <w:b w:val="0"/>
          <w:i w:val="0"/>
          <w:color w:val="1A1A1A"/>
          <w:sz w:val="21"/>
        </w:rPr>
        <w:t>This document describes how users move through the product (screen-by-screen flows with branches and edge cases) and how their actions translate into system behavior (requests across services, sequence diagrams, state transitions). Each user flow is mapped to its primary persona, journey stage, and backing API endpoints. Nine user flows and seven state machines are covered.</w:t>
      </w:r>
    </w:p>
    <w:p>
      <w:pPr>
        <w:pStyle w:val="Heading2"/>
        <w:keepNext/>
        <w:spacing w:before="360" w:after="160"/>
        <w:jc w:val="left"/>
        <w:pBdr>
          <w:bottom w:val="single" w:sz="6" w:space="4" w:color="C9A227"/>
        </w:pBdr>
      </w:pPr>
      <w:r>
        <w:rPr>
          <w:rFonts w:ascii="Calibri" w:hAnsi="Calibri" w:cs="Calibri"/>
          <w:b/>
          <w:i w:val="0"/>
          <w:color w:val="1A1A1A"/>
          <w:sz w:val="32"/>
        </w:rPr>
        <w:t>5.1 User Flows</w:t>
      </w:r>
    </w:p>
    <w:tbl>
      <w:tblPr>
        <w:tblW w:type="auto" w:w="0"/>
        <w:jc w:val="center"/>
        <w:tblLayout w:type="fixed"/>
        <w:tblLook w:firstColumn="1" w:firstRow="1" w:lastColumn="0" w:lastRow="0" w:noHBand="0" w:noVBand="1" w:val="04A0"/>
      </w:tblPr>
      <w:tblGrid>
        <w:gridCol w:w="2296"/>
        <w:gridCol w:w="2296"/>
        <w:gridCol w:w="2296"/>
        <w:gridCol w:w="2296"/>
      </w:tblGrid>
      <w:tr>
        <w:trPr>
          <w:tblHeader/>
          <w:cantSplit/>
        </w:trPr>
        <w:tc>
          <w:tcPr>
            <w:tcW w:type="dxa" w:w="2296"/>
            <w:shd w:val="clear" w:color="auto" w:fill="1A1A1A"/>
            <w:tcBorders>
              <w:top w:val="single" w:sz="8" w:space="0" w:color="C9A227"/>
              <w:left w:val="single" w:sz="8" w:space="0" w:color="C9A227"/>
              <w:bottom w:val="single" w:sz="8" w:space="0" w:color="C9A227"/>
              <w:right w:val="single" w:sz="8" w:space="0" w:color="C9A227"/>
            </w:tcBorders>
            <w:tcMar>
              <w:top w:w="120" w:type="dxa"/>
              <w:left w:w="140" w:type="dxa"/>
              <w:bottom w:w="120" w:type="dxa"/>
              <w:right w:w="140" w:type="dxa"/>
            </w:tcMar>
            <w:vAlign w:val="center"/>
          </w:tcPr>
          <w:p>
            <w:pPr>
              <w:spacing w:after="0" w:line="288" w:lineRule="auto"/>
              <w:jc w:val="left"/>
            </w:pPr>
            <w:r>
              <w:rPr>
                <w:rFonts w:ascii="Calibri" w:hAnsi="Calibri" w:cs="Calibri"/>
                <w:b/>
                <w:i w:val="0"/>
                <w:caps/>
                <w:color w:val="FFFFFF"/>
                <w:sz w:val="19"/>
              </w:rPr>
              <w:t>\#</w:t>
            </w:r>
          </w:p>
        </w:tc>
        <w:tc>
          <w:tcPr>
            <w:tcW w:type="dxa" w:w="2296"/>
            <w:shd w:val="clear" w:color="auto" w:fill="1A1A1A"/>
            <w:tcBorders>
              <w:top w:val="single" w:sz="8" w:space="0" w:color="C9A227"/>
              <w:left w:val="single" w:sz="8" w:space="0" w:color="C9A227"/>
              <w:bottom w:val="single" w:sz="8" w:space="0" w:color="C9A227"/>
              <w:right w:val="single" w:sz="8" w:space="0" w:color="C9A227"/>
            </w:tcBorders>
            <w:tcMar>
              <w:top w:w="120" w:type="dxa"/>
              <w:left w:w="140" w:type="dxa"/>
              <w:bottom w:w="120" w:type="dxa"/>
              <w:right w:w="140" w:type="dxa"/>
            </w:tcMar>
            <w:vAlign w:val="center"/>
          </w:tcPr>
          <w:p>
            <w:pPr>
              <w:spacing w:after="0" w:line="288" w:lineRule="auto"/>
              <w:jc w:val="left"/>
            </w:pPr>
            <w:r>
              <w:rPr>
                <w:rFonts w:ascii="Calibri" w:hAnsi="Calibri" w:cs="Calibri"/>
                <w:b/>
                <w:i w:val="0"/>
                <w:caps/>
                <w:color w:val="FFFFFF"/>
                <w:sz w:val="19"/>
              </w:rPr>
              <w:t>Flow</w:t>
            </w:r>
          </w:p>
        </w:tc>
        <w:tc>
          <w:tcPr>
            <w:tcW w:type="dxa" w:w="2296"/>
            <w:shd w:val="clear" w:color="auto" w:fill="1A1A1A"/>
            <w:tcBorders>
              <w:top w:val="single" w:sz="8" w:space="0" w:color="C9A227"/>
              <w:left w:val="single" w:sz="8" w:space="0" w:color="C9A227"/>
              <w:bottom w:val="single" w:sz="8" w:space="0" w:color="C9A227"/>
              <w:right w:val="single" w:sz="8" w:space="0" w:color="C9A227"/>
            </w:tcBorders>
            <w:tcMar>
              <w:top w:w="120" w:type="dxa"/>
              <w:left w:w="140" w:type="dxa"/>
              <w:bottom w:w="120" w:type="dxa"/>
              <w:right w:w="140" w:type="dxa"/>
            </w:tcMar>
            <w:vAlign w:val="center"/>
          </w:tcPr>
          <w:p>
            <w:pPr>
              <w:spacing w:after="0" w:line="288" w:lineRule="auto"/>
              <w:jc w:val="left"/>
            </w:pPr>
            <w:r>
              <w:rPr>
                <w:rFonts w:ascii="Calibri" w:hAnsi="Calibri" w:cs="Calibri"/>
                <w:b/>
                <w:i w:val="0"/>
                <w:caps/>
                <w:color w:val="FFFFFF"/>
                <w:sz w:val="19"/>
              </w:rPr>
              <w:t>Primary Persona</w:t>
            </w:r>
          </w:p>
        </w:tc>
        <w:tc>
          <w:tcPr>
            <w:tcW w:type="dxa" w:w="2296"/>
            <w:shd w:val="clear" w:color="auto" w:fill="1A1A1A"/>
            <w:tcBorders>
              <w:top w:val="single" w:sz="8" w:space="0" w:color="C9A227"/>
              <w:left w:val="single" w:sz="8" w:space="0" w:color="C9A227"/>
              <w:bottom w:val="single" w:sz="8" w:space="0" w:color="C9A227"/>
              <w:right w:val="single" w:sz="8" w:space="0" w:color="C9A227"/>
            </w:tcBorders>
            <w:tcMar>
              <w:top w:w="120" w:type="dxa"/>
              <w:left w:w="140" w:type="dxa"/>
              <w:bottom w:w="120" w:type="dxa"/>
              <w:right w:w="140" w:type="dxa"/>
            </w:tcMar>
            <w:vAlign w:val="center"/>
          </w:tcPr>
          <w:p>
            <w:pPr>
              <w:spacing w:after="0" w:line="288" w:lineRule="auto"/>
              <w:jc w:val="left"/>
            </w:pPr>
            <w:r>
              <w:rPr>
                <w:rFonts w:ascii="Calibri" w:hAnsi="Calibri" w:cs="Calibri"/>
                <w:b/>
                <w:i w:val="0"/>
                <w:caps/>
                <w:color w:val="FFFFFF"/>
                <w:sz w:val="19"/>
              </w:rPr>
              <w:t>Journey Stage</w:t>
            </w:r>
          </w:p>
        </w:tc>
      </w:tr>
      <w:tr>
        <w:trPr>
          <w:cantSplit/>
        </w:trPr>
        <w:tc>
          <w:tcPr>
            <w:tcW w:type="dxa" w:w="229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UF-01</w:t>
            </w:r>
          </w:p>
        </w:tc>
        <w:tc>
          <w:tcPr>
            <w:tcW w:type="dxa" w:w="229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Member Onboarding</w:t>
            </w:r>
          </w:p>
        </w:tc>
        <w:tc>
          <w:tcPr>
            <w:tcW w:type="dxa" w:w="229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Ibrahim, Abena, Kwame</w:t>
            </w:r>
          </w:p>
        </w:tc>
        <w:tc>
          <w:tcPr>
            <w:tcW w:type="dxa" w:w="229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J1/2/3 Stage 1</w:t>
            </w:r>
          </w:p>
        </w:tc>
      </w:tr>
      <w:tr>
        <w:trPr>
          <w:cantSplit/>
        </w:trPr>
        <w:tc>
          <w:tcPr>
            <w:tcW w:type="dxa" w:w="2296"/>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UF-02</w:t>
            </w:r>
          </w:p>
        </w:tc>
        <w:tc>
          <w:tcPr>
            <w:tcW w:type="dxa" w:w="2296"/>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Lot Creation &amp; Listing</w:t>
            </w:r>
          </w:p>
        </w:tc>
        <w:tc>
          <w:tcPr>
            <w:tcW w:type="dxa" w:w="2296"/>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Ibrahim</w:t>
            </w:r>
          </w:p>
        </w:tc>
        <w:tc>
          <w:tcPr>
            <w:tcW w:type="dxa" w:w="2296"/>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J3 Stage 2</w:t>
            </w:r>
          </w:p>
        </w:tc>
      </w:tr>
      <w:tr>
        <w:trPr>
          <w:cantSplit/>
        </w:trPr>
        <w:tc>
          <w:tcPr>
            <w:tcW w:type="dxa" w:w="229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UF-03</w:t>
            </w:r>
          </w:p>
        </w:tc>
        <w:tc>
          <w:tcPr>
            <w:tcW w:type="dxa" w:w="229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RFQ Submission &amp; Negotiation</w:t>
            </w:r>
          </w:p>
        </w:tc>
        <w:tc>
          <w:tcPr>
            <w:tcW w:type="dxa" w:w="229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Kwame, Abena</w:t>
            </w:r>
          </w:p>
        </w:tc>
        <w:tc>
          <w:tcPr>
            <w:tcW w:type="dxa" w:w="229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J1/2 Stage 3</w:t>
            </w:r>
          </w:p>
        </w:tc>
      </w:tr>
      <w:tr>
        <w:trPr>
          <w:cantSplit/>
        </w:trPr>
        <w:tc>
          <w:tcPr>
            <w:tcW w:type="dxa" w:w="2296"/>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UF-04</w:t>
            </w:r>
          </w:p>
        </w:tc>
        <w:tc>
          <w:tcPr>
            <w:tcW w:type="dxa" w:w="2296"/>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Auction (Timed, Reverse, Sealed-Bid)</w:t>
            </w:r>
          </w:p>
        </w:tc>
        <w:tc>
          <w:tcPr>
            <w:tcW w:type="dxa" w:w="2296"/>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Kwame, Abena</w:t>
            </w:r>
          </w:p>
        </w:tc>
        <w:tc>
          <w:tcPr>
            <w:tcW w:type="dxa" w:w="2296"/>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J1/2 Stage 3 (alt)</w:t>
            </w:r>
          </w:p>
        </w:tc>
      </w:tr>
      <w:tr>
        <w:trPr>
          <w:cantSplit/>
        </w:trPr>
        <w:tc>
          <w:tcPr>
            <w:tcW w:type="dxa" w:w="229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UF-05</w:t>
            </w:r>
          </w:p>
        </w:tc>
        <w:tc>
          <w:tcPr>
            <w:tcW w:type="dxa" w:w="229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Escrow Funding &amp; Settlement</w:t>
            </w:r>
          </w:p>
        </w:tc>
        <w:tc>
          <w:tcPr>
            <w:tcW w:type="dxa" w:w="229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Kwame, Abena, Ibrahim</w:t>
            </w:r>
          </w:p>
        </w:tc>
        <w:tc>
          <w:tcPr>
            <w:tcW w:type="dxa" w:w="229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J1/2/3 Stage 4</w:t>
            </w:r>
          </w:p>
        </w:tc>
      </w:tr>
      <w:tr>
        <w:trPr>
          <w:cantSplit/>
        </w:trPr>
        <w:tc>
          <w:tcPr>
            <w:tcW w:type="dxa" w:w="2296"/>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UF-06</w:t>
            </w:r>
          </w:p>
        </w:tc>
        <w:tc>
          <w:tcPr>
            <w:tcW w:type="dxa" w:w="2296"/>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Assay Request &amp; Certification</w:t>
            </w:r>
          </w:p>
        </w:tc>
        <w:tc>
          <w:tcPr>
            <w:tcW w:type="dxa" w:w="2296"/>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Abena, Chamber</w:t>
            </w:r>
          </w:p>
        </w:tc>
        <w:tc>
          <w:tcPr>
            <w:tcW w:type="dxa" w:w="2296"/>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J2 Stage 3</w:t>
            </w:r>
          </w:p>
        </w:tc>
      </w:tr>
      <w:tr>
        <w:trPr>
          <w:cantSplit/>
        </w:trPr>
        <w:tc>
          <w:tcPr>
            <w:tcW w:type="dxa" w:w="229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UF-07</w:t>
            </w:r>
          </w:p>
        </w:tc>
        <w:tc>
          <w:tcPr>
            <w:tcW w:type="dxa" w:w="229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Export Documentation Bundle</w:t>
            </w:r>
          </w:p>
        </w:tc>
        <w:tc>
          <w:tcPr>
            <w:tcW w:type="dxa" w:w="229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Abena</w:t>
            </w:r>
          </w:p>
        </w:tc>
        <w:tc>
          <w:tcPr>
            <w:tcW w:type="dxa" w:w="229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J2 Stage 4</w:t>
            </w:r>
          </w:p>
        </w:tc>
      </w:tr>
      <w:tr>
        <w:trPr>
          <w:cantSplit/>
        </w:trPr>
        <w:tc>
          <w:tcPr>
            <w:tcW w:type="dxa" w:w="2296"/>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UF-08</w:t>
            </w:r>
          </w:p>
        </w:tc>
        <w:tc>
          <w:tcPr>
            <w:tcW w:type="dxa" w:w="2296"/>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Compliance Investigation</w:t>
            </w:r>
          </w:p>
        </w:tc>
        <w:tc>
          <w:tcPr>
            <w:tcW w:type="dxa" w:w="2296"/>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Efua</w:t>
            </w:r>
          </w:p>
        </w:tc>
        <w:tc>
          <w:tcPr>
            <w:tcW w:type="dxa" w:w="2296"/>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J4 Stage 2</w:t>
            </w:r>
          </w:p>
        </w:tc>
      </w:tr>
      <w:tr>
        <w:trPr>
          <w:cantSplit/>
        </w:trPr>
        <w:tc>
          <w:tcPr>
            <w:tcW w:type="dxa" w:w="229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UF-09</w:t>
            </w:r>
          </w:p>
        </w:tc>
        <w:tc>
          <w:tcPr>
            <w:tcW w:type="dxa" w:w="229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Dispute Resolution</w:t>
            </w:r>
          </w:p>
        </w:tc>
        <w:tc>
          <w:tcPr>
            <w:tcW w:type="dxa" w:w="229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All</w:t>
            </w:r>
          </w:p>
        </w:tc>
        <w:tc>
          <w:tcPr>
            <w:tcW w:type="dxa" w:w="229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Cross-journey</w:t>
            </w:r>
          </w:p>
        </w:tc>
      </w:tr>
    </w:tbl>
    <w:p>
      <w:pPr>
        <w:spacing w:after="160" w:before="0"/>
      </w:pPr>
    </w:p>
    <w:p>
      <w:pPr>
        <w:pStyle w:val="Heading2"/>
        <w:keepNext/>
        <w:spacing w:before="360" w:after="160"/>
        <w:jc w:val="left"/>
        <w:pBdr>
          <w:bottom w:val="single" w:sz="6" w:space="4" w:color="C9A227"/>
        </w:pBdr>
      </w:pPr>
      <w:r>
        <w:rPr>
          <w:rFonts w:ascii="Calibri" w:hAnsi="Calibri" w:cs="Calibri"/>
          <w:b/>
          <w:i w:val="0"/>
          <w:color w:val="1A1A1A"/>
          <w:sz w:val="32"/>
        </w:rPr>
        <w:t>5.2 UF-03 — RFQ Submission &amp; Negotiation (Detail)</w:t>
      </w:r>
    </w:p>
    <w:p>
      <w:pPr>
        <w:spacing w:after="160" w:line="336" w:lineRule="auto"/>
        <w:ind w:firstLine="0"/>
        <w:jc w:val="both"/>
      </w:pPr>
      <w:r>
        <w:rPr>
          <w:rFonts w:ascii="Calibri" w:hAnsi="Calibri" w:cs="Calibri"/>
          <w:b w:val="0"/>
          <w:i w:val="0"/>
          <w:color w:val="1A1A1A"/>
          <w:sz w:val="21"/>
        </w:rPr>
        <w:t>The buyer browses Lots or receives a Tier 1 priority alert. On the lot detail page, the buyer submits an RFQ with an asking price (Tier 1 priority) or a bid (Tier 2 open). The seller is notified via WhatsApp + SMS. The seller accepts, counters, or rejects. Counter-offers iterate (max 5 rounds). On acceptance, a Trade is created (status PENDING_ESCROW). Both parties are notified with escrow funding instructions.</w:t>
      </w:r>
    </w:p>
    <w:p>
      <w:pPr>
        <w:pStyle w:val="Heading3"/>
        <w:keepNext/>
        <w:spacing w:before="240" w:after="120"/>
        <w:jc w:val="left"/>
      </w:pPr>
      <w:r>
        <w:rPr>
          <w:rFonts w:ascii="Calibri" w:hAnsi="Calibri" w:cs="Calibri"/>
          <w:b/>
          <w:i w:val="0"/>
          <w:caps/>
          <w:color w:val="8B6F12"/>
          <w:sz w:val="24"/>
        </w:rPr>
        <w:t>Decision Points &amp; Edge Cases</w:t>
      </w:r>
    </w:p>
    <w:tbl>
      <w:tblPr>
        <w:tblW w:type="auto" w:w="0"/>
        <w:jc w:val="center"/>
        <w:tblLayout w:type="fixed"/>
        <w:tblLook w:firstColumn="1" w:firstRow="1" w:lastColumn="0" w:lastRow="0" w:noHBand="0" w:noVBand="1" w:val="04A0"/>
      </w:tblPr>
      <w:tblGrid>
        <w:gridCol w:w="3061"/>
        <w:gridCol w:w="3061"/>
        <w:gridCol w:w="3061"/>
      </w:tblGrid>
      <w:tr>
        <w:trPr>
          <w:tblHeader/>
          <w:cantSplit/>
        </w:trPr>
        <w:tc>
          <w:tcPr>
            <w:tcW w:type="dxa" w:w="2296"/>
            <w:shd w:val="clear" w:color="auto" w:fill="1A1A1A"/>
            <w:tcBorders>
              <w:top w:val="single" w:sz="8" w:space="0" w:color="C9A227"/>
              <w:left w:val="single" w:sz="8" w:space="0" w:color="C9A227"/>
              <w:bottom w:val="single" w:sz="8" w:space="0" w:color="C9A227"/>
              <w:right w:val="single" w:sz="8" w:space="0" w:color="C9A227"/>
            </w:tcBorders>
            <w:tcMar>
              <w:top w:w="120" w:type="dxa"/>
              <w:left w:w="140" w:type="dxa"/>
              <w:bottom w:w="120" w:type="dxa"/>
              <w:right w:w="140" w:type="dxa"/>
            </w:tcMar>
            <w:vAlign w:val="center"/>
          </w:tcPr>
          <w:p>
            <w:pPr>
              <w:spacing w:after="0" w:line="288" w:lineRule="auto"/>
              <w:jc w:val="left"/>
            </w:pPr>
            <w:r>
              <w:rPr>
                <w:rFonts w:ascii="Calibri" w:hAnsi="Calibri" w:cs="Calibri"/>
                <w:b/>
                <w:i w:val="0"/>
                <w:caps/>
                <w:color w:val="FFFFFF"/>
                <w:sz w:val="19"/>
              </w:rPr>
              <w:t>Decision Point</w:t>
            </w:r>
          </w:p>
        </w:tc>
        <w:tc>
          <w:tcPr>
            <w:tcW w:type="dxa" w:w="3444"/>
            <w:shd w:val="clear" w:color="auto" w:fill="1A1A1A"/>
            <w:tcBorders>
              <w:top w:val="single" w:sz="8" w:space="0" w:color="C9A227"/>
              <w:left w:val="single" w:sz="8" w:space="0" w:color="C9A227"/>
              <w:bottom w:val="single" w:sz="8" w:space="0" w:color="C9A227"/>
              <w:right w:val="single" w:sz="8" w:space="0" w:color="C9A227"/>
            </w:tcBorders>
            <w:tcMar>
              <w:top w:w="120" w:type="dxa"/>
              <w:left w:w="140" w:type="dxa"/>
              <w:bottom w:w="120" w:type="dxa"/>
              <w:right w:w="140" w:type="dxa"/>
            </w:tcMar>
            <w:vAlign w:val="center"/>
          </w:tcPr>
          <w:p>
            <w:pPr>
              <w:spacing w:after="0" w:line="288" w:lineRule="auto"/>
              <w:jc w:val="left"/>
            </w:pPr>
            <w:r>
              <w:rPr>
                <w:rFonts w:ascii="Calibri" w:hAnsi="Calibri" w:cs="Calibri"/>
                <w:b/>
                <w:i w:val="0"/>
                <w:caps/>
                <w:color w:val="FFFFFF"/>
                <w:sz w:val="19"/>
              </w:rPr>
              <w:t>Logic</w:t>
            </w:r>
          </w:p>
        </w:tc>
        <w:tc>
          <w:tcPr>
            <w:tcW w:type="dxa" w:w="3444"/>
            <w:shd w:val="clear" w:color="auto" w:fill="1A1A1A"/>
            <w:tcBorders>
              <w:top w:val="single" w:sz="8" w:space="0" w:color="C9A227"/>
              <w:left w:val="single" w:sz="8" w:space="0" w:color="C9A227"/>
              <w:bottom w:val="single" w:sz="8" w:space="0" w:color="C9A227"/>
              <w:right w:val="single" w:sz="8" w:space="0" w:color="C9A227"/>
            </w:tcBorders>
            <w:tcMar>
              <w:top w:w="120" w:type="dxa"/>
              <w:left w:w="140" w:type="dxa"/>
              <w:bottom w:w="120" w:type="dxa"/>
              <w:right w:w="140" w:type="dxa"/>
            </w:tcMar>
            <w:vAlign w:val="center"/>
          </w:tcPr>
          <w:p>
            <w:pPr>
              <w:spacing w:after="0" w:line="288" w:lineRule="auto"/>
              <w:jc w:val="left"/>
            </w:pPr>
            <w:r>
              <w:rPr>
                <w:rFonts w:ascii="Calibri" w:hAnsi="Calibri" w:cs="Calibri"/>
                <w:b/>
                <w:i w:val="0"/>
                <w:caps/>
                <w:color w:val="FFFFFF"/>
                <w:sz w:val="19"/>
              </w:rPr>
              <w:t>UX Implication</w:t>
            </w:r>
          </w:p>
        </w:tc>
      </w:tr>
      <w:tr>
        <w:trPr>
          <w:cantSplit/>
        </w:trPr>
        <w:tc>
          <w:tcPr>
            <w:tcW w:type="dxa" w:w="229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Tier 1 priority alert (4h exclusivity)</w:t>
            </w:r>
          </w:p>
        </w:tc>
        <w:tc>
          <w:tcPr>
            <w:tcW w:type="dxa" w:w="3444"/>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Tier 1 buyers receive lot notifications 4h before Tier 2</w:t>
            </w:r>
          </w:p>
        </w:tc>
        <w:tc>
          <w:tcPr>
            <w:tcW w:type="dxa" w:w="3444"/>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Prominent countdown timer in negotiation UI</w:t>
            </w:r>
          </w:p>
        </w:tc>
      </w:tr>
      <w:tr>
        <w:trPr>
          <w:cantSplit/>
        </w:trPr>
        <w:tc>
          <w:tcPr>
            <w:tcW w:type="dxa" w:w="2296"/>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Counter-offer limits</w:t>
            </w:r>
          </w:p>
        </w:tc>
        <w:tc>
          <w:tcPr>
            <w:tcW w:type="dxa" w:w="3444"/>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Max 5 counter-offers per RFQ to prevent stalling</w:t>
            </w:r>
          </w:p>
        </w:tc>
        <w:tc>
          <w:tcPr>
            <w:tcW w:type="dxa" w:w="3444"/>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Counter after 5th rejected: maximum reached message</w:t>
            </w:r>
          </w:p>
        </w:tc>
      </w:tr>
      <w:tr>
        <w:trPr>
          <w:cantSplit/>
        </w:trPr>
        <w:tc>
          <w:tcPr>
            <w:tcW w:type="dxa" w:w="229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Auto-expiry</w:t>
            </w:r>
          </w:p>
        </w:tc>
        <w:tc>
          <w:tcPr>
            <w:tcW w:type="dxa" w:w="3444"/>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RFQ expires 24h after creation if not accepted</w:t>
            </w:r>
          </w:p>
        </w:tc>
        <w:tc>
          <w:tcPr>
            <w:tcW w:type="dxa" w:w="3444"/>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Seller sees countdown; buyer sees expires in X hours</w:t>
            </w:r>
          </w:p>
        </w:tc>
      </w:tr>
      <w:tr>
        <w:trPr>
          <w:cantSplit/>
        </w:trPr>
        <w:tc>
          <w:tcPr>
            <w:tcW w:type="dxa" w:w="2296"/>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High-value trade threshold</w:t>
            </w:r>
          </w:p>
        </w:tc>
        <w:tc>
          <w:tcPr>
            <w:tcW w:type="dxa" w:w="3444"/>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Trades \&gt; US$100K require MFA re-authentication</w:t>
            </w:r>
          </w:p>
        </w:tc>
        <w:tc>
          <w:tcPr>
            <w:tcW w:type="dxa" w:w="3444"/>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Please confirm MFA code to accept this trade above US$100,000</w:t>
            </w:r>
          </w:p>
        </w:tc>
      </w:tr>
      <w:tr>
        <w:trPr>
          <w:cantSplit/>
        </w:trPr>
        <w:tc>
          <w:tcPr>
            <w:tcW w:type="dxa" w:w="229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Buyer not on seller's preferred panel</w:t>
            </w:r>
          </w:p>
        </w:tc>
        <w:tc>
          <w:tcPr>
            <w:tcW w:type="dxa" w:w="3444"/>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Warning shown but trade permitted</w:t>
            </w:r>
          </w:p>
        </w:tc>
        <w:tc>
          <w:tcPr>
            <w:tcW w:type="dxa" w:w="3444"/>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Subtle warning: This buyer is not on your preferred panel</w:t>
            </w:r>
          </w:p>
        </w:tc>
      </w:tr>
    </w:tbl>
    <w:p>
      <w:pPr>
        <w:spacing w:after="160" w:before="0"/>
      </w:pPr>
    </w:p>
    <w:p>
      <w:pPr>
        <w:pStyle w:val="Heading2"/>
        <w:keepNext/>
        <w:spacing w:before="360" w:after="160"/>
        <w:jc w:val="left"/>
        <w:pBdr>
          <w:bottom w:val="single" w:sz="6" w:space="4" w:color="C9A227"/>
        </w:pBdr>
      </w:pPr>
      <w:r>
        <w:rPr>
          <w:rFonts w:ascii="Calibri" w:hAnsi="Calibri" w:cs="Calibri"/>
          <w:b/>
          <w:i w:val="0"/>
          <w:color w:val="1A1A1A"/>
          <w:sz w:val="32"/>
        </w:rPr>
        <w:t>5.3 UF-05 — Escrow Funding &amp; Settlement (Detail)</w:t>
      </w:r>
    </w:p>
    <w:p>
      <w:pPr>
        <w:spacing w:after="160" w:line="336" w:lineRule="auto"/>
        <w:ind w:firstLine="0"/>
        <w:jc w:val="both"/>
      </w:pPr>
      <w:r>
        <w:rPr>
          <w:rFonts w:ascii="Calibri" w:hAnsi="Calibri" w:cs="Calibri"/>
          <w:b w:val="0"/>
          <w:i w:val="0"/>
          <w:color w:val="1A1A1A"/>
          <w:sz w:val="21"/>
        </w:rPr>
        <w:t>Trade is created (status PENDING_ESCROW). Buyer taps Fund Escrow. If bank account not pre-authorized, mini onboarding. Confirm funding amount + bank account last4. If amount \&gt; US$100K, MFA challenge. POST /v1/trades/{id}/escrow/fund triggers bank adapter. Bank adapter calls partner bank API. On success, status FUNDED; both parties notified. Seller arranges armored transport via platform. Vault confirms receipt via operator API. Assay requested; certificate auto-attached. Title transfers on-platform. Escrow auto-released to seller bank account (or seller confirms receipt). Status SETTLED. Immutable audit entry + analytics event recorded.</w:t>
      </w:r>
    </w:p>
    <w:p>
      <w:pPr>
        <w:pStyle w:val="Heading3"/>
        <w:keepNext/>
        <w:spacing w:before="240" w:after="120"/>
        <w:jc w:val="left"/>
      </w:pPr>
      <w:r>
        <w:rPr>
          <w:rFonts w:ascii="Calibri" w:hAnsi="Calibri" w:cs="Calibri"/>
          <w:b/>
          <w:i w:val="0"/>
          <w:caps/>
          <w:color w:val="8B6F12"/>
          <w:sz w:val="24"/>
        </w:rPr>
        <w:t>Edge Cases</w:t>
      </w:r>
    </w:p>
    <w:tbl>
      <w:tblPr>
        <w:tblW w:type="auto" w:w="0"/>
        <w:jc w:val="center"/>
        <w:tblLayout w:type="fixed"/>
        <w:tblLook w:firstColumn="1" w:firstRow="1" w:lastColumn="0" w:lastRow="0" w:noHBand="0" w:noVBand="1" w:val="04A0"/>
      </w:tblPr>
      <w:tblGrid>
        <w:gridCol w:w="4592"/>
        <w:gridCol w:w="4592"/>
      </w:tblGrid>
      <w:tr>
        <w:trPr>
          <w:tblHeader/>
          <w:cantSplit/>
        </w:trPr>
        <w:tc>
          <w:tcPr>
            <w:tcW w:type="dxa" w:w="2296"/>
            <w:shd w:val="clear" w:color="auto" w:fill="1A1A1A"/>
            <w:tcBorders>
              <w:top w:val="single" w:sz="8" w:space="0" w:color="C9A227"/>
              <w:left w:val="single" w:sz="8" w:space="0" w:color="C9A227"/>
              <w:bottom w:val="single" w:sz="8" w:space="0" w:color="C9A227"/>
              <w:right w:val="single" w:sz="8" w:space="0" w:color="C9A227"/>
            </w:tcBorders>
            <w:tcMar>
              <w:top w:w="120" w:type="dxa"/>
              <w:left w:w="140" w:type="dxa"/>
              <w:bottom w:w="120" w:type="dxa"/>
              <w:right w:w="140" w:type="dxa"/>
            </w:tcMar>
            <w:vAlign w:val="center"/>
          </w:tcPr>
          <w:p>
            <w:pPr>
              <w:spacing w:after="0" w:line="288" w:lineRule="auto"/>
              <w:jc w:val="left"/>
            </w:pPr>
            <w:r>
              <w:rPr>
                <w:rFonts w:ascii="Calibri" w:hAnsi="Calibri" w:cs="Calibri"/>
                <w:b/>
                <w:i w:val="0"/>
                <w:caps/>
                <w:color w:val="FFFFFF"/>
                <w:sz w:val="19"/>
              </w:rPr>
              <w:t>Edge Case</w:t>
            </w:r>
          </w:p>
        </w:tc>
        <w:tc>
          <w:tcPr>
            <w:tcW w:type="dxa" w:w="6888"/>
            <w:shd w:val="clear" w:color="auto" w:fill="1A1A1A"/>
            <w:tcBorders>
              <w:top w:val="single" w:sz="8" w:space="0" w:color="C9A227"/>
              <w:left w:val="single" w:sz="8" w:space="0" w:color="C9A227"/>
              <w:bottom w:val="single" w:sz="8" w:space="0" w:color="C9A227"/>
              <w:right w:val="single" w:sz="8" w:space="0" w:color="C9A227"/>
            </w:tcBorders>
            <w:tcMar>
              <w:top w:w="120" w:type="dxa"/>
              <w:left w:w="140" w:type="dxa"/>
              <w:bottom w:w="120" w:type="dxa"/>
              <w:right w:w="140" w:type="dxa"/>
            </w:tcMar>
            <w:vAlign w:val="center"/>
          </w:tcPr>
          <w:p>
            <w:pPr>
              <w:spacing w:after="0" w:line="288" w:lineRule="auto"/>
              <w:jc w:val="left"/>
            </w:pPr>
            <w:r>
              <w:rPr>
                <w:rFonts w:ascii="Calibri" w:hAnsi="Calibri" w:cs="Calibri"/>
                <w:b/>
                <w:i w:val="0"/>
                <w:caps/>
                <w:color w:val="FFFFFF"/>
                <w:sz w:val="19"/>
              </w:rPr>
              <w:t>Handling</w:t>
            </w:r>
          </w:p>
        </w:tc>
      </w:tr>
      <w:tr>
        <w:trPr>
          <w:cantSplit/>
        </w:trPr>
        <w:tc>
          <w:tcPr>
            <w:tcW w:type="dxa" w:w="229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Buyer's bank API is down</w:t>
            </w:r>
          </w:p>
        </w:tc>
        <w:tc>
          <w:tcPr>
            <w:tcW w:type="dxa" w:w="6888"/>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Bank adapter falls back to secondary partner bank (Charter Risk R2 mitigation); if both down, escrow marked BANK_PENDING, retry every 30 min for 4 hours</w:t>
            </w:r>
          </w:p>
        </w:tc>
      </w:tr>
      <w:tr>
        <w:trPr>
          <w:cantSplit/>
        </w:trPr>
        <w:tc>
          <w:tcPr>
            <w:tcW w:type="dxa" w:w="2296"/>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Vault receipt delayed \&gt; 24h</w:t>
            </w:r>
          </w:p>
        </w:tc>
        <w:tc>
          <w:tcPr>
            <w:tcW w:type="dxa" w:w="6888"/>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Auto-alert to Chamber ops + seller + buyer; investigation workflow triggered</w:t>
            </w:r>
          </w:p>
        </w:tc>
      </w:tr>
      <w:tr>
        <w:trPr>
          <w:cantSplit/>
        </w:trPr>
        <w:tc>
          <w:tcPr>
            <w:tcW w:type="dxa" w:w="229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Assay result purity differs \&gt; 0.5% from declared</w:t>
            </w:r>
          </w:p>
        </w:tc>
        <w:tc>
          <w:tcPr>
            <w:tcW w:type="dxa" w:w="6888"/>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Auto-pause settlement; both parties notified; renegotiation workflow triggered</w:t>
            </w:r>
          </w:p>
        </w:tc>
      </w:tr>
      <w:tr>
        <w:trPr>
          <w:cantSplit/>
        </w:trPr>
        <w:tc>
          <w:tcPr>
            <w:tcW w:type="dxa" w:w="2296"/>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Compliance hold placed during escrow</w:t>
            </w:r>
          </w:p>
        </w:tc>
        <w:tc>
          <w:tcPr>
            <w:tcW w:type="dxa" w:w="6888"/>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Escrow status FROZEN; trade status COMPLIANCE_HOLD; only Compliance Officer can release</w:t>
            </w:r>
          </w:p>
        </w:tc>
      </w:tr>
      <w:tr>
        <w:trPr>
          <w:cantSplit/>
        </w:trPr>
        <w:tc>
          <w:tcPr>
            <w:tcW w:type="dxa" w:w="229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Buyer disputes delivery (gold damaged/missing)</w:t>
            </w:r>
          </w:p>
        </w:tc>
        <w:tc>
          <w:tcPr>
            <w:tcW w:type="dxa" w:w="6888"/>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Trade status DISPUTED; escrow held; dispute workflow UF-09 triggered</w:t>
            </w:r>
          </w:p>
        </w:tc>
      </w:tr>
    </w:tbl>
    <w:p>
      <w:pPr>
        <w:spacing w:after="160" w:before="0"/>
      </w:pPr>
    </w:p>
    <w:p>
      <w:pPr>
        <w:pStyle w:val="Heading2"/>
        <w:keepNext/>
        <w:spacing w:before="360" w:after="160"/>
        <w:jc w:val="left"/>
        <w:pBdr>
          <w:bottom w:val="single" w:sz="6" w:space="4" w:color="C9A227"/>
        </w:pBdr>
      </w:pPr>
      <w:r>
        <w:rPr>
          <w:rFonts w:ascii="Calibri" w:hAnsi="Calibri" w:cs="Calibri"/>
          <w:b/>
          <w:i w:val="0"/>
          <w:color w:val="1A1A1A"/>
          <w:sz w:val="32"/>
        </w:rPr>
        <w:t>5.4 Sequence Diagram — RFQ Submission to Escrow Funding</w:t>
      </w:r>
    </w:p>
    <w:p>
      <w:pPr>
        <w:spacing w:after="160" w:line="336" w:lineRule="auto"/>
        <w:ind w:firstLine="0"/>
        <w:jc w:val="both"/>
      </w:pPr>
      <w:r>
        <w:rPr>
          <w:rFonts w:ascii="Calibri" w:hAnsi="Calibri" w:cs="Calibri"/>
          <w:b w:val="0"/>
          <w:i w:val="0"/>
          <w:color w:val="1A1A1A"/>
          <w:sz w:val="21"/>
        </w:rPr>
        <w:t>Buyer (Kwame) submits RFQ via PWA → API Gateway → RFQ Engine. RFQ Engine validates eligibility, writes RFQ aggregate + outbox row, publishes event "rfq.submitted" to Kafka. Notification Service consumes event and notifies Seller (Ibrahim) via WhatsApp + SMS. Seller submits counter-offer via PWA → Negotiation Service → DB write → Kafka event → WebSocket push to Buyer in real-time. Buyer accepts → RFQ Engine creates Trade via Trade Service → DB write (Trade aggregate, status PENDING_ESCROW) + outbox → Kafka event "trade.created" → Notification Service notifies both parties with escrow funding instructions. Buyer funds escrow → Escrow Service writes Escrow aggregate (PENDING) + outbox → calls Bank Adapter → Bank API. Bank responds 202 Accepted (async webhook will confirm funding). Bank later calls webhook → Escrow Service updates status to FUNDED → Kafka event "escrow.funded" → notifications + audit log.</w:t>
      </w:r>
    </w:p>
    <w:p>
      <w:pPr>
        <w:pStyle w:val="Heading2"/>
        <w:keepNext/>
        <w:spacing w:before="360" w:after="160"/>
        <w:jc w:val="left"/>
        <w:pBdr>
          <w:bottom w:val="single" w:sz="6" w:space="4" w:color="C9A227"/>
        </w:pBdr>
      </w:pPr>
      <w:r>
        <w:rPr>
          <w:rFonts w:ascii="Calibri" w:hAnsi="Calibri" w:cs="Calibri"/>
          <w:b/>
          <w:i w:val="0"/>
          <w:color w:val="1A1A1A"/>
          <w:sz w:val="32"/>
        </w:rPr>
        <w:t>5.5 State Diagrams</w:t>
      </w:r>
    </w:p>
    <w:p>
      <w:pPr>
        <w:pStyle w:val="Heading3"/>
        <w:keepNext/>
        <w:spacing w:before="240" w:after="120"/>
        <w:jc w:val="left"/>
      </w:pPr>
      <w:r>
        <w:rPr>
          <w:rFonts w:ascii="Calibri" w:hAnsi="Calibri" w:cs="Calibri"/>
          <w:b/>
          <w:i w:val="0"/>
          <w:caps/>
          <w:color w:val="8B6F12"/>
          <w:sz w:val="24"/>
        </w:rPr>
        <w:t>Gold Lot State Machine</w:t>
      </w:r>
    </w:p>
    <w:p>
      <w:pPr>
        <w:spacing w:after="160" w:line="336" w:lineRule="auto"/>
        <w:ind w:firstLine="0"/>
        <w:jc w:val="both"/>
      </w:pPr>
      <w:r>
        <w:rPr>
          <w:rFonts w:ascii="Calibri" w:hAnsi="Calibri" w:cs="Calibri"/>
          <w:b w:val="0"/>
          <w:i w:val="0"/>
          <w:color w:val="1A1A1A"/>
          <w:sz w:val="21"/>
        </w:rPr>
        <w:t>Lot lifecycle: DRAFT → LISTED → UNDER_OFFER → IN_NEGOTIATION → IN_ESCROW → DELIVERED → SETTLED. Side states: EXPIRED (7 days no offers), CANCELLED (seller withdraws), DISPUTED (dispute opened). A lot can transition from DISPUTED back to SETTLED (release) or to CANCELLED (refund).</w:t>
      </w:r>
    </w:p>
    <w:p>
      <w:pPr>
        <w:pStyle w:val="Heading3"/>
        <w:keepNext/>
        <w:spacing w:before="240" w:after="120"/>
        <w:jc w:val="left"/>
      </w:pPr>
      <w:r>
        <w:rPr>
          <w:rFonts w:ascii="Calibri" w:hAnsi="Calibri" w:cs="Calibri"/>
          <w:b/>
          <w:i w:val="0"/>
          <w:caps/>
          <w:color w:val="8B6F12"/>
          <w:sz w:val="24"/>
        </w:rPr>
        <w:t>Trade State Machine</w:t>
      </w:r>
    </w:p>
    <w:p>
      <w:pPr>
        <w:spacing w:after="160" w:line="336" w:lineRule="auto"/>
        <w:ind w:firstLine="0"/>
        <w:jc w:val="both"/>
      </w:pPr>
      <w:r>
        <w:rPr>
          <w:rFonts w:ascii="Calibri" w:hAnsi="Calibri" w:cs="Calibri"/>
          <w:b w:val="0"/>
          <w:i w:val="0"/>
          <w:color w:val="1A1A1A"/>
          <w:sz w:val="21"/>
        </w:rPr>
        <w:t>Trade lifecycle: PENDING_ESCROW → ESCROW_FUNDED → DELIVERED → ASSAYED → TITLE_TRANSFERRED → SETTLED. Side states: CANCELLED (buyer fails to fund within 24h), COMPLIANCE_HOLD (compliance freeze), DISPUTED. From COMPLIANCE_HOLD, can return to ESCROW_FUNDED (cleared) or transition to CANCELLED (refund). From DISPUTED, can transition to SETTLED (release) or CANCELLED (refund).</w:t>
      </w:r>
    </w:p>
    <w:p>
      <w:pPr>
        <w:pStyle w:val="Heading3"/>
        <w:keepNext/>
        <w:spacing w:before="240" w:after="120"/>
        <w:jc w:val="left"/>
      </w:pPr>
      <w:r>
        <w:rPr>
          <w:rFonts w:ascii="Calibri" w:hAnsi="Calibri" w:cs="Calibri"/>
          <w:b/>
          <w:i w:val="0"/>
          <w:caps/>
          <w:color w:val="8B6F12"/>
          <w:sz w:val="24"/>
        </w:rPr>
        <w:t>Auction State Machine</w:t>
      </w:r>
    </w:p>
    <w:p>
      <w:pPr>
        <w:spacing w:after="160" w:line="336" w:lineRule="auto"/>
        <w:ind w:firstLine="0"/>
        <w:jc w:val="both"/>
      </w:pPr>
      <w:r>
        <w:rPr>
          <w:rFonts w:ascii="Calibri" w:hAnsi="Calibri" w:cs="Calibri"/>
          <w:b w:val="0"/>
          <w:i w:val="0"/>
          <w:color w:val="1A1A1A"/>
          <w:sz w:val="21"/>
        </w:rPr>
        <w:t>Auction lifecycle: SCHEDULED → LIVE → CLOSED → AWARDED → TRADE_CREATED. Side states: NO_SALE (reserve not met), CANCELLED (seller cancels with penalty), DISPUTED (winner fails to fund).</w:t>
      </w:r>
    </w:p>
    <w:p>
      <w:pPr>
        <w:pStyle w:val="Heading3"/>
        <w:keepNext/>
        <w:spacing w:before="240" w:after="120"/>
        <w:jc w:val="left"/>
      </w:pPr>
      <w:r>
        <w:rPr>
          <w:rFonts w:ascii="Calibri" w:hAnsi="Calibri" w:cs="Calibri"/>
          <w:b/>
          <w:i w:val="0"/>
          <w:caps/>
          <w:color w:val="8B6F12"/>
          <w:sz w:val="24"/>
        </w:rPr>
        <w:t>Escrow State Machine</w:t>
      </w:r>
    </w:p>
    <w:p>
      <w:pPr>
        <w:spacing w:after="160" w:line="336" w:lineRule="auto"/>
        <w:ind w:firstLine="0"/>
        <w:jc w:val="both"/>
      </w:pPr>
      <w:r>
        <w:rPr>
          <w:rFonts w:ascii="Calibri" w:hAnsi="Calibri" w:cs="Calibri"/>
          <w:b w:val="0"/>
          <w:i w:val="0"/>
          <w:color w:val="1A1A1A"/>
          <w:sz w:val="21"/>
        </w:rPr>
        <w:t>Escrow lifecycle: PENDING → FUNDED → RELEASED_TO_SELLER (or REFUNDED_TO_BUYER). Side states: FAILED (bank rejects funding), EXPIRED (24h no funding), FROZEN (compliance hold). From FROZEN, can transition to RELEASED_TO_SELLER (cleared) or REFUNDED_TO_BUYER (escalation to refund).</w:t>
      </w:r>
    </w:p>
    <w:p>
      <w:pPr>
        <w:pStyle w:val="Heading3"/>
        <w:keepNext/>
        <w:spacing w:before="240" w:after="120"/>
        <w:jc w:val="left"/>
      </w:pPr>
      <w:r>
        <w:rPr>
          <w:rFonts w:ascii="Calibri" w:hAnsi="Calibri" w:cs="Calibri"/>
          <w:b/>
          <w:i w:val="0"/>
          <w:caps/>
          <w:color w:val="8B6F12"/>
          <w:sz w:val="24"/>
        </w:rPr>
        <w:t>Compliance Alert State Machine</w:t>
      </w:r>
    </w:p>
    <w:p>
      <w:pPr>
        <w:spacing w:after="160" w:line="336" w:lineRule="auto"/>
        <w:ind w:firstLine="0"/>
        <w:jc w:val="both"/>
      </w:pPr>
      <w:r>
        <w:rPr>
          <w:rFonts w:ascii="Calibri" w:hAnsi="Calibri" w:cs="Calibri"/>
          <w:b w:val="0"/>
          <w:i w:val="0"/>
          <w:color w:val="1A1A1A"/>
          <w:sz w:val="21"/>
        </w:rPr>
        <w:t>Alert lifecycle: OPEN → INVESTIGATING → ESCALATED → FILED_SAR → MONITORED → CLEARED. Side transitions: INVESTIGATING → CLEARED (false positive); ESCALATED → CLEARED (council dismisses); MONITORED → ESCALATED (new pattern detected).</w:t>
      </w:r>
    </w:p>
    <w:sectPr w:rsidR="00FC693F" w:rsidRPr="0006063C" w:rsidSect="00034616">
      <w:footerReference w:type="default" r:id="rId10"/>
      <w:headerReference w:type="default" r:id="rId11"/>
      <w:pgSz w:w="11906" w:h="16838"/>
      <w:pgMar w:top="1361" w:right="1361" w:bottom="1247" w:left="1361" w:header="680"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b w:val="0"/>
        <w:i/>
        <w:color w:val="6B6B6B"/>
        <w:sz w:val="16"/>
      </w:rPr>
      <w:t>Part of the AurumX Documentation Suite v1.0  •  Confidential</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592" w:val="center"/>
        <w:tab w:pos="9184" w:val="right"/>
      </w:tabs>
      <w:jc w:val="center"/>
    </w:pPr>
    <w:r>
      <w:rPr>
        <w:rFonts w:ascii="Calibri" w:hAnsi="Calibri" w:cs="Calibri"/>
        <w:b w:val="0"/>
        <w:i/>
        <w:color w:val="6B6B6B"/>
        <w:sz w:val="16"/>
      </w:rPr>
      <w:t>AurumX Documentation Suite v1.0</w:t>
      <w:tab/>
    </w:r>
    <w:r>
      <w:rPr>
        <w:rFonts w:ascii="Calibri" w:hAnsi="Calibri" w:cs="Calibri"/>
        <w:b/>
        <w:i w:val="0"/>
        <w:color w:val="2D2D2D"/>
        <w:sz w:val="18"/>
      </w:rPr>
      <w:fldChar w:fldCharType="begin" w:dirty="true"/>
      <w:instrText xml:space="preserve">PAGE \* MERGEFORMAT</w:instrText>
      <w:fldChar w:fldCharType="separate"/>
      <w:t>Loading…</w:t>
      <w:fldChar w:fldCharType="end"/>
    </w:r>
    <w:r>
      <w:rPr>
        <w:rFonts w:ascii="Calibri" w:hAnsi="Calibri" w:cs="Calibri"/>
        <w:b w:val="0"/>
        <w:i/>
        <w:color w:val="6B6B6B"/>
        <w:sz w:val="16"/>
      </w:rPr>
      <w:tab/>
      <w:t>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s="Calibri"/>
        <w:b/>
        <w:i w:val="0"/>
        <w:caps/>
        <w:color w:val="C9A227"/>
        <w:sz w:val="16"/>
      </w:rPr>
      <w:t xml:space="preserve">AURUMX  •  </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6" w:lineRule="auto" w:after="120"/>
    </w:pPr>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1A1A"/>
      <w:sz w:val="5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1A1A"/>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8B6F12"/>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