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ind w:left="1247" w:right="1247"/>
        <w:jc w:val="left"/>
        <w:shd w:val="clear" w:color="auto" w:fill="FAF6EC"/>
      </w:pPr>
    </w:p>
    <w:p>
      <w:pPr>
        <w:spacing w:before="1200" w:after="40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C9A227"/>
          <w:sz w:val="22"/>
        </w:rPr>
        <w:t>AURUMX</w:t>
      </w:r>
      <w:r>
        <w:rPr>
          <w:rFonts w:ascii="Calibri" w:hAnsi="Calibri" w:cs="Calibri"/>
          <w:b w:val="0"/>
          <w:i w:val="0"/>
          <w:caps/>
          <w:color w:val="6B6B6B"/>
          <w:sz w:val="22"/>
        </w:rPr>
        <w:t xml:space="preserve">  •  DOCUMENTATION SUITE v1.0</w:t>
      </w:r>
    </w:p>
    <w:p>
      <w:pPr>
        <w:spacing w:before="40" w:after="1200"/>
        <w:ind w:left="1247" w:right="1247"/>
        <w:jc w:val="left"/>
        <w:shd w:val="clear" w:color="auto" w:fill="FAF6EC"/>
        <w:pBdr>
          <w:bottom w:val="single" w:sz="18" w:space="4" w:color="C9A227"/>
        </w:pBdr>
      </w:pPr>
    </w:p>
    <w:p>
      <w:pPr>
        <w:spacing w:before="0" w:after="360" w:line="288" w:lineRule="auto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8B6F12"/>
          <w:sz w:val="28"/>
        </w:rPr>
        <w:t>DOCUMENT 06</w:t>
      </w:r>
    </w:p>
    <w:p>
      <w:pPr>
        <w:spacing w:after="160" w:line="252" w:lineRule="auto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olor w:val="1A1A1A"/>
          <w:sz w:val="76"/>
        </w:rPr>
        <w:t>Development &amp; Operations Documentation</w:t>
      </w:r>
    </w:p>
    <w:p>
      <w:pPr>
        <w:spacing w:before="0" w:after="400"/>
        <w:ind w:left="1247" w:right="6803"/>
        <w:shd w:val="clear" w:color="auto" w:fill="FAF6EC"/>
        <w:pBdr>
          <w:bottom w:val="single" w:sz="24" w:space="1" w:color="C9A227"/>
        </w:pBdr>
      </w:pPr>
    </w:p>
    <w:p>
      <w:pPr>
        <w:spacing w:after="720" w:line="336" w:lineRule="auto"/>
        <w:ind w:left="1247" w:right="2268"/>
        <w:jc w:val="left"/>
        <w:shd w:val="clear" w:color="auto" w:fill="FAF6EC"/>
      </w:pPr>
      <w:r>
        <w:rPr>
          <w:rFonts w:ascii="Calibri" w:hAnsi="Calibri" w:cs="Calibri"/>
          <w:b w:val="0"/>
          <w:i/>
          <w:color w:val="4A4A4A"/>
          <w:sz w:val="26"/>
        </w:rPr>
        <w:t>Repository structure, coding standards, deployment runbook, CI/CD pipeline, observability, and disaster recovery.</w:t>
      </w:r>
    </w:p>
    <w:p>
      <w:pPr>
        <w:spacing w:after="1200"/>
        <w:ind w:left="1247" w:right="1247"/>
        <w:jc w:val="left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8"/>
        </w:rPr>
        <w:t xml:space="preserve">SCOPE  </w:t>
      </w:r>
      <w:r>
        <w:rPr>
          <w:rFonts w:ascii="Calibri" w:hAnsi="Calibri" w:cs="Calibri"/>
          <w:b w:val="0"/>
          <w:i w:val="0"/>
          <w:color w:val="2D2D2D"/>
          <w:sz w:val="20"/>
        </w:rPr>
        <w:t>Repos • Standards • CI/CD • SLOs • DR • Backups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000" w:line="240" w:lineRule="auto"/>
        <w:ind w:left="1247" w:right="1247"/>
        <w:shd w:val="clear" w:color="auto" w:fill="FAF6EC"/>
      </w:pPr>
      <w:r>
        <w:rPr>
          <w:rFonts w:ascii="Calibri" w:hAnsi="Calibri" w:cs="Calibri"/>
          <w:b w:val="0"/>
          <w:i w:val="0"/>
          <w:color w:val="FAF6EC"/>
          <w:sz w:val="20"/>
        </w:rPr>
        <w:t xml:space="preserve"> </w:t>
      </w:r>
    </w:p>
    <w:p>
      <w:pPr>
        <w:spacing w:before="0" w:after="160"/>
        <w:ind w:left="1247" w:right="1247"/>
        <w:shd w:val="clear" w:color="auto" w:fill="FAF6EC"/>
        <w:pBdr>
          <w:top w:val="single" w:sz="8" w:space="4" w:color="C9A227"/>
        </w:pBdr>
      </w:pPr>
    </w:p>
    <w:p>
      <w:pPr>
        <w:spacing w:after="4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6"/>
        </w:rPr>
        <w:t xml:space="preserve">SPONSOR  </w:t>
      </w:r>
      <w:r>
        <w:rPr>
          <w:rFonts w:ascii="Calibri" w:hAnsi="Calibri" w:cs="Calibri"/>
          <w:b w:val="0"/>
          <w:i w:val="0"/>
          <w:color w:val="1A1A1A"/>
          <w:sz w:val="20"/>
        </w:rPr>
        <w:t>Ghana Chamber of Gold Buyers</w:t>
      </w:r>
    </w:p>
    <w:p>
      <w:pPr>
        <w:spacing w:after="4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6B6B6B"/>
          <w:sz w:val="16"/>
        </w:rPr>
        <w:t xml:space="preserve">TECHNOLOGY PARTNER  </w:t>
      </w:r>
      <w:r>
        <w:rPr>
          <w:rFonts w:ascii="Calibri" w:hAnsi="Calibri" w:cs="Calibri"/>
          <w:b w:val="0"/>
          <w:i w:val="0"/>
          <w:color w:val="1A1A1A"/>
          <w:sz w:val="20"/>
        </w:rPr>
        <w:t>Vanta Technologies Ltd.</w:t>
      </w:r>
    </w:p>
    <w:p>
      <w:pPr>
        <w:spacing w:after="1200"/>
        <w:ind w:left="1247" w:right="1247"/>
        <w:shd w:val="clear" w:color="auto" w:fill="FAF6EC"/>
      </w:pPr>
      <w:r>
        <w:rPr>
          <w:rFonts w:ascii="Calibri" w:hAnsi="Calibri" w:cs="Calibri"/>
          <w:b/>
          <w:i w:val="0"/>
          <w:caps/>
          <w:color w:val="8B6F12"/>
          <w:sz w:val="16"/>
        </w:rPr>
        <w:t>CONFIDENTIAL  •  CHAMBER &amp; VENDOR INTERNAL  •  AUTHORIZATION DATE 15 AUGUST 2026</w:t>
      </w:r>
    </w:p>
    <w:p>
      <w:pPr>
        <w:sectPr>
          <w:footerReference w:type="firs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120"/>
        <w:jc w:val="left"/>
      </w:pPr>
      <w:r>
        <w:rPr>
          <w:rFonts w:ascii="Calibri" w:hAnsi="Calibri" w:cs="Calibri"/>
          <w:b/>
          <w:i w:val="0"/>
          <w:caps/>
          <w:color w:val="1A1A1A"/>
          <w:sz w:val="44"/>
        </w:rPr>
        <w:t>TABLE OF CONTENTS</w:t>
      </w:r>
    </w:p>
    <w:p>
      <w:pPr>
        <w:spacing w:before="0" w:after="480"/>
        <w:pBdr>
          <w:bottom w:val="single" w:sz="12" w:space="1" w:color="C9A227"/>
        </w:pBdr>
        <w:ind w:right="7370"/>
      </w:pPr>
    </w:p>
    <w:p>
      <w:pPr>
        <w:spacing w:after="240"/>
      </w:pPr>
      <w:r>
        <w:fldChar w:fldCharType="begin" w:dirty="true"/>
        <w:instrText xml:space="preserve">TOC \o "1-3" \h \z \u</w:instrText>
        <w:fldChar w:fldCharType="separate"/>
        <w:t>Loading…</w:t>
        <w:fldChar w:fldCharType="end"/>
      </w:r>
    </w:p>
    <w:p>
      <w:pPr>
        <w:spacing w:before="240"/>
        <w:jc w:val="left"/>
      </w:pPr>
      <w:r>
        <w:rPr>
          <w:rFonts w:ascii="Calibri" w:hAnsi="Calibri" w:cs="Calibri"/>
          <w:b w:val="0"/>
          <w:i/>
          <w:color w:val="6B6B6B"/>
          <w:sz w:val="18"/>
        </w:rPr>
        <w:t>Right-click the table of contents and select “Update Field” to refresh page numbers after opening in Microsoft Word.</w:t>
      </w:r>
    </w:p>
    <w:p>
      <w:r>
        <w:br w:type="page"/>
      </w:r>
    </w:p>
    <w:p>
      <w:pPr>
        <w:pStyle w:val="Heading1"/>
        <w:keepNext/>
        <w:spacing w:before="240" w:after="120"/>
        <w:jc w:val="left"/>
        <w:pBdr>
          <w:bottom w:val="single" w:sz="16" w:space="6" w:color="C9A227"/>
        </w:pBdr>
      </w:pPr>
      <w:r>
        <w:rPr>
          <w:rFonts w:ascii="Calibri" w:hAnsi="Calibri" w:cs="Calibri"/>
          <w:b/>
          <w:i w:val="0"/>
          <w:color w:val="1A1A1A"/>
          <w:sz w:val="56"/>
        </w:rPr>
        <w:t>Document 6 — Development &amp; Operations Documentation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This document is the engineering how-to: README template, environment variables, coding standards, deployment runbook, CI/CD pipeline documentation, monitoring and alerting, and disaster recovery. It is written for engineers joining the project and for SREs operating the platform in production.</w:t>
      </w: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6.1 Repository Structure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The platform is a pnpm monorepo managed by Turborepo. Apps (portal, admin, marketing) live under /apps; NestJS services live under /services; shared packages (types, config, UI, domain primitives, test utils) live under /packages; infrastructure (Terraform, Helm, Argo CD manifests) lives under /infra; documentation (OpenAPI specs, ADRs, runbooks) lives under /docs. Each service is independently deployable and owns its own data.</w:t>
      </w: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6.2 Environment Variables (Selected)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Variable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Required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Description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Source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NODE_ENV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development | staging | production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Deployment env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DATABASE_URL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PostgreSQL connection string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aurumx/{env}/db/master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REDIS_URL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Redis cluster URL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aurumx/{env}/redis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KAFKA_BROKERS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Comma-separated Kafka broker list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aurumx/{env}/kafka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S3_DOCUMENTS_BUCKET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Bucket for KYC docs, contracts, assay certs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aurumx-{env}-documents-{region}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AWS_REGION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AWS region (af-west-1 prod / eu-west-1 DR)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Config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JWKS_URI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Auth0 JWKS endpoint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{JWT_ISSUER}.well-known/jwks.json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DATADOG_API_KEY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ingestion key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aurumx/{env}/datadog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SENTRY_DSN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Sentry project DSN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aurumx/{env}/sentry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STANBIC_API_KEY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Stanbank escrow API key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aurumx/{env}/bank/stanbic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PMMC_API_KEY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PMMC export permit API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aurumx/{env}/pmmc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BOG_FX_API_KEY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Bank of Ghana FX approval API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aurumx/{env}/bog-fx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TWILIO_AUTH_TOKEN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Twilio WhatsApp + SMS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Manager: aurumx/{env}/twilio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AUDIT_LOG_HASH_CHAIN_SALT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Yes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Per-env salt for hash anchoring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Secrets Manager — read denied to SRE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6.3 Coding Standards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Naming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Element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Convention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Files (TypeScript)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kebab-case.ts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bank-adapter.ts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Folders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kebab-case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services/escrow/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Classes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PascalCase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TradeService, EscrowAggregate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Interfaces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PascalCase, no I prefix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EscrowProvider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Functions / methods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camelCase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fundEscrow(), validateKyc()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Variables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camelCase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tradeId, sellerOrgId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Constants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UPPER_SNAKE_CASE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MAX_NEGOTIATION_ROUNDS = 5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Database tables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snake_case, plural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organizations, gold_lots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Database columns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snake_case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seller_org_id, created_at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Kafka topics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\&lt;domain\&gt;.\&lt;event-type\&gt;.v\&lt;n\&gt;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trade.created.v1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paths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kebab-case, plural nouns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/v1/gold-lots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JSON fields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camelCase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sellerOrgId, tradeId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Git Branching — Trunk-Based Development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Trunk-based development with short-lived feature branches: branch from main with naming \&lt;type\&gt;/\&lt;scope\&gt;-\&lt;short-desc\&gt;; open PR against main; require 2 reviewers (Security &amp; Compliance Engineer required for security-sensitive paths: services/escrow/, services/compliance/, services/audit-log/, infra/terraform/); CI must pass (lint, typecheck, unit, integration, e2e smoke, SAST, dependency scan, Terraform plan); squash-and-merge to main with Conventional Commit message; delete feature branch after merge.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Code Review Checklist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Functionality: does the change do what the PR says? Are edge cases covered?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Tests: are unit + integration tests added? Do they exercise the new behavior?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Architecture: respects service boundaries (Doc 4 §2.4)? No cross-service DB access?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API contracts: if endpoints changed, OpenAPI spec updated? Breaking changes flagged?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Data model: if schema changed, is there a backward-compatible migration?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Idempotency: if endpoint has side effects, does it use Idempotency-Key?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Security: no secrets? No SQL injection? RBAC enforced? Input validated?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Observability: structured logs? Metrics emitted? Traces propagated?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Performance: no N+1 queries? No unbounded result sets?</w:t>
      </w:r>
    </w:p>
    <w:p>
      <w:pPr>
        <w:pStyle w:val="ListBullet"/>
        <w:spacing w:after="80" w:line="324" w:lineRule="auto"/>
        <w:ind w:left="340" w:hanging="170"/>
      </w:pPr>
      <w:r>
        <w:rPr>
          <w:rFonts w:ascii="Calibri" w:hAnsi="Calibri" w:cs="Calibri"/>
          <w:b w:val="0"/>
          <w:i w:val="0"/>
          <w:color w:val="1A1A1A"/>
          <w:sz w:val="21"/>
        </w:rPr>
        <w:t>Error handling: domain errors used? RFC 7807 format? No leaked stack traces?</w:t>
      </w: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6.4 Deployment Runbook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Environment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Purpose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AWS Account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Region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dev (local)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Engineer local dev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N/A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staging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Pre-prod, UAT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aurumx-staging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af-west-1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prod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Production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aurumx-prod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af-west-1 (primary), eu-west-1 (DR)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Deploy to Production (Manual Approval Required)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Production deploys require Change Advisory Board approval. Process: (1) Create release tag (e.g., v1.4.0); (2) GitHub Actions workflow builds container images, pushes to ECR, updates Helm values in infra/argocd/prod/, opens PR to argocd-config repo; (3) After PR approval + merge, Argo CD syncs to prod with rolling update (3-replica min, maxSurge=1, maxUnavailable=0); (4) Health checks (readiness probe) gate rollout; auto-rollback if rollout exceeds 5 min or readiness fails; (5) Post-deploy verification via Datadog APM error-rate check, Datadog Synthetics, and Playwright smoke tests against prod URL.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Rollback Procedure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Application rollback: Argo CD rollback to previous revision, or revert the PR that updated Helm values and let Argo CD auto-sync to reverted state. Database rollback is the last resort — forward-only migration model means we deploy a NEW migration that reverses the previous one; never restore from backup in prod unless data corruption is confirmed. Feature flag kill switch is the fastest rollback for behavior changes (LaunchDarkly toggle, effect global within 60 seconds).</w:t>
      </w: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6.5 CI/CD Pipeline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GitHub Actions + Argo CD pipeline. Stages: lint + format check → typecheck → unit tests + coverage gate → integration tests (Testcontainers) → SAST (Snyk) → dependency scan → container build + scan (Trivy) → e2e smoke (Playwright) → Terraform plan (if infra/ changed) → PR review (2+ reviewers) → merge to main → build + push to ECR → Argo CD auto-deploy to staging → smoke tests staging → manual release tag → CAB approval → Argo CD sync to prod → smoke tests prod → notify stakeholders.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Quality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Gate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Threshold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Enforcement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Unit test coverage (critical services)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90% lines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PR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Unit test coverage (other services)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80% lines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PR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E2E test coverage for trade flows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100% of UF-01 through UF-09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PR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Snyk SAST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 high or critical findings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PR (override only with Security Eng sign-off)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Trivy container scan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 critical vulnerabilities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deploy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Dependency scan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 high/critical CVEs unfixed \&gt; 30 days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fails PR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Bundle size (PWA)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200 KB gzipped (initial route)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warns; blocks on regression \&gt; 10%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Lighthouse PWA score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90 (perf, a11y, best practices, SEO)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CI warns on regression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6.6 Monitoring, Logging &amp; Alerting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Observability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Pillar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Tool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Retention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Metrics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Metrics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 months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Time-series metrics for infra + app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Logs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Logs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90 days hot, 2 years cold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Structured application + audit logs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Traces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APM (OpenTelemetry)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 days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Distributed tracing across services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Errors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Sentry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90 days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Frontend + backend error aggregation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Uptime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Synthetics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 days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Proactive endpoint checks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Real user monitoring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Datadog RUM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 days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Frontend performance + errors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Security alerts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AWS GuardDuty + Datadog Cloud SIEM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13 months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Threat detection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Key SLOs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SLO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Target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Error Budget (Monthly)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availability (per region)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99.95%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22 min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p95 latency (read endpoints)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500 ms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N/A (latency SLO)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p95 latency (write endpoints, non-escrow)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1.5 s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error rate (5xx)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\&lt; 0.1%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Audit log integrity (hash chain)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100% (no breaks)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 (zero tolerance)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Kafka consumer lag (compliance)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\&lt; 30 s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 min/month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 funding success rate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99.5%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22 min/month degraded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Compliance alert ack time (HIGH/CRITICAL)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 hour, 95th percentile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 events/month over SLA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Alert Triggers (Selected)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Alert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Trigger Condition</w:t>
            </w:r>
          </w:p>
        </w:tc>
        <w:tc>
          <w:tcPr>
            <w:tcW w:type="dxa" w:w="3444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Severity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HighErrorRate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5xx error rate \&gt; 1% for 5 min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SEV-2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PodCrashLooping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Any pod in CrashLoopBackOff for 5 min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DatabaseCPUHigh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RDS CPU \&gt; 80% for 5 min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SEV-3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KafkaConsumerLagHigh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Lag \&gt; 1000 messages for 5 min (compliance topic)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EscrowFundingFailure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Escrow funding failure rate \&gt; 2% for 15 min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AuditLogHashChainBreak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ANY hash chain integrity check failure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Auth0Outage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Auth0 health check fails for 2 min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SEV-1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ComplianceAlertAckBreach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HIGH/CRITICAL compliance alert unack \&gt; 1 hour</w:t>
            </w:r>
          </w:p>
        </w:tc>
        <w:tc>
          <w:tcPr>
            <w:tcW w:type="dxa" w:w="3444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GuardDutyHighSeverityFinding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Any GuardDuty HIGH finding</w:t>
            </w:r>
          </w:p>
        </w:tc>
        <w:tc>
          <w:tcPr>
            <w:tcW w:type="dxa" w:w="3444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SEV-1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before="360" w:after="160"/>
        <w:jc w:val="left"/>
        <w:pBdr>
          <w:bottom w:val="single" w:sz="6" w:space="4" w:color="C9A227"/>
        </w:pBdr>
      </w:pPr>
      <w:r>
        <w:rPr>
          <w:rFonts w:ascii="Calibri" w:hAnsi="Calibri" w:cs="Calibri"/>
          <w:b/>
          <w:i w:val="0"/>
          <w:color w:val="1A1A1A"/>
          <w:sz w:val="32"/>
        </w:rPr>
        <w:t>6.7 Disaster Recovery &amp; Backup</w:t>
      </w: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Backup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Data Type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Backup Method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Frequency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Retention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PostgreSQL (RDS)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Automated snapshot + PITR (Point-in-Time Recovery)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Daily snapshots; PITR every 5 min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Snapshots 30 days; PITR 14 days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PostgreSQL (cross-region)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Cross-region automated snapshot copy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Daily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 days in eu-west-1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S3 documents (KYC, contracts, assay certs)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S3 Cross-Region Replication (CRR)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Continuous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7 years (regulatory)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S3 audit log (WORM)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S3 Object Lock (Compliance mode)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On write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7 years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Kafka audit log topic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Log compaction + S3 archival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Continuous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7 years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EKS cluster state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Argo CD GitOps (state in Git) + EKS etcd snapshot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Continuous (Git) + daily (etcd)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Git: indefinite; etcd: 30 days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RTO and RPO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  <w:cantSplit/>
        </w:trPr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Tier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Workload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RTO</w:t>
            </w:r>
          </w:p>
        </w:tc>
        <w:tc>
          <w:tcPr>
            <w:tcW w:type="dxa" w:w="2296"/>
            <w:shd w:val="clear" w:color="auto" w:fill="1A1A1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9"/>
              </w:rPr>
              <w:t>RPO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Tier 0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Trade, Escrow, Audit Log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4 hours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5 minutes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Tier 1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Member, RFQ, Auction, Negotiation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8 hours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15 minutes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Tier 2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Analytics, Notification, Export Doc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24 hours</w:t>
            </w:r>
          </w:p>
        </w:tc>
        <w:tc>
          <w:tcPr>
            <w:tcW w:type="dxa" w:w="229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 hour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Tier 3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Marketing site, internal tools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48 hours</w:t>
            </w:r>
          </w:p>
        </w:tc>
        <w:tc>
          <w:tcPr>
            <w:tcW w:type="dxa" w:w="2296"/>
            <w:shd w:val="clear" w:color="auto" w:fill="F5F1E6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>
            <w:pPr>
              <w:spacing w:after="0" w:line="31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24 hours</w:t>
            </w:r>
          </w:p>
        </w:tc>
      </w:tr>
    </w:tbl>
    <w:p>
      <w:pPr>
        <w:spacing w:after="160" w:before="0"/>
      </w:pPr>
    </w:p>
    <w:p>
      <w:pPr>
        <w:pStyle w:val="Heading3"/>
        <w:keepNext/>
        <w:spacing w:before="240" w:after="120"/>
        <w:jc w:val="left"/>
      </w:pPr>
      <w:r>
        <w:rPr>
          <w:rFonts w:ascii="Calibri" w:hAnsi="Calibri" w:cs="Calibri"/>
          <w:b/>
          <w:i w:val="0"/>
          <w:caps/>
          <w:color w:val="8B6F12"/>
          <w:sz w:val="24"/>
        </w:rPr>
        <w:t>Cross-Region DR Failover (Full Region Loss)</w:t>
      </w:r>
    </w:p>
    <w:p>
      <w:pPr>
        <w:spacing w:after="160" w:line="336" w:lineRule="auto"/>
        <w:ind w:firstLine="0"/>
        <w:jc w:val="both"/>
      </w:pPr>
      <w:r>
        <w:rPr>
          <w:rFonts w:ascii="Calibri" w:hAnsi="Calibri" w:cs="Calibri"/>
          <w:b w:val="0"/>
          <w:i w:val="0"/>
          <w:color w:val="1A1A1A"/>
          <w:sz w:val="21"/>
        </w:rPr>
        <w:t>Triggers: AWS region outage; regional disaster; major security incident requiring full region rebuild. Procedure: (1) Declare DR activation (Vendor PM + Chamber Exec); (2) Promote DR read replica in eu-west-1; (3) Restore S3 documents (CRR is continuous; verify count); (4) Start Kafka MirrorMaker2 to bridge events from primary region; (5) Update DNS (Route 53) to point api.aurumx.gh to DR region's ALB; (6) Verify DR endpoints; (7) Notify all stakeholders. Estimated RTO: 2–4 hours (most of which is DNS propagation + verification).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1361" w:right="1361" w:bottom="1247" w:left="1361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/>
        <w:color w:val="6B6B6B"/>
        <w:sz w:val="16"/>
      </w:rPr>
      <w:t>Part of the AurumX Documentation Suite v1.0  •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92" w:val="center"/>
        <w:tab w:pos="9184" w:val="right"/>
      </w:tabs>
      <w:jc w:val="center"/>
    </w:pPr>
    <w:r>
      <w:rPr>
        <w:rFonts w:ascii="Calibri" w:hAnsi="Calibri" w:cs="Calibri"/>
        <w:b w:val="0"/>
        <w:i/>
        <w:color w:val="6B6B6B"/>
        <w:sz w:val="16"/>
      </w:rPr>
      <w:t>AurumX Documentation Suite v1.0</w:t>
      <w:tab/>
    </w:r>
    <w:r>
      <w:rPr>
        <w:rFonts w:ascii="Calibri" w:hAnsi="Calibri" w:cs="Calibri"/>
        <w:b/>
        <w:i w:val="0"/>
        <w:color w:val="2D2D2D"/>
        <w:sz w:val="18"/>
      </w:rPr>
      <w:fldChar w:fldCharType="begin" w:dirty="true"/>
      <w:instrText xml:space="preserve">PAGE \* MERGEFORMAT</w:instrText>
      <w:fldChar w:fldCharType="separate"/>
      <w:t>Loading…</w:t>
      <w:fldChar w:fldCharType="end"/>
    </w:r>
    <w:r>
      <w:rPr>
        <w:rFonts w:ascii="Calibri" w:hAnsi="Calibri" w:cs="Calibri"/>
        <w:b w:val="0"/>
        <w:i/>
        <w:color w:val="6B6B6B"/>
        <w:sz w:val="16"/>
      </w:rPr>
      <w:tab/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/>
        <w:i w:val="0"/>
        <w:caps/>
        <w:color w:val="C9A227"/>
        <w:sz w:val="16"/>
      </w:rPr>
      <w:t xml:space="preserve">AURUMX  •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B6F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