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88" w:lineRule="auto"/>
        <w:ind w:left="1247" w:right="1247"/>
        <w:jc w:val="left"/>
        <w:shd w:val="clear" w:color="auto" w:fill="FAF6EC"/>
      </w:pPr>
    </w:p>
    <w:p>
      <w:pPr>
        <w:spacing w:before="1200" w:after="40"/>
        <w:ind w:left="1247" w:right="1247"/>
        <w:jc w:val="left"/>
        <w:shd w:val="clear" w:color="auto" w:fill="FAF6EC"/>
      </w:pPr>
      <w:r>
        <w:rPr>
          <w:rFonts w:ascii="Calibri" w:hAnsi="Calibri" w:cs="Calibri"/>
          <w:b/>
          <w:i w:val="0"/>
          <w:caps/>
          <w:color w:val="C9A227"/>
          <w:sz w:val="22"/>
        </w:rPr>
        <w:t>AURUMX</w:t>
      </w:r>
      <w:r>
        <w:rPr>
          <w:rFonts w:ascii="Calibri" w:hAnsi="Calibri" w:cs="Calibri"/>
          <w:b w:val="0"/>
          <w:i w:val="0"/>
          <w:caps/>
          <w:color w:val="6B6B6B"/>
          <w:sz w:val="22"/>
        </w:rPr>
        <w:t xml:space="preserve">  •  DOCUMENTATION SUITE v1.0</w:t>
      </w:r>
    </w:p>
    <w:p>
      <w:pPr>
        <w:spacing w:before="40" w:after="1200"/>
        <w:ind w:left="1247" w:right="1247"/>
        <w:jc w:val="left"/>
        <w:shd w:val="clear" w:color="auto" w:fill="FAF6EC"/>
        <w:pBdr>
          <w:bottom w:val="single" w:sz="18" w:space="4" w:color="C9A227"/>
        </w:pBdr>
      </w:pPr>
    </w:p>
    <w:p>
      <w:pPr>
        <w:spacing w:before="0" w:after="360" w:line="288" w:lineRule="auto"/>
        <w:ind w:left="1247" w:right="1247"/>
        <w:jc w:val="left"/>
        <w:shd w:val="clear" w:color="auto" w:fill="FAF6EC"/>
      </w:pPr>
      <w:r>
        <w:rPr>
          <w:rFonts w:ascii="Calibri" w:hAnsi="Calibri" w:cs="Calibri"/>
          <w:b/>
          <w:i w:val="0"/>
          <w:caps/>
          <w:color w:val="8B6F12"/>
          <w:sz w:val="28"/>
        </w:rPr>
        <w:t>DOCUMENT 07</w:t>
      </w:r>
    </w:p>
    <w:p>
      <w:pPr>
        <w:spacing w:after="160" w:line="252" w:lineRule="auto"/>
        <w:ind w:left="1247" w:right="1247"/>
        <w:jc w:val="left"/>
        <w:shd w:val="clear" w:color="auto" w:fill="FAF6EC"/>
      </w:pPr>
      <w:r>
        <w:rPr>
          <w:rFonts w:ascii="Calibri" w:hAnsi="Calibri" w:cs="Calibri"/>
          <w:b/>
          <w:i w:val="0"/>
          <w:color w:val="1A1A1A"/>
          <w:sz w:val="76"/>
        </w:rPr>
        <w:t>Security &amp; Compliance</w:t>
      </w:r>
    </w:p>
    <w:p>
      <w:pPr>
        <w:spacing w:before="0" w:after="400"/>
        <w:ind w:left="1247" w:right="6803"/>
        <w:shd w:val="clear" w:color="auto" w:fill="FAF6EC"/>
        <w:pBdr>
          <w:bottom w:val="single" w:sz="24" w:space="1" w:color="C9A227"/>
        </w:pBdr>
      </w:pPr>
    </w:p>
    <w:p>
      <w:pPr>
        <w:spacing w:after="720" w:line="336" w:lineRule="auto"/>
        <w:ind w:left="1247" w:right="2268"/>
        <w:jc w:val="left"/>
        <w:shd w:val="clear" w:color="auto" w:fill="FAF6EC"/>
      </w:pPr>
      <w:r>
        <w:rPr>
          <w:rFonts w:ascii="Calibri" w:hAnsi="Calibri" w:cs="Calibri"/>
          <w:b w:val="0"/>
          <w:i/>
          <w:color w:val="4A4A4A"/>
          <w:sz w:val="26"/>
        </w:rPr>
        <w:t>Security principles, authentication, encryption, audit trails, secrets management, regulatory compliance, and incident response.</w:t>
      </w:r>
    </w:p>
    <w:p>
      <w:pPr>
        <w:spacing w:after="1200"/>
        <w:ind w:left="1247" w:right="1247"/>
        <w:jc w:val="left"/>
        <w:shd w:val="clear" w:color="auto" w:fill="FAF6EC"/>
      </w:pPr>
      <w:r>
        <w:rPr>
          <w:rFonts w:ascii="Calibri" w:hAnsi="Calibri" w:cs="Calibri"/>
          <w:b/>
          <w:i w:val="0"/>
          <w:caps/>
          <w:color w:val="6B6B6B"/>
          <w:sz w:val="18"/>
        </w:rPr>
        <w:t xml:space="preserve">SCOPE  </w:t>
      </w:r>
      <w:r>
        <w:rPr>
          <w:rFonts w:ascii="Calibri" w:hAnsi="Calibri" w:cs="Calibri"/>
          <w:b w:val="0"/>
          <w:i w:val="0"/>
          <w:color w:val="2D2D2D"/>
          <w:sz w:val="20"/>
        </w:rPr>
        <w:t>AuthN • Encryption • Audit • AML • SOC 2 • ISO 27001 • IR</w:t>
      </w:r>
    </w:p>
    <w:p>
      <w:pPr>
        <w:spacing w:before="0" w:after="1000" w:line="240" w:lineRule="auto"/>
        <w:ind w:left="1247" w:right="1247"/>
        <w:shd w:val="clear" w:color="auto" w:fill="FAF6EC"/>
      </w:pPr>
      <w:r>
        <w:rPr>
          <w:rFonts w:ascii="Calibri" w:hAnsi="Calibri" w:cs="Calibri"/>
          <w:b w:val="0"/>
          <w:i w:val="0"/>
          <w:color w:val="FAF6EC"/>
          <w:sz w:val="20"/>
        </w:rPr>
        <w:t xml:space="preserve"> </w:t>
      </w:r>
    </w:p>
    <w:p>
      <w:pPr>
        <w:spacing w:before="0" w:after="1000" w:line="240" w:lineRule="auto"/>
        <w:ind w:left="1247" w:right="1247"/>
        <w:shd w:val="clear" w:color="auto" w:fill="FAF6EC"/>
      </w:pPr>
      <w:r>
        <w:rPr>
          <w:rFonts w:ascii="Calibri" w:hAnsi="Calibri" w:cs="Calibri"/>
          <w:b w:val="0"/>
          <w:i w:val="0"/>
          <w:color w:val="FAF6EC"/>
          <w:sz w:val="20"/>
        </w:rPr>
        <w:t xml:space="preserve"> </w:t>
      </w:r>
    </w:p>
    <w:p>
      <w:pPr>
        <w:spacing w:before="0" w:after="1000" w:line="240" w:lineRule="auto"/>
        <w:ind w:left="1247" w:right="1247"/>
        <w:shd w:val="clear" w:color="auto" w:fill="FAF6EC"/>
      </w:pPr>
      <w:r>
        <w:rPr>
          <w:rFonts w:ascii="Calibri" w:hAnsi="Calibri" w:cs="Calibri"/>
          <w:b w:val="0"/>
          <w:i w:val="0"/>
          <w:color w:val="FAF6EC"/>
          <w:sz w:val="20"/>
        </w:rPr>
        <w:t xml:space="preserve"> </w:t>
      </w:r>
    </w:p>
    <w:p>
      <w:pPr>
        <w:spacing w:before="0" w:after="160"/>
        <w:ind w:left="1247" w:right="1247"/>
        <w:shd w:val="clear" w:color="auto" w:fill="FAF6EC"/>
        <w:pBdr>
          <w:top w:val="single" w:sz="8" w:space="4" w:color="C9A227"/>
        </w:pBdr>
      </w:pPr>
    </w:p>
    <w:p>
      <w:pPr>
        <w:spacing w:after="40"/>
        <w:ind w:left="1247" w:right="1247"/>
        <w:shd w:val="clear" w:color="auto" w:fill="FAF6EC"/>
      </w:pPr>
      <w:r>
        <w:rPr>
          <w:rFonts w:ascii="Calibri" w:hAnsi="Calibri" w:cs="Calibri"/>
          <w:b/>
          <w:i w:val="0"/>
          <w:caps/>
          <w:color w:val="6B6B6B"/>
          <w:sz w:val="16"/>
        </w:rPr>
        <w:t xml:space="preserve">SPONSOR  </w:t>
      </w:r>
      <w:r>
        <w:rPr>
          <w:rFonts w:ascii="Calibri" w:hAnsi="Calibri" w:cs="Calibri"/>
          <w:b w:val="0"/>
          <w:i w:val="0"/>
          <w:color w:val="1A1A1A"/>
          <w:sz w:val="20"/>
        </w:rPr>
        <w:t>Ghana Chamber of Gold Buyers</w:t>
      </w:r>
    </w:p>
    <w:p>
      <w:pPr>
        <w:spacing w:after="40"/>
        <w:ind w:left="1247" w:right="1247"/>
        <w:shd w:val="clear" w:color="auto" w:fill="FAF6EC"/>
      </w:pPr>
      <w:r>
        <w:rPr>
          <w:rFonts w:ascii="Calibri" w:hAnsi="Calibri" w:cs="Calibri"/>
          <w:b/>
          <w:i w:val="0"/>
          <w:caps/>
          <w:color w:val="6B6B6B"/>
          <w:sz w:val="16"/>
        </w:rPr>
        <w:t xml:space="preserve">TECHNOLOGY PARTNER  </w:t>
      </w:r>
      <w:r>
        <w:rPr>
          <w:rFonts w:ascii="Calibri" w:hAnsi="Calibri" w:cs="Calibri"/>
          <w:b w:val="0"/>
          <w:i w:val="0"/>
          <w:color w:val="1A1A1A"/>
          <w:sz w:val="20"/>
        </w:rPr>
        <w:t>Vanta Technologies Ltd.</w:t>
      </w:r>
    </w:p>
    <w:p>
      <w:pPr>
        <w:spacing w:after="1200"/>
        <w:ind w:left="1247" w:right="1247"/>
        <w:shd w:val="clear" w:color="auto" w:fill="FAF6EC"/>
      </w:pPr>
      <w:r>
        <w:rPr>
          <w:rFonts w:ascii="Calibri" w:hAnsi="Calibri" w:cs="Calibri"/>
          <w:b/>
          <w:i w:val="0"/>
          <w:caps/>
          <w:color w:val="8B6F12"/>
          <w:sz w:val="16"/>
        </w:rPr>
        <w:t>CONFIDENTIAL  •  CHAMBER &amp; VENDOR INTERNAL  •  AUTHORIZATION DATE 15 AUGUST 2026</w:t>
      </w:r>
    </w:p>
    <w:p>
      <w:pPr>
        <w:sectPr>
          <w:footerReference w:type="first" r:id="rId9"/>
          <w:pgSz w:w="11906" w:h="16838"/>
          <w:pgMar w:top="0" w:right="0" w:bottom="0" w:left="0" w:header="720" w:footer="720" w:gutter="0"/>
          <w:cols w:space="720"/>
          <w:docGrid w:linePitch="360"/>
        </w:sectPr>
      </w:pPr>
    </w:p>
    <w:p>
      <w:pPr>
        <w:spacing w:before="0" w:after="120"/>
        <w:jc w:val="left"/>
      </w:pPr>
      <w:r>
        <w:rPr>
          <w:rFonts w:ascii="Calibri" w:hAnsi="Calibri" w:cs="Calibri"/>
          <w:b/>
          <w:i w:val="0"/>
          <w:caps/>
          <w:color w:val="1A1A1A"/>
          <w:sz w:val="44"/>
        </w:rPr>
        <w:t>TABLE OF CONTENTS</w:t>
      </w:r>
    </w:p>
    <w:p>
      <w:pPr>
        <w:spacing w:before="0" w:after="480"/>
        <w:pBdr>
          <w:bottom w:val="single" w:sz="12" w:space="1" w:color="C9A227"/>
        </w:pBdr>
        <w:ind w:right="7370"/>
      </w:pPr>
    </w:p>
    <w:p>
      <w:pPr>
        <w:spacing w:after="240"/>
      </w:pPr>
      <w:r>
        <w:fldChar w:fldCharType="begin" w:dirty="true"/>
        <w:instrText xml:space="preserve">TOC \o "1-3" \h \z \u</w:instrText>
        <w:fldChar w:fldCharType="separate"/>
        <w:t>Loading…</w:t>
        <w:fldChar w:fldCharType="end"/>
      </w:r>
    </w:p>
    <w:p>
      <w:pPr>
        <w:spacing w:before="240"/>
        <w:jc w:val="left"/>
      </w:pPr>
      <w:r>
        <w:rPr>
          <w:rFonts w:ascii="Calibri" w:hAnsi="Calibri" w:cs="Calibri"/>
          <w:b w:val="0"/>
          <w:i/>
          <w:color w:val="6B6B6B"/>
          <w:sz w:val="18"/>
        </w:rPr>
        <w:t>Right-click the table of contents and select “Update Field” to refresh page numbers after opening in Microsoft Word.</w:t>
      </w:r>
    </w:p>
    <w:p>
      <w:r>
        <w:br w:type="page"/>
      </w:r>
    </w:p>
    <w:p>
      <w:pPr>
        <w:pStyle w:val="Heading1"/>
        <w:keepNext/>
        <w:spacing w:before="240" w:after="120"/>
        <w:jc w:val="left"/>
        <w:pBdr>
          <w:bottom w:val="single" w:sz="16" w:space="6" w:color="C9A227"/>
        </w:pBdr>
      </w:pPr>
      <w:r>
        <w:rPr>
          <w:rFonts w:ascii="Calibri" w:hAnsi="Calibri" w:cs="Calibri"/>
          <w:b/>
          <w:i w:val="0"/>
          <w:color w:val="1A1A1A"/>
          <w:sz w:val="56"/>
        </w:rPr>
        <w:t>Document 7 — Security &amp; Compliance</w:t>
      </w:r>
    </w:p>
    <w:p>
      <w:pPr>
        <w:spacing w:after="160" w:line="336" w:lineRule="auto"/>
        <w:ind w:firstLine="0"/>
        <w:jc w:val="both"/>
      </w:pPr>
      <w:r>
        <w:rPr>
          <w:rFonts w:ascii="Calibri" w:hAnsi="Calibri" w:cs="Calibri"/>
          <w:b w:val="0"/>
          <w:i w:val="0"/>
          <w:color w:val="1A1A1A"/>
          <w:sz w:val="21"/>
        </w:rPr>
        <w:t>This document covers the security architecture, secrets management, compliance notes for relevant regulations (Ghana DPA 2012, BoG AML/CFT, FATF Recommendation 22, OECD Annex II, SOC 2), incident response, and audit &amp; assurance. It is written for security reviewers, compliance officers, and external auditors.</w:t>
      </w:r>
    </w:p>
    <w:p>
      <w:pPr>
        <w:pStyle w:val="Heading2"/>
        <w:keepNext/>
        <w:spacing w:before="360" w:after="160"/>
        <w:jc w:val="left"/>
        <w:pBdr>
          <w:bottom w:val="single" w:sz="6" w:space="4" w:color="C9A227"/>
        </w:pBdr>
      </w:pPr>
      <w:r>
        <w:rPr>
          <w:rFonts w:ascii="Calibri" w:hAnsi="Calibri" w:cs="Calibri"/>
          <w:b/>
          <w:i w:val="0"/>
          <w:color w:val="1A1A1A"/>
          <w:sz w:val="32"/>
        </w:rPr>
        <w:t>7.1 Security Principles</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Principle</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How Implemented</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S1</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Zero Trust — every request authenticated, authorized, inspected</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mTLS between services; OAuth/JWT at edge; deny-default network policies in EKS</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S2</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Defense in Depth — multiple independent controls</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WAF + ALB + service-level RBAC + DB row-level security + field-level encryption for PII</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S3</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Least Privilege — minimum permissions needed</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AWS IAM roles scoped per service; Auth0 RBAC with fine-grained scopes; PostgreSQL RLS policies</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S4</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Audit Everything — every state-changing action logged</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Audit Log Service; 7-year retention; hash-anchored chain</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S5</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Encrypt Everywhere — at rest, in transit, in processing</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TLS 1.3 in transit; KMS-managed encryption at rest; field-level encryption for PII</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S6</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Secure by Default — secure configurations are default</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Security linters in CI; pre-commit hooks; CSP-enabled PWA; HSTS preload</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S7</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Assume Breach — design assumes perimeter will be breached</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Network segmentation; per-service accounts; Secrets Manager auto-rotation; canary tokens</w:t>
            </w:r>
          </w:p>
        </w:tc>
      </w:tr>
    </w:tbl>
    <w:p>
      <w:pPr>
        <w:spacing w:after="160" w:before="0"/>
      </w:pPr>
    </w:p>
    <w:p>
      <w:pPr>
        <w:pStyle w:val="Heading2"/>
        <w:keepNext/>
        <w:spacing w:before="360" w:after="160"/>
        <w:jc w:val="left"/>
        <w:pBdr>
          <w:bottom w:val="single" w:sz="6" w:space="4" w:color="C9A227"/>
        </w:pBdr>
      </w:pPr>
      <w:r>
        <w:rPr>
          <w:rFonts w:ascii="Calibri" w:hAnsi="Calibri" w:cs="Calibri"/>
          <w:b/>
          <w:i w:val="0"/>
          <w:color w:val="1A1A1A"/>
          <w:sz w:val="32"/>
        </w:rPr>
        <w:t>7.2 Authentication &amp; Authorization</w:t>
      </w:r>
    </w:p>
    <w:p>
      <w:pPr>
        <w:pStyle w:val="Heading3"/>
        <w:keepNext/>
        <w:spacing w:before="240" w:after="120"/>
        <w:jc w:val="left"/>
      </w:pPr>
      <w:r>
        <w:rPr>
          <w:rFonts w:ascii="Calibri" w:hAnsi="Calibri" w:cs="Calibri"/>
          <w:b/>
          <w:i w:val="0"/>
          <w:caps/>
          <w:color w:val="8B6F12"/>
          <w:sz w:val="24"/>
        </w:rPr>
        <w:t>Authentication Mechanism</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Layer</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Mechanism</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Provider</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Member-facing PWA</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OAuth 2.0 Authorization Code + PKCE; OpenID Connect</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Auth0 B2B</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Tier 1 machine-to-machine (SAP integration)</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OAuth 2.0 Client Credentials; mTLS for high-value buyers</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Auth0 B2B</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Chamber staff</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SAML SSO with Chamber's IdP (Microsoft Entra ID); MFA required</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Auth0 federated to Entra ID</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Service-to-service (internal)</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mTLS via SPIFFE/SPIRE; short-lived (1 hour) JWTs</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SPIRE cluster</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Partner inbound webhooks</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HMAC-SHA256 signature + shared secret + IP allowlisting</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Custom (per partner)</w:t>
            </w:r>
          </w:p>
        </w:tc>
      </w:tr>
    </w:tbl>
    <w:p>
      <w:pPr>
        <w:spacing w:after="160" w:before="0"/>
      </w:pPr>
    </w:p>
    <w:p>
      <w:pPr>
        <w:pStyle w:val="Heading3"/>
        <w:keepNext/>
        <w:spacing w:before="240" w:after="120"/>
        <w:jc w:val="left"/>
      </w:pPr>
      <w:r>
        <w:rPr>
          <w:rFonts w:ascii="Calibri" w:hAnsi="Calibri" w:cs="Calibri"/>
          <w:b/>
          <w:i w:val="0"/>
          <w:caps/>
          <w:color w:val="8B6F12"/>
          <w:sz w:val="24"/>
        </w:rPr>
        <w:t>MFA Requirements</w:t>
      </w:r>
    </w:p>
    <w:tbl>
      <w:tblPr>
        <w:tblW w:type="auto" w:w="0"/>
        <w:jc w:val="center"/>
        <w:tblLayout w:type="fixed"/>
        <w:tblLook w:firstColumn="1" w:firstRow="1" w:lastColumn="0" w:lastRow="0" w:noHBand="0" w:noVBand="1" w:val="04A0"/>
      </w:tblPr>
      <w:tblGrid>
        <w:gridCol w:w="4592"/>
        <w:gridCol w:w="4592"/>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Action</w:t>
            </w:r>
          </w:p>
        </w:tc>
        <w:tc>
          <w:tcPr>
            <w:tcW w:type="dxa" w:w="6888"/>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MFA Required</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Member login (org.admin)</w:t>
            </w:r>
          </w:p>
        </w:tc>
        <w:tc>
          <w:tcPr>
            <w:tcW w:type="dxa" w:w="688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Step-up: TOTP or passwordless</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Member login (org.trader, org.viewer)</w:t>
            </w:r>
          </w:p>
        </w:tc>
        <w:tc>
          <w:tcPr>
            <w:tcW w:type="dxa" w:w="688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Optional</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Chamber staff login</w:t>
            </w:r>
          </w:p>
        </w:tc>
        <w:tc>
          <w:tcPr>
            <w:tcW w:type="dxa" w:w="688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Required always</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Trade acceptance ≥ US$100K</w:t>
            </w:r>
          </w:p>
        </w:tc>
        <w:tc>
          <w:tcPr>
            <w:tcW w:type="dxa" w:w="688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Step-up MFA (TOTP or WebAuthn)</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Trade acceptance ≥ US$500K</w:t>
            </w:r>
          </w:p>
        </w:tc>
        <w:tc>
          <w:tcPr>
            <w:tcW w:type="dxa" w:w="688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WebAuthn (hardware key) required</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Compliance freeze / SAR filing</w:t>
            </w:r>
          </w:p>
        </w:tc>
        <w:tc>
          <w:tcPr>
            <w:tcW w:type="dxa" w:w="688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WebAuthn required</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Production deployments</w:t>
            </w:r>
          </w:p>
        </w:tc>
        <w:tc>
          <w:tcPr>
            <w:tcW w:type="dxa" w:w="688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WebAuthn required for deploying engineer</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Production DB access</w:t>
            </w:r>
          </w:p>
        </w:tc>
        <w:tc>
          <w:tcPr>
            <w:tcW w:type="dxa" w:w="688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WebAuthn + just-in-time approval (max 4-hour session)</w:t>
            </w:r>
          </w:p>
        </w:tc>
      </w:tr>
    </w:tbl>
    <w:p>
      <w:pPr>
        <w:spacing w:after="160" w:before="0"/>
      </w:pPr>
    </w:p>
    <w:p>
      <w:pPr>
        <w:pStyle w:val="Heading2"/>
        <w:keepNext/>
        <w:spacing w:before="360" w:after="160"/>
        <w:jc w:val="left"/>
        <w:pBdr>
          <w:bottom w:val="single" w:sz="6" w:space="4" w:color="C9A227"/>
        </w:pBdr>
      </w:pPr>
      <w:r>
        <w:rPr>
          <w:rFonts w:ascii="Calibri" w:hAnsi="Calibri" w:cs="Calibri"/>
          <w:b/>
          <w:i w:val="0"/>
          <w:color w:val="1A1A1A"/>
          <w:sz w:val="32"/>
        </w:rPr>
        <w:t>7.3 Data Encryption</w:t>
      </w:r>
    </w:p>
    <w:p>
      <w:pPr>
        <w:pStyle w:val="Heading3"/>
        <w:keepNext/>
        <w:spacing w:before="240" w:after="120"/>
        <w:jc w:val="left"/>
      </w:pPr>
      <w:r>
        <w:rPr>
          <w:rFonts w:ascii="Calibri" w:hAnsi="Calibri" w:cs="Calibri"/>
          <w:b/>
          <w:i w:val="0"/>
          <w:caps/>
          <w:color w:val="8B6F12"/>
          <w:sz w:val="24"/>
        </w:rPr>
        <w:t>Encryption at Rest</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Data Store</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Encryption Method</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Key Management</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PostgreSQL (RDS)</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AES-256, TDE</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AWS KMS — customer-managed key (CMK) with annual rotation</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Redis (ElastiCache)</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AES-256 at-rest encryption</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AWS KMS — CMK</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Kafka (MSK)</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AES-256 in-transit + at-rest</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AWS KMS — CMK</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S3 documents</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AES-256 SSE-KMS</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AWS KMS — CMK (separate from RDS for blast-radius isolation)</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S3 audit log (WORM)</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SSE-KMS + Object Lock (Compliance mode, 7-year)</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AWS KMS — CMK (never exposed to app code)</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Secrets Manager</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AWS-managed + envelope encryption with CMK</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AWS KMS — CMK</w:t>
            </w:r>
          </w:p>
        </w:tc>
      </w:tr>
    </w:tbl>
    <w:p>
      <w:pPr>
        <w:spacing w:after="160" w:before="0"/>
      </w:pPr>
    </w:p>
    <w:p>
      <w:pPr>
        <w:pStyle w:val="Heading3"/>
        <w:keepNext/>
        <w:spacing w:before="240" w:after="120"/>
        <w:jc w:val="left"/>
      </w:pPr>
      <w:r>
        <w:rPr>
          <w:rFonts w:ascii="Calibri" w:hAnsi="Calibri" w:cs="Calibri"/>
          <w:b/>
          <w:i w:val="0"/>
          <w:caps/>
          <w:color w:val="8B6F12"/>
          <w:sz w:val="24"/>
        </w:rPr>
        <w:t>Field-Level Encryption (PII)</w:t>
      </w:r>
    </w:p>
    <w:p>
      <w:pPr>
        <w:spacing w:after="160" w:line="336" w:lineRule="auto"/>
        <w:ind w:firstLine="0"/>
        <w:jc w:val="both"/>
      </w:pPr>
      <w:r>
        <w:rPr>
          <w:rFonts w:ascii="Calibri" w:hAnsi="Calibri" w:cs="Calibri"/>
          <w:b w:val="0"/>
          <w:i w:val="0"/>
          <w:color w:val="1A1A1A"/>
          <w:sz w:val="21"/>
        </w:rPr>
        <w:t>Specific PII columns receive additional application-layer encryption using envelope encryption (AES-256-GCM with per-row data keys, envelope-encrypted with KMS CMK). Includes: members.email, members.phone, members.identity_document_number, organizations.beneficial_owners (JSONB), bank_accounts.account_full_number (tokenized; only last4 in plaintext), assay_certificates.lab_internal_reference.</w:t>
      </w:r>
    </w:p>
    <w:p>
      <w:pPr>
        <w:pStyle w:val="Heading2"/>
        <w:keepNext/>
        <w:spacing w:before="360" w:after="160"/>
        <w:jc w:val="left"/>
        <w:pBdr>
          <w:bottom w:val="single" w:sz="6" w:space="4" w:color="C9A227"/>
        </w:pBdr>
      </w:pPr>
      <w:r>
        <w:rPr>
          <w:rFonts w:ascii="Calibri" w:hAnsi="Calibri" w:cs="Calibri"/>
          <w:b/>
          <w:i w:val="0"/>
          <w:color w:val="1A1A1A"/>
          <w:sz w:val="32"/>
        </w:rPr>
        <w:t>7.4 Audit Trail &amp; Tamper Evidence</w:t>
      </w:r>
    </w:p>
    <w:p>
      <w:pPr>
        <w:spacing w:after="160" w:line="336" w:lineRule="auto"/>
        <w:ind w:firstLine="0"/>
        <w:jc w:val="both"/>
      </w:pPr>
      <w:r>
        <w:rPr>
          <w:rFonts w:ascii="Calibri" w:hAnsi="Calibri" w:cs="Calibri"/>
          <w:b w:val="0"/>
          <w:i w:val="0"/>
          <w:color w:val="1A1A1A"/>
          <w:sz w:val="21"/>
        </w:rPr>
        <w:t>The Audit Log Service is the canonical audit trail. Five design choices ensure tamper evidence:</w:t>
      </w:r>
    </w:p>
    <w:p>
      <w:pPr>
        <w:pStyle w:val="ListBullet"/>
        <w:spacing w:after="80" w:line="324" w:lineRule="auto"/>
        <w:ind w:left="340" w:hanging="170"/>
      </w:pPr>
      <w:r>
        <w:rPr>
          <w:rFonts w:ascii="Calibri" w:hAnsi="Calibri" w:cs="Calibri"/>
          <w:b w:val="0"/>
          <w:i w:val="0"/>
          <w:color w:val="1A1A1A"/>
          <w:sz w:val="21"/>
        </w:rPr>
        <w:t>Append-only — no UPDATE or DELETE operations exposed; PostgreSQL triggers reject them.</w:t>
      </w:r>
    </w:p>
    <w:p>
      <w:pPr>
        <w:pStyle w:val="ListBullet"/>
        <w:spacing w:after="80" w:line="324" w:lineRule="auto"/>
        <w:ind w:left="340" w:hanging="170"/>
      </w:pPr>
      <w:r>
        <w:rPr>
          <w:rFonts w:ascii="Calibri" w:hAnsi="Calibri" w:cs="Calibri"/>
          <w:b w:val="0"/>
          <w:i w:val="0"/>
          <w:color w:val="1A1A1A"/>
          <w:sz w:val="21"/>
        </w:rPr>
        <w:t>Hash-anchored chain — each event includes previous_event_hash and current_hash = SHA256(salt + previous_hash + event_payload + timestamp). Salt is stored only in Secrets Manager, never accessible to the application layer at read time.</w:t>
      </w:r>
    </w:p>
    <w:p>
      <w:pPr>
        <w:pStyle w:val="ListBullet"/>
        <w:spacing w:after="80" w:line="324" w:lineRule="auto"/>
        <w:ind w:left="340" w:hanging="170"/>
      </w:pPr>
      <w:r>
        <w:rPr>
          <w:rFonts w:ascii="Calibri" w:hAnsi="Calibri" w:cs="Calibri"/>
          <w:b w:val="0"/>
          <w:i w:val="0"/>
          <w:color w:val="1A1A1A"/>
          <w:sz w:val="21"/>
        </w:rPr>
        <w:t>Multi-layer storage — live in Kafka compacted topic → warm in S3 with Object Lock (Compliance mode) → cold in S3 in DR region via CRR. Object Lock prevents even root account deletion for the 7-year retention period.</w:t>
      </w:r>
    </w:p>
    <w:p>
      <w:pPr>
        <w:pStyle w:val="ListBullet"/>
        <w:spacing w:after="80" w:line="324" w:lineRule="auto"/>
        <w:ind w:left="340" w:hanging="170"/>
      </w:pPr>
      <w:r>
        <w:rPr>
          <w:rFonts w:ascii="Calibri" w:hAnsi="Calibri" w:cs="Calibri"/>
          <w:b w:val="0"/>
          <w:i w:val="0"/>
          <w:color w:val="1A1A1A"/>
          <w:sz w:val="21"/>
        </w:rPr>
        <w:t>Continuous verification — background worker recomputes the hash chain every hour. Any break triggers a SEV-1 alert (AuditLogHashChainBreak).</w:t>
      </w:r>
    </w:p>
    <w:p>
      <w:pPr>
        <w:pStyle w:val="ListBullet"/>
        <w:spacing w:after="80" w:line="324" w:lineRule="auto"/>
        <w:ind w:left="340" w:hanging="170"/>
      </w:pPr>
      <w:r>
        <w:rPr>
          <w:rFonts w:ascii="Calibri" w:hAnsi="Calibri" w:cs="Calibri"/>
          <w:b w:val="0"/>
          <w:i w:val="0"/>
          <w:color w:val="1A1A1A"/>
          <w:sz w:val="21"/>
        </w:rPr>
        <w:t>Independent reviewer access — Chamber Compliance team has direct read access; they can verify hash integrity independently via the public verification API.</w:t>
      </w:r>
    </w:p>
    <w:p>
      <w:pPr>
        <w:pStyle w:val="Heading2"/>
        <w:keepNext/>
        <w:spacing w:before="360" w:after="160"/>
        <w:jc w:val="left"/>
        <w:pBdr>
          <w:bottom w:val="single" w:sz="6" w:space="4" w:color="C9A227"/>
        </w:pBdr>
      </w:pPr>
      <w:r>
        <w:rPr>
          <w:rFonts w:ascii="Calibri" w:hAnsi="Calibri" w:cs="Calibri"/>
          <w:b/>
          <w:i w:val="0"/>
          <w:color w:val="1A1A1A"/>
          <w:sz w:val="32"/>
        </w:rPr>
        <w:t>7.5 Secrets Management</w:t>
      </w:r>
    </w:p>
    <w:tbl>
      <w:tblPr>
        <w:tblW w:type="auto" w:w="0"/>
        <w:jc w:val="center"/>
        <w:tblLayout w:type="fixed"/>
        <w:tblLook w:firstColumn="1" w:firstRow="1" w:lastColumn="0" w:lastRow="0" w:noHBand="0" w:noVBand="1" w:val="04A0"/>
      </w:tblPr>
      <w:tblGrid>
        <w:gridCol w:w="2296"/>
        <w:gridCol w:w="2296"/>
        <w:gridCol w:w="2296"/>
        <w:gridCol w:w="2296"/>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Secret Type</w:t>
            </w:r>
          </w:p>
        </w:tc>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Store</w:t>
            </w:r>
          </w:p>
        </w:tc>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Rotation</w:t>
            </w:r>
          </w:p>
        </w:tc>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Access</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Database master password</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AWS Secrets Manager</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90 days (automatic)</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RDS only</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Database app password (per-service users)</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AWS Secrets Manager</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90 days (automatic)</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Service IAM role only</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Bank API keys</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AWS Secrets Manager</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Annual or per bank schedule</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Escrow Service IAM role only</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Auth0 client secrets</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AWS Secrets Manager</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Annual (manual, Security Eng)</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Member Service + Admin app only</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Webhook HMAC secrets</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AWS Secrets Manager</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Quarterly (joint with partner)</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Notification Service + partner</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Audit log hash salt</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AWS Secrets Manager</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Never rotated (would invalidate chain)</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Audit Log Service writer only</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TLS private keys</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AWS ACM (managed)</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Auto-renewed</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ACM only</w:t>
            </w:r>
          </w:p>
        </w:tc>
      </w:tr>
    </w:tbl>
    <w:p>
      <w:pPr>
        <w:spacing w:after="160" w:before="0"/>
      </w:pPr>
    </w:p>
    <w:p>
      <w:pPr>
        <w:pStyle w:val="Heading2"/>
        <w:keepNext/>
        <w:spacing w:before="360" w:after="160"/>
        <w:jc w:val="left"/>
        <w:pBdr>
          <w:bottom w:val="single" w:sz="6" w:space="4" w:color="C9A227"/>
        </w:pBdr>
      </w:pPr>
      <w:r>
        <w:rPr>
          <w:rFonts w:ascii="Calibri" w:hAnsi="Calibri" w:cs="Calibri"/>
          <w:b/>
          <w:i w:val="0"/>
          <w:color w:val="1A1A1A"/>
          <w:sz w:val="32"/>
        </w:rPr>
        <w:t>7.6 Compliance Notes</w:t>
      </w:r>
    </w:p>
    <w:p>
      <w:pPr>
        <w:pStyle w:val="Heading3"/>
        <w:keepNext/>
        <w:spacing w:before="240" w:after="120"/>
        <w:jc w:val="left"/>
      </w:pPr>
      <w:r>
        <w:rPr>
          <w:rFonts w:ascii="Calibri" w:hAnsi="Calibri" w:cs="Calibri"/>
          <w:b/>
          <w:i w:val="0"/>
          <w:caps/>
          <w:color w:val="8B6F12"/>
          <w:sz w:val="24"/>
        </w:rPr>
        <w:t>Regulatory Landscape</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Regulation</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Jurisdiction</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Applicability</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Ghana Data Protection Act, 2012 (Act 843)</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Ghana</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Applies — platform processes personal data of Ghanaian residents</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Bank of Ghana AML/CFT/CPF Directives (2022)</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Ghana</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Applies — escrow integration, gold trading is regulated financial activity</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Ghana Minerals and Mining Act, 2006 (Act 703)</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Ghana</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Applies — gold licensing, export permits</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FATF Recommendation 22 (Precious Metals)</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International</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Applies — Ghana is a FATF member</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OECD Due Diligence Guidance (Annex II)</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International</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Applies — Tier 1 buyers (LBMA refiners) require OECD-aligned due diligence</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LBMA Responsible Gold Guidance</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International</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Indirect — Tier 1 buyers must comply; platform enables their compliance</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SOC 2 Type II</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International</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Applies — vendor-side commitment to Tier 1 buyers</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ISO/IEC 27001:2022</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International</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Target — Year 2 (2029)</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PCI-DSS</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International</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Out of scope — platform does not accept card payments directly</w:t>
            </w:r>
          </w:p>
        </w:tc>
      </w:tr>
    </w:tbl>
    <w:p>
      <w:pPr>
        <w:spacing w:after="160" w:before="0"/>
      </w:pPr>
    </w:p>
    <w:p>
      <w:pPr>
        <w:pStyle w:val="Heading3"/>
        <w:keepNext/>
        <w:spacing w:before="240" w:after="120"/>
        <w:jc w:val="left"/>
      </w:pPr>
      <w:r>
        <w:rPr>
          <w:rFonts w:ascii="Calibri" w:hAnsi="Calibri" w:cs="Calibri"/>
          <w:b/>
          <w:i w:val="0"/>
          <w:caps/>
          <w:color w:val="8B6F12"/>
          <w:sz w:val="24"/>
        </w:rPr>
        <w:t>Ghana Data Protection Act, 2012 (Act 843) — Selected Controls</w:t>
      </w:r>
    </w:p>
    <w:tbl>
      <w:tblPr>
        <w:tblW w:type="auto" w:w="0"/>
        <w:jc w:val="center"/>
        <w:tblLayout w:type="fixed"/>
        <w:tblLook w:firstColumn="1" w:firstRow="1" w:lastColumn="0" w:lastRow="0" w:noHBand="0" w:noVBand="1" w:val="04A0"/>
      </w:tblPr>
      <w:tblGrid>
        <w:gridCol w:w="4592"/>
        <w:gridCol w:w="4592"/>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Requirement</w:t>
            </w:r>
          </w:p>
        </w:tc>
        <w:tc>
          <w:tcPr>
            <w:tcW w:type="dxa" w:w="6888"/>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How We Comply</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Lawful basis for processing (§17)</w:t>
            </w:r>
          </w:p>
        </w:tc>
        <w:tc>
          <w:tcPr>
            <w:tcW w:type="dxa" w:w="688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Contract performance (trade execution); legal obligation (AML, sanctions screening); legitimate interest (member directory)</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Data subject rights — access, rectification, erasure, portability (§33–36)</w:t>
            </w:r>
          </w:p>
        </w:tc>
        <w:tc>
          <w:tcPr>
            <w:tcW w:type="dxa" w:w="688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Self-service portal for access + rectification; erasure honored unless legal retention (AML = 7 years); JSON export via API</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Cross-border transfer (§84)</w:t>
            </w:r>
          </w:p>
        </w:tc>
        <w:tc>
          <w:tcPr>
            <w:tcW w:type="dxa" w:w="688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Lawful basis documented; Standard Contractual Clauses (SCCs) with AWS; transfer impact assessment completed; primary region af-west-1</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Data breach notification (§38)</w:t>
            </w:r>
          </w:p>
        </w:tc>
        <w:tc>
          <w:tcPr>
            <w:tcW w:type="dxa" w:w="688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Notification to Data Protection Commission within 72 hours; affected subjects notified without undue delay</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Data Protection Officer (§24)</w:t>
            </w:r>
          </w:p>
        </w:tc>
        <w:tc>
          <w:tcPr>
            <w:tcW w:type="dxa" w:w="688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Vendor-side DPO + Chamber-side DPO (Efua Boateng)</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Retention</w:t>
            </w:r>
          </w:p>
        </w:tc>
        <w:tc>
          <w:tcPr>
            <w:tcW w:type="dxa" w:w="688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Personal data retained 7 years post-account-closure (AML requirement); thereafter securely destroyed</w:t>
            </w:r>
          </w:p>
        </w:tc>
      </w:tr>
    </w:tbl>
    <w:p>
      <w:pPr>
        <w:spacing w:after="160" w:before="0"/>
      </w:pPr>
    </w:p>
    <w:p>
      <w:pPr>
        <w:pStyle w:val="Heading3"/>
        <w:keepNext/>
        <w:spacing w:before="240" w:after="120"/>
        <w:jc w:val="left"/>
      </w:pPr>
      <w:r>
        <w:rPr>
          <w:rFonts w:ascii="Calibri" w:hAnsi="Calibri" w:cs="Calibri"/>
          <w:b/>
          <w:i w:val="0"/>
          <w:caps/>
          <w:color w:val="8B6F12"/>
          <w:sz w:val="24"/>
        </w:rPr>
        <w:t>Bank of Ghana AML/CFT/CPF Directives — Selected Controls</w:t>
      </w:r>
    </w:p>
    <w:tbl>
      <w:tblPr>
        <w:tblW w:type="auto" w:w="0"/>
        <w:jc w:val="center"/>
        <w:tblLayout w:type="fixed"/>
        <w:tblLook w:firstColumn="1" w:firstRow="1" w:lastColumn="0" w:lastRow="0" w:noHBand="0" w:noVBand="1" w:val="04A0"/>
      </w:tblPr>
      <w:tblGrid>
        <w:gridCol w:w="4592"/>
        <w:gridCol w:w="4592"/>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Requirement</w:t>
            </w:r>
          </w:p>
        </w:tc>
        <w:tc>
          <w:tcPr>
            <w:tcW w:type="dxa" w:w="6888"/>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How We Comply</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Customer Due Diligence (CDD)</w:t>
            </w:r>
          </w:p>
        </w:tc>
        <w:tc>
          <w:tcPr>
            <w:tcW w:type="dxa" w:w="688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Three-tier CDD: Simplified (Tier 2 low-value), Standard (default), Enhanced (PEPs, high-risk jurisdictions, high-value trades ≥ US$100K)</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Beneficial ownership identification</w:t>
            </w:r>
          </w:p>
        </w:tc>
        <w:tc>
          <w:tcPr>
            <w:tcW w:type="dxa" w:w="688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Required at onboarding for all organizations. Beneficial owners defined as ≥ 10% ownership or control. Verified against Ghana BO Registry + Chamber registry</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PEP screening</w:t>
            </w:r>
          </w:p>
        </w:tc>
        <w:tc>
          <w:tcPr>
            <w:tcW w:type="dxa" w:w="688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All members + beneficial owners screened against PEP database. PEP status triggers Enhanced Due Diligence</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Sanction list screening</w:t>
            </w:r>
          </w:p>
        </w:tc>
        <w:tc>
          <w:tcPr>
            <w:tcW w:type="dxa" w:w="688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Daily refresh of OFAC SDN, EU consolidated, UN Security Council, Ghana MoF. Re-screen on every trade event</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Suspicious Transaction Reporting</w:t>
            </w:r>
          </w:p>
        </w:tc>
        <w:tc>
          <w:tcPr>
            <w:tcW w:type="dxa" w:w="688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Compliance Officer files SAR with FIC within 24 hours of detection via platform-integrated workflow</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Record keeping (§30)</w:t>
            </w:r>
          </w:p>
        </w:tc>
        <w:tc>
          <w:tcPr>
            <w:tcW w:type="dxa" w:w="688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All trade + KYC records retained 7 years; tamper-evident audit log; retrievable within 24 hours for regulatory request</w:t>
            </w:r>
          </w:p>
        </w:tc>
      </w:tr>
    </w:tbl>
    <w:p>
      <w:pPr>
        <w:spacing w:after="160" w:before="0"/>
      </w:pPr>
    </w:p>
    <w:p>
      <w:pPr>
        <w:pStyle w:val="Heading3"/>
        <w:keepNext/>
        <w:spacing w:before="240" w:after="120"/>
        <w:jc w:val="left"/>
      </w:pPr>
      <w:r>
        <w:rPr>
          <w:rFonts w:ascii="Calibri" w:hAnsi="Calibri" w:cs="Calibri"/>
          <w:b/>
          <w:i w:val="0"/>
          <w:caps/>
          <w:color w:val="8B6F12"/>
          <w:sz w:val="24"/>
        </w:rPr>
        <w:t>SOC 2 Type II + ISO 27001 Roadmap</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Framework</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Status</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Target</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SOC 2 Type I</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In progress</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Q1 2028 — readiness Q3 2027; controls operational Q4 2027</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SOC 2 Type II</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In progress</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Q3 2028 — 12-month observation from Type I (Charter Objective \#5)</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ISO 27001:2022</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Planned</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Year 2 (2029) — gap assessment Q2 2028; certification audit Q4 2028</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ISO 27701 (Privacy)</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Planned</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Year 3 (2029) — build on ISO 27001</w:t>
            </w:r>
          </w:p>
        </w:tc>
      </w:tr>
    </w:tbl>
    <w:p>
      <w:pPr>
        <w:spacing w:after="160" w:before="0"/>
      </w:pPr>
    </w:p>
    <w:p>
      <w:pPr>
        <w:pStyle w:val="Heading2"/>
        <w:keepNext/>
        <w:spacing w:before="360" w:after="160"/>
        <w:jc w:val="left"/>
        <w:pBdr>
          <w:bottom w:val="single" w:sz="6" w:space="4" w:color="C9A227"/>
        </w:pBdr>
      </w:pPr>
      <w:r>
        <w:rPr>
          <w:rFonts w:ascii="Calibri" w:hAnsi="Calibri" w:cs="Calibri"/>
          <w:b/>
          <w:i w:val="0"/>
          <w:color w:val="1A1A1A"/>
          <w:sz w:val="32"/>
        </w:rPr>
        <w:t>7.7 Incident Response</w:t>
      </w:r>
    </w:p>
    <w:p>
      <w:pPr>
        <w:pStyle w:val="Heading3"/>
        <w:keepNext/>
        <w:spacing w:before="240" w:after="120"/>
        <w:jc w:val="left"/>
      </w:pPr>
      <w:r>
        <w:rPr>
          <w:rFonts w:ascii="Calibri" w:hAnsi="Calibri" w:cs="Calibri"/>
          <w:b/>
          <w:i w:val="0"/>
          <w:caps/>
          <w:color w:val="8B6F12"/>
          <w:sz w:val="24"/>
        </w:rPr>
        <w:t>Severity Definitions</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Severity</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Definition</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Response Time</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SEV-1</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Production down; data loss; trade-blocking; security breach</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5 min ack, 15 min mitigation start; page on-call + Security Eng + Vendor PM; notify Chamber PMO within 15 min</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SEV-2</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Significant degradation; trade-friction; non-critical path broken</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30 min ack, 2 hr mitigation; page on-call SRE; notify Chamber PMO within 1 hr</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SEV-3</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Minor issue; workaround exists</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Next business day</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SEV-4</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Cosmetic; non-impactful</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Backlog</w:t>
            </w:r>
          </w:p>
        </w:tc>
      </w:tr>
    </w:tbl>
    <w:p>
      <w:pPr>
        <w:spacing w:after="160" w:before="0"/>
      </w:pPr>
    </w:p>
    <w:p>
      <w:pPr>
        <w:pStyle w:val="Heading3"/>
        <w:keepNext/>
        <w:spacing w:before="240" w:after="120"/>
        <w:jc w:val="left"/>
      </w:pPr>
      <w:r>
        <w:rPr>
          <w:rFonts w:ascii="Calibri" w:hAnsi="Calibri" w:cs="Calibri"/>
          <w:b/>
          <w:i w:val="0"/>
          <w:caps/>
          <w:color w:val="8B6F12"/>
          <w:sz w:val="24"/>
        </w:rPr>
        <w:t>Notification Timelines</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Trigger</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Recipient</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Timeline</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Personal data breach (DPA §38)</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Ghana Data Protection Commission</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Within 72 hours of awareness</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Personal data breach (high risk)</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Affected data subjects</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Without undue delay after DPC notification</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Trade data breach / suspicious trading</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Bank of Ghana (Financial Stability Dept.)</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Within 24 hours</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Trade data breach (material to Chamber)</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Chamber Executive Council</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Within 4 hours</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Material security incident affecting Tier 1 buyers</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Affected Tier 1 buyer's compliance team</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Within 24 hours (per MSA)</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SOC 2 reportable incident</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SOC 2 auditor</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At next quarterly audit window</w:t>
            </w:r>
          </w:p>
        </w:tc>
      </w:tr>
    </w:tbl>
    <w:p>
      <w:pPr>
        <w:spacing w:after="160" w:before="0"/>
      </w:pPr>
    </w:p>
    <w:p>
      <w:pPr>
        <w:pStyle w:val="Heading2"/>
        <w:keepNext/>
        <w:spacing w:before="360" w:after="160"/>
        <w:jc w:val="left"/>
        <w:pBdr>
          <w:bottom w:val="single" w:sz="6" w:space="4" w:color="C9A227"/>
        </w:pBdr>
      </w:pPr>
      <w:r>
        <w:rPr>
          <w:rFonts w:ascii="Calibri" w:hAnsi="Calibri" w:cs="Calibri"/>
          <w:b/>
          <w:i w:val="0"/>
          <w:color w:val="1A1A1A"/>
          <w:sz w:val="32"/>
        </w:rPr>
        <w:t>7.8 Audit &amp; Assurance</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Audit</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Frequency</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Owner</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Access review (IAM + Auth0)</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Quarterly</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Security Eng</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Secrets access review</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Quarterly</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Security Eng</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Change management review</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Quarterly</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Vendor PM</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DR test (staging)</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Quarterly</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SRE</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DR test (prod)</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Annually</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SRE + Vendor PM + Chamber PMO</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Audit log integrity test</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Weekly (automated)</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Compliance Eng</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Penetration test</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Annually + on major releases</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Security Eng + Vendor PM</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AML compliance audit</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Annually (third-party)</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Compliance Officer (Chamber)</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Privacy impact assessment</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Annually + on material change</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DPO</w:t>
            </w:r>
          </w:p>
        </w:tc>
      </w:tr>
    </w:tbl>
    <w:p>
      <w:pPr>
        <w:spacing w:after="160" w:before="0"/>
      </w:pPr>
    </w:p>
    <w:p>
      <w:pPr>
        <w:pStyle w:val="Heading3"/>
        <w:keepNext/>
        <w:spacing w:before="240" w:after="120"/>
        <w:jc w:val="left"/>
      </w:pPr>
      <w:r>
        <w:rPr>
          <w:rFonts w:ascii="Calibri" w:hAnsi="Calibri" w:cs="Calibri"/>
          <w:b/>
          <w:i w:val="0"/>
          <w:caps/>
          <w:color w:val="8B6F12"/>
          <w:sz w:val="24"/>
        </w:rPr>
        <w:t>Cross-References</w:t>
      </w:r>
    </w:p>
    <w:p>
      <w:pPr>
        <w:spacing w:after="160" w:line="336" w:lineRule="auto"/>
        <w:ind w:firstLine="0"/>
        <w:jc w:val="both"/>
      </w:pPr>
      <w:r>
        <w:rPr>
          <w:rFonts w:ascii="Calibri" w:hAnsi="Calibri" w:cs="Calibri"/>
          <w:b w:val="0"/>
          <w:i w:val="0"/>
          <w:color w:val="1A1A1A"/>
          <w:sz w:val="21"/>
        </w:rPr>
        <w:t>This document suite is designed as a coherent whole. The Charter's objectives (Doc 1 §3.2) flow into User Personas (Doc 2), which drive User Success Journeys (Doc 3), which inform System Architecture (Doc 4), which is operationalized by User/System Flows (Doc 5), supported by DevOps runbooks (Doc 6), and governed by Security &amp; Compliance controls (Doc 7). Specific cross-references appear at the end of each document. The full suite — including the master README with reading paths for executives, PMs, architects, engineers, and auditors — is available alongside this Word document as an animated HTML presentation and as the original Markdown source.</w:t>
      </w:r>
    </w:p>
    <w:p>
      <w:pPr>
        <w:spacing w:after="160" w:line="336" w:lineRule="auto"/>
        <w:ind w:firstLine="0"/>
        <w:jc w:val="both"/>
      </w:pPr>
      <w:r>
        <w:rPr>
          <w:rFonts w:ascii="Calibri" w:hAnsi="Calibri" w:cs="Calibri"/>
          <w:b w:val="0"/>
          <w:i w:val="0"/>
          <w:color w:val="1A1A1A"/>
          <w:sz w:val="21"/>
        </w:rPr>
        <w:t>&gt; This documentation suite is the confidential, proprietary work product of Vanta Technologies Ltd. and the Ghana Chamber of Gold Buyers. Distribution is restricted to authorized project stakeholders. Personal names in this document are placeholders pending confirmation by the project's joint Change Control Board.</w:t>
      </w:r>
    </w:p>
    <w:sectPr w:rsidR="00FC693F" w:rsidRPr="0006063C" w:rsidSect="00034616">
      <w:footerReference w:type="default" r:id="rId10"/>
      <w:headerReference w:type="default" r:id="rId11"/>
      <w:pgSz w:w="11906" w:h="16838"/>
      <w:pgMar w:top="1361" w:right="1361" w:bottom="1247" w:left="1361" w:header="68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color w:val="6B6B6B"/>
        <w:sz w:val="16"/>
      </w:rPr>
      <w:t>Part of the AurumX Documentation Suite v1.0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92" w:val="center"/>
        <w:tab w:pos="9184" w:val="right"/>
      </w:tabs>
      <w:jc w:val="center"/>
    </w:pPr>
    <w:r>
      <w:rPr>
        <w:rFonts w:ascii="Calibri" w:hAnsi="Calibri" w:cs="Calibri"/>
        <w:b w:val="0"/>
        <w:i/>
        <w:color w:val="6B6B6B"/>
        <w:sz w:val="16"/>
      </w:rPr>
      <w:t>AurumX Documentation Suite v1.0</w:t>
      <w:tab/>
    </w:r>
    <w:r>
      <w:rPr>
        <w:rFonts w:ascii="Calibri" w:hAnsi="Calibri" w:cs="Calibri"/>
        <w:b/>
        <w:i w:val="0"/>
        <w:color w:val="2D2D2D"/>
        <w:sz w:val="18"/>
      </w:rPr>
      <w:fldChar w:fldCharType="begin" w:dirty="true"/>
      <w:instrText xml:space="preserve">PAGE \* MERGEFORMAT</w:instrText>
      <w:fldChar w:fldCharType="separate"/>
      <w:t>Loading…</w:t>
      <w:fldChar w:fldCharType="end"/>
    </w:r>
    <w:r>
      <w:rPr>
        <w:rFonts w:ascii="Calibri" w:hAnsi="Calibri" w:cs="Calibri"/>
        <w:b w:val="0"/>
        <w:i/>
        <w:color w:val="6B6B6B"/>
        <w:sz w:val="16"/>
      </w:rPr>
      <w:tab/>
      <w:t>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s="Calibri"/>
        <w:b/>
        <w:i w:val="0"/>
        <w:caps/>
        <w:color w:val="C9A227"/>
        <w:sz w:val="16"/>
      </w:rPr>
      <w:t xml:space="preserve">AURUMX  •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5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B6F1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