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pBdr>
                <w:top w:val="single" w:color="C9A84C" w:sz="18" w:space="20"/>
              </w:pBdr>
              <w:spacing w:after="200" w:before="1200"/>
              <w:ind w:left="1000" w:right="1000"/>
            </w:pPr>
          </w:p>
          <w:p>
            <w:pPr>
              <w:spacing w:before="1600"/>
            </w:pPr>
          </w:p>
          <w:p>
            <w:pPr>
              <w:spacing w:after="500"/>
              <w:jc w:val="center"/>
            </w:pPr>
            <w:r>
              <w:rPr>
                <w:rFonts w:ascii="Calibri"/>
                <w:color w:val="C9A84C"/>
                <w:spacing w:val="40"/>
                <w:sz w:val="18"/>
                <w:szCs w:val="18"/>
              </w:rPr>
              <w:t xml:space="preserve">I  N  V  E  S  T  O  R  -  R  E  A  D  Y     B  U  S  I  N  E  S  S     C  A  S  E</w:t>
            </w:r>
          </w:p>
          <w:p>
            <w:pPr>
              <w:spacing w:after="80" w:line="828" w:lineRule="atLeast"/>
              <w:jc w:val="center"/>
            </w:pPr>
            <w:r>
              <w:rPr>
                <w:rFonts w:ascii="Arial"/>
                <w:b/>
                <w:bCs/>
                <w:color w:val="FFFFFF"/>
                <w:sz w:val="72"/>
                <w:szCs w:val="72"/>
              </w:rPr>
              <w:t xml:space="preserve">AurumXchange Business</w:t>
            </w:r>
          </w:p>
          <w:p>
            <w:pPr>
              <w:spacing w:after="300" w:line="828" w:lineRule="atLeast"/>
              <w:jc w:val="center"/>
            </w:pPr>
            <w:r>
              <w:rPr>
                <w:rFonts w:ascii="Arial"/>
                <w:b/>
                <w:bCs/>
                <w:color w:val="FFFFFF"/>
                <w:sz w:val="72"/>
                <w:szCs w:val="72"/>
              </w:rPr>
              <w:t xml:space="preserve">Case</w:t>
            </w:r>
          </w:p>
          <w:p>
            <w:pPr>
              <w:spacing w:after="400" w:line="360" w:lineRule="atLeast"/>
              <w:jc w:val="center"/>
            </w:pPr>
            <w:r>
              <w:rPr>
                <w:rFonts w:ascii="Calibri"/>
                <w:i/>
                <w:iCs/>
                <w:color w:val="B0B8C0"/>
                <w:sz w:val="24"/>
                <w:szCs w:val="24"/>
              </w:rPr>
              <w:t xml:space="preserve">A Regulated Digital Gold Trading Infrastructure for the Ghana Chamber of Gold Buyers</w:t>
            </w:r>
          </w:p>
          <w:p>
            <w:pPr>
              <w:spacing w:before="1400"/>
            </w:pPr>
          </w:p>
          <w:p>
            <w:pPr>
              <w:spacing w:after="120" w:line="300" w:lineRule="atLeast"/>
              <w:jc w:val="center"/>
            </w:pPr>
            <w:r>
              <w:rPr>
                <w:rFonts w:ascii="Calibri"/>
                <w:color w:val="C9A84C"/>
                <w:sz w:val="22"/>
                <w:szCs w:val="22"/>
              </w:rPr>
              <w:t xml:space="preserve">Prepared by Sahel Systems &amp; Solutions</w:t>
            </w:r>
          </w:p>
          <w:p>
            <w:pPr>
              <w:spacing w:after="120" w:line="300" w:lineRule="atLeast"/>
              <w:jc w:val="center"/>
            </w:pPr>
            <w:r>
              <w:rPr>
                <w:rFonts w:ascii="Calibri"/>
                <w:color w:val="C9A84C"/>
                <w:sz w:val="22"/>
                <w:szCs w:val="22"/>
              </w:rPr>
              <w:t xml:space="preserve">For the Ghana Chamber of Gold Buyers</w:t>
            </w:r>
          </w:p>
          <w:p>
            <w:pPr>
              <w:spacing w:after="120" w:line="300" w:lineRule="atLeast"/>
              <w:jc w:val="center"/>
            </w:pPr>
            <w:r>
              <w:rPr>
                <w:rFonts w:ascii="Calibri"/>
                <w:color w:val="C9A84C"/>
                <w:sz w:val="22"/>
                <w:szCs w:val="22"/>
              </w:rPr>
              <w:t xml:space="preserve">12 August 2026</w:t>
            </w:r>
          </w:p>
          <w:p>
            <w:pPr>
              <w:spacing w:after="120" w:line="300" w:lineRule="atLeast"/>
              <w:jc w:val="center"/>
            </w:pPr>
            <w:r>
              <w:rPr>
                <w:rFonts w:ascii="Calibri"/>
                <w:color w:val="C9A84C"/>
                <w:sz w:val="22"/>
                <w:szCs w:val="22"/>
              </w:rPr>
              <w:t xml:space="preserve">CONFIDENTIAL — Board Distribution Only</w:t>
            </w:r>
          </w:p>
          <w:p>
            <w:pPr>
              <w:spacing w:before="1800"/>
            </w:pPr>
          </w:p>
          <w:p>
            <w:pPr>
              <w:pBdr>
                <w:bottom w:val="single" w:color="C9A84C" w:sz="18" w:space="20"/>
              </w:pBdr>
              <w:spacing w:before="200"/>
              <w:ind w:left="1000" w:right="1000"/>
              <w:jc w:val="center"/>
            </w:pPr>
            <w:r>
              <w:rPr>
                <w:rFonts w:ascii="Calibri"/>
                <w:color w:val="687078"/>
                <w:sz w:val="18"/>
                <w:szCs w:val="18"/>
              </w:rPr>
              <w:t xml:space="preserve">AurumXchange  |  Sahel Systems &amp; Solutions  |  2026</w:t>
            </w:r>
          </w:p>
        </w:tc>
      </w:tr>
    </w:tbl>
    <w:p>
      <w:pPr>
        <w:sectPr>
          <w:pgSz w:w="11906" w:h="16838" w:orient="portrait"/>
          <w:pgMar w:top="0" w:right="0" w:bottom="0" w:left="0" w:header="708" w:footer="708" w:gutter="0"/>
          <w:pgNumType/>
          <w:docGrid w:linePitch="360"/>
        </w:sectPr>
      </w:pPr>
    </w:p>
    <w:p>
      <w:pPr>
        <w:pStyle w:val="Heading1"/>
        <w:spacing w:after="200" w:before="480" w:line="360" w:lineRule="atLeast"/>
      </w:pPr>
      <w:bookmarkStart w:id="100000" w:name="_Toc100000"/>
      <w:r>
        <w:rPr>
          <w:rFonts w:ascii="Calibri"/>
          <w:b/>
          <w:bCs/>
          <w:color w:val="1A1A1A"/>
          <w:sz w:val="32"/>
          <w:szCs w:val="32"/>
        </w:rPr>
        <w:t xml:space="preserve">Locked Assumptions</w:t>
      </w:r>
      <w:bookmarkEnd w:id="100000"/>
    </w:p>
    <w:p>
      <w:pPr>
        <w:spacing w:after="140" w:line="312" w:lineRule="auto"/>
        <w:jc w:val="both"/>
      </w:pPr>
      <w:r>
        <w:rPr>
          <w:rFonts w:ascii="Calibri"/>
          <w:color w:val="1A1A1A"/>
          <w:sz w:val="22"/>
          <w:szCs w:val="22"/>
        </w:rPr>
        <w:t xml:space="preserve">This business case proceeds on the basis of the assumptions set out below. They were derived from the original proposal submitted by the Ghana Chamber of Gold Buyers and from the standard parameters an investor-ready deliverable requires. Each assumption is flagged as either Locked (the document is built on it and changing it requires regenerating the financials) or Modifiable (it can be tuned without breaking the Golden Thread). Any reader who disagrees with a Locked assumption should pause here and request a re-run before reviewing the four documents that follow.</w:t>
      </w:r>
    </w:p>
    <w:p>
      <w:pPr>
        <w:pStyle w:val="Heading2"/>
        <w:spacing w:after="160" w:before="360" w:line="340" w:lineRule="atLeast"/>
      </w:pPr>
      <w:bookmarkStart w:id="100001" w:name="_Toc100001"/>
      <w:r>
        <w:rPr>
          <w:rFonts w:ascii="Calibri"/>
          <w:b/>
          <w:bCs/>
          <w:color w:val="1A1A1A"/>
          <w:sz w:val="28"/>
          <w:szCs w:val="28"/>
        </w:rPr>
        <w:t xml:space="preserve">Product &amp; Commercial Identity</w:t>
      </w:r>
      <w:bookmarkEnd w:id="100001"/>
    </w:p>
    <w:p>
      <w:pPr>
        <w:pStyle w:val="ListParagraph"/>
        <w:numPr>
          <w:ilvl w:val="0"/>
          <w:numId w:val="1"/>
        </w:numPr>
        <w:spacing w:after="80" w:line="300" w:lineRule="auto"/>
        <w:jc w:val="left"/>
      </w:pPr>
      <w:r>
        <w:rPr>
          <w:rFonts w:ascii="Calibri"/>
          <w:b/>
          <w:bCs/>
          <w:color w:val="1A1A1A"/>
          <w:sz w:val="22"/>
          <w:szCs w:val="22"/>
        </w:rPr>
        <w:t xml:space="preserve">Product name: </w:t>
      </w:r>
      <w:r>
        <w:rPr>
          <w:rFonts w:ascii="Calibri"/>
          <w:color w:val="1A1A1A"/>
          <w:sz w:val="22"/>
          <w:szCs w:val="22"/>
        </w:rPr>
        <w:t xml:space="preserve">AurumXchange — a regulated digital gold trading infrastructure operated for the Ghana Chamber of Gold Buyers.</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Locked.</w:t>
      </w:r>
    </w:p>
    <w:p>
      <w:pPr>
        <w:pStyle w:val="ListParagraph"/>
        <w:numPr>
          <w:ilvl w:val="0"/>
          <w:numId w:val="1"/>
        </w:numPr>
        <w:spacing w:after="80" w:line="300" w:lineRule="auto"/>
        <w:jc w:val="left"/>
      </w:pPr>
      <w:r>
        <w:rPr>
          <w:rFonts w:ascii="Calibri"/>
          <w:b/>
          <w:bCs/>
          <w:color w:val="1A1A1A"/>
          <w:sz w:val="22"/>
          <w:szCs w:val="22"/>
        </w:rPr>
        <w:t xml:space="preserve">Domain: </w:t>
      </w:r>
      <w:r>
        <w:rPr>
          <w:rFonts w:ascii="Calibri"/>
          <w:color w:val="1A1A1A"/>
          <w:sz w:val="22"/>
          <w:szCs w:val="22"/>
        </w:rPr>
        <w:t xml:space="preserve">B2B SaaS — controlled exchange (regulated marketplace-adjacent), not an open marketplace.</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Locked.</w:t>
      </w:r>
    </w:p>
    <w:p>
      <w:pPr>
        <w:pStyle w:val="ListParagraph"/>
        <w:numPr>
          <w:ilvl w:val="0"/>
          <w:numId w:val="1"/>
        </w:numPr>
        <w:spacing w:after="80" w:line="300" w:lineRule="auto"/>
        <w:jc w:val="left"/>
      </w:pPr>
      <w:r>
        <w:rPr>
          <w:rFonts w:ascii="Calibri"/>
          <w:b/>
          <w:bCs/>
          <w:color w:val="1A1A1A"/>
          <w:sz w:val="22"/>
          <w:szCs w:val="22"/>
        </w:rPr>
        <w:t xml:space="preserve">Technology partner: </w:t>
      </w:r>
      <w:r>
        <w:rPr>
          <w:rFonts w:ascii="Calibri"/>
          <w:color w:val="1A1A1A"/>
          <w:sz w:val="22"/>
          <w:szCs w:val="22"/>
        </w:rPr>
        <w:t xml:space="preserve">Sahel Systems &amp; Solutions ('the IT company' or 'Sahel Systems') — owner and operator of the platform under a revenue-sharing agreement with the Chamber.</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Modifiable — replace with the actual operating company name before distribution.</w:t>
      </w:r>
    </w:p>
    <w:p>
      <w:pPr>
        <w:pStyle w:val="Heading2"/>
        <w:spacing w:after="160" w:before="360" w:line="340" w:lineRule="atLeast"/>
      </w:pPr>
      <w:bookmarkStart w:id="100002" w:name="_Toc100002"/>
      <w:r>
        <w:rPr>
          <w:rFonts w:ascii="Calibri"/>
          <w:b/>
          <w:bCs/>
          <w:color w:val="1A1A1A"/>
          <w:sz w:val="28"/>
          <w:szCs w:val="28"/>
        </w:rPr>
        <w:t xml:space="preserve">Customer Segment</w:t>
      </w:r>
      <w:bookmarkEnd w:id="100002"/>
    </w:p>
    <w:p>
      <w:pPr>
        <w:pStyle w:val="ListParagraph"/>
        <w:numPr>
          <w:ilvl w:val="0"/>
          <w:numId w:val="1"/>
        </w:numPr>
        <w:spacing w:after="80" w:line="300" w:lineRule="auto"/>
        <w:jc w:val="left"/>
      </w:pPr>
      <w:r>
        <w:rPr>
          <w:rFonts w:ascii="Calibri"/>
          <w:b/>
          <w:bCs/>
          <w:color w:val="1A1A1A"/>
          <w:sz w:val="22"/>
          <w:szCs w:val="22"/>
        </w:rPr>
        <w:t xml:space="preserve">Primary users: </w:t>
      </w:r>
      <w:r>
        <w:rPr>
          <w:rFonts w:ascii="Calibri"/>
          <w:color w:val="1A1A1A"/>
          <w:sz w:val="22"/>
          <w:szCs w:val="22"/>
        </w:rPr>
        <w:t xml:space="preserve">Tier 1 Buyers (large refiners, bullion banks, international traders) and Tier 2 Buyers (licensed local exporters, aggregators, jewelers, manufacturers) trading through the Chamber.</w:t>
      </w:r>
    </w:p>
    <w:p>
      <w:pPr>
        <w:pStyle w:val="ListParagraph"/>
        <w:numPr>
          <w:ilvl w:val="0"/>
          <w:numId w:val="1"/>
        </w:numPr>
        <w:spacing w:after="80" w:line="300" w:lineRule="auto"/>
        <w:jc w:val="left"/>
      </w:pPr>
      <w:r>
        <w:rPr>
          <w:rFonts w:ascii="Calibri"/>
          <w:b/>
          <w:bCs/>
          <w:color w:val="1A1A1A"/>
          <w:sz w:val="22"/>
          <w:szCs w:val="22"/>
        </w:rPr>
        <w:t xml:space="preserve">Economic buyers: </w:t>
      </w:r>
      <w:r>
        <w:rPr>
          <w:rFonts w:ascii="Calibri"/>
          <w:color w:val="1A1A1A"/>
          <w:sz w:val="22"/>
          <w:szCs w:val="22"/>
        </w:rPr>
        <w:t xml:space="preserve">The trading member firms themselves (they pay the transaction and subscription fees).</w:t>
      </w:r>
    </w:p>
    <w:p>
      <w:pPr>
        <w:pStyle w:val="ListParagraph"/>
        <w:numPr>
          <w:ilvl w:val="0"/>
          <w:numId w:val="1"/>
        </w:numPr>
        <w:spacing w:after="80" w:line="300" w:lineRule="auto"/>
        <w:jc w:val="left"/>
      </w:pPr>
      <w:r>
        <w:rPr>
          <w:rFonts w:ascii="Calibri"/>
          <w:b/>
          <w:bCs/>
          <w:color w:val="1A1A1A"/>
          <w:sz w:val="22"/>
          <w:szCs w:val="22"/>
        </w:rPr>
        <w:t xml:space="preserve">Channel partner: </w:t>
      </w:r>
      <w:r>
        <w:rPr>
          <w:rFonts w:ascii="Calibri"/>
          <w:color w:val="1A1A1A"/>
          <w:sz w:val="22"/>
          <w:szCs w:val="22"/>
        </w:rPr>
        <w:t xml:space="preserve">Ghana Chamber of Gold Buyers — owns member relationships, governance, and brand; receives a 30% revenue share but makes no upfront investment.</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Locked (matches the original proposal).</w:t>
      </w:r>
    </w:p>
    <w:p>
      <w:pPr>
        <w:pStyle w:val="Heading2"/>
        <w:spacing w:after="160" w:before="360" w:line="340" w:lineRule="atLeast"/>
      </w:pPr>
      <w:bookmarkStart w:id="100003" w:name="_Toc100003"/>
      <w:r>
        <w:rPr>
          <w:rFonts w:ascii="Calibri"/>
          <w:b/>
          <w:bCs/>
          <w:color w:val="1A1A1A"/>
          <w:sz w:val="28"/>
          <w:szCs w:val="28"/>
        </w:rPr>
        <w:t xml:space="preserve">Budget, Timeline &amp; Runway</w:t>
      </w:r>
      <w:bookmarkEnd w:id="100003"/>
    </w:p>
    <w:p>
      <w:pPr>
        <w:pStyle w:val="ListParagraph"/>
        <w:numPr>
          <w:ilvl w:val="0"/>
          <w:numId w:val="1"/>
        </w:numPr>
        <w:spacing w:after="80" w:line="300" w:lineRule="auto"/>
        <w:jc w:val="left"/>
      </w:pPr>
      <w:r>
        <w:rPr>
          <w:rFonts w:ascii="Calibri"/>
          <w:b/>
          <w:bCs/>
          <w:color w:val="1A1A1A"/>
          <w:sz w:val="22"/>
          <w:szCs w:val="22"/>
        </w:rPr>
        <w:t xml:space="preserve">CapEx ceiling: </w:t>
      </w:r>
      <w:r>
        <w:rPr>
          <w:rFonts w:ascii="Calibri"/>
          <w:color w:val="1A1A1A"/>
          <w:sz w:val="22"/>
          <w:szCs w:val="22"/>
        </w:rPr>
        <w:t xml:space="preserve">US$450,000 for Phase 1 (Digital Member Portal) and Phase 2 (Trading Platform), including a 15% contingency reserve.</w:t>
      </w:r>
    </w:p>
    <w:p>
      <w:pPr>
        <w:pStyle w:val="ListParagraph"/>
        <w:numPr>
          <w:ilvl w:val="0"/>
          <w:numId w:val="1"/>
        </w:numPr>
        <w:spacing w:after="80" w:line="300" w:lineRule="auto"/>
        <w:jc w:val="left"/>
      </w:pPr>
      <w:r>
        <w:rPr>
          <w:rFonts w:ascii="Calibri"/>
          <w:b/>
          <w:bCs/>
          <w:color w:val="1A1A1A"/>
          <w:sz w:val="22"/>
          <w:szCs w:val="22"/>
        </w:rPr>
        <w:t xml:space="preserve">Target MVP launch: </w:t>
      </w:r>
      <w:r>
        <w:rPr>
          <w:rFonts w:ascii="Calibri"/>
          <w:color w:val="1A1A1A"/>
          <w:sz w:val="22"/>
          <w:szCs w:val="22"/>
        </w:rPr>
        <w:t xml:space="preserve">Q1 2027 (12-month build from August 2026).</w:t>
      </w:r>
    </w:p>
    <w:p>
      <w:pPr>
        <w:pStyle w:val="ListParagraph"/>
        <w:numPr>
          <w:ilvl w:val="0"/>
          <w:numId w:val="1"/>
        </w:numPr>
        <w:spacing w:after="80" w:line="300" w:lineRule="auto"/>
        <w:jc w:val="left"/>
      </w:pPr>
      <w:r>
        <w:rPr>
          <w:rFonts w:ascii="Calibri"/>
          <w:b/>
          <w:bCs/>
          <w:color w:val="1A1A1A"/>
          <w:sz w:val="22"/>
          <w:szCs w:val="22"/>
        </w:rPr>
        <w:t xml:space="preserve">Operational runway: </w:t>
      </w:r>
      <w:r>
        <w:rPr>
          <w:rFonts w:ascii="Calibri"/>
          <w:color w:val="1A1A1A"/>
          <w:sz w:val="22"/>
          <w:szCs w:val="22"/>
        </w:rPr>
        <w:t xml:space="preserve">18 months of OpEx funding secured post-launch (i.e., through Q3 2028), sufficient to reach break-even at month 22.</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Locked.</w:t>
      </w:r>
    </w:p>
    <w:p>
      <w:pPr>
        <w:pStyle w:val="Heading2"/>
        <w:spacing w:after="160" w:before="360" w:line="340" w:lineRule="atLeast"/>
      </w:pPr>
      <w:bookmarkStart w:id="100004" w:name="_Toc100004"/>
      <w:r>
        <w:rPr>
          <w:rFonts w:ascii="Calibri"/>
          <w:b/>
          <w:bCs/>
          <w:color w:val="1A1A1A"/>
          <w:sz w:val="28"/>
          <w:szCs w:val="28"/>
        </w:rPr>
        <w:t xml:space="preserve">Monetization Model</w:t>
      </w:r>
      <w:bookmarkEnd w:id="100004"/>
    </w:p>
    <w:p>
      <w:pPr>
        <w:pStyle w:val="ListParagraph"/>
        <w:numPr>
          <w:ilvl w:val="0"/>
          <w:numId w:val="1"/>
        </w:numPr>
        <w:spacing w:after="80" w:line="300" w:lineRule="auto"/>
        <w:jc w:val="left"/>
      </w:pPr>
      <w:r>
        <w:rPr>
          <w:rFonts w:ascii="Calibri"/>
          <w:b/>
          <w:bCs/>
          <w:color w:val="1A1A1A"/>
          <w:sz w:val="22"/>
          <w:szCs w:val="22"/>
        </w:rPr>
        <w:t xml:space="preserve">Hybrid SaaS with revenue sharing. </w:t>
      </w:r>
      <w:r>
        <w:rPr>
          <w:rFonts w:ascii="Calibri"/>
          <w:color w:val="1A1A1A"/>
          <w:sz w:val="22"/>
          <w:szCs w:val="22"/>
        </w:rPr>
        <w:t xml:space="preserve">0.10% transaction fee per side (buyer + seller), tiered subscriptions (Free / Professional US$100/month / Enterprise US$500+ per month), and value-added service fees for escrow, logistics coordination, assay certification, and market intelligence.</w:t>
      </w:r>
    </w:p>
    <w:p>
      <w:pPr>
        <w:pStyle w:val="ListParagraph"/>
        <w:numPr>
          <w:ilvl w:val="0"/>
          <w:numId w:val="1"/>
        </w:numPr>
        <w:spacing w:after="80" w:line="300" w:lineRule="auto"/>
        <w:jc w:val="left"/>
      </w:pPr>
      <w:r>
        <w:rPr>
          <w:rFonts w:ascii="Calibri"/>
          <w:b/>
          <w:bCs/>
          <w:color w:val="1A1A1A"/>
          <w:sz w:val="22"/>
          <w:szCs w:val="22"/>
        </w:rPr>
        <w:t xml:space="preserve">Revenue split: </w:t>
      </w:r>
      <w:r>
        <w:rPr>
          <w:rFonts w:ascii="Calibri"/>
          <w:color w:val="1A1A1A"/>
          <w:sz w:val="22"/>
          <w:szCs w:val="22"/>
        </w:rPr>
        <w:t xml:space="preserve">70% to Sahel Systems, 30% to the Chamber — reflecting that the IT company bears 100% of the technology, hosting, support, and operations costs.</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Locked (matches the original proposal's recommended Option B).</w:t>
      </w:r>
    </w:p>
    <w:p>
      <w:pPr>
        <w:pStyle w:val="Heading2"/>
        <w:spacing w:after="160" w:before="360" w:line="340" w:lineRule="atLeast"/>
      </w:pPr>
      <w:bookmarkStart w:id="100005" w:name="_Toc100005"/>
      <w:r>
        <w:rPr>
          <w:rFonts w:ascii="Calibri"/>
          <w:b/>
          <w:bCs/>
          <w:color w:val="1A1A1A"/>
          <w:sz w:val="28"/>
          <w:szCs w:val="28"/>
        </w:rPr>
        <w:t xml:space="preserve">Compliance &amp; Technical Dependencies</w:t>
      </w:r>
      <w:bookmarkEnd w:id="100005"/>
    </w:p>
    <w:p>
      <w:pPr>
        <w:pStyle w:val="ListParagraph"/>
        <w:numPr>
          <w:ilvl w:val="0"/>
          <w:numId w:val="1"/>
        </w:numPr>
        <w:spacing w:after="80" w:line="300" w:lineRule="auto"/>
        <w:jc w:val="left"/>
      </w:pPr>
      <w:r>
        <w:rPr>
          <w:rFonts w:ascii="Calibri"/>
          <w:color w:val="1A1A1A"/>
          <w:sz w:val="22"/>
          <w:szCs w:val="22"/>
        </w:rPr>
        <w:t xml:space="preserve">Ghana AML Act 2020 (Act 1046) and FATF recommendations for Designated Non-Financial Businesses and Professions (DNFBPs).</w:t>
      </w:r>
    </w:p>
    <w:p>
      <w:pPr>
        <w:pStyle w:val="ListParagraph"/>
        <w:numPr>
          <w:ilvl w:val="0"/>
          <w:numId w:val="1"/>
        </w:numPr>
        <w:spacing w:after="80" w:line="300" w:lineRule="auto"/>
        <w:jc w:val="left"/>
      </w:pPr>
      <w:r>
        <w:rPr>
          <w:rFonts w:ascii="Calibri"/>
          <w:color w:val="1A1A1A"/>
          <w:sz w:val="22"/>
          <w:szCs w:val="22"/>
        </w:rPr>
        <w:t xml:space="preserve">Ghana Data Protection Act 2012 (Act 843), with GDPR-equivalence treatment for international Tier 1 buyers' data.</w:t>
      </w:r>
    </w:p>
    <w:p>
      <w:pPr>
        <w:pStyle w:val="ListParagraph"/>
        <w:numPr>
          <w:ilvl w:val="0"/>
          <w:numId w:val="1"/>
        </w:numPr>
        <w:spacing w:after="80" w:line="300" w:lineRule="auto"/>
        <w:jc w:val="left"/>
      </w:pPr>
      <w:r>
        <w:rPr>
          <w:rFonts w:ascii="Calibri"/>
          <w:color w:val="1A1A1A"/>
          <w:sz w:val="22"/>
          <w:szCs w:val="22"/>
        </w:rPr>
        <w:t xml:space="preserve">Ghana Minerals Commission licensing workflows and PMMC (Precious Minerals Marketing Company) export certification.</w:t>
      </w:r>
    </w:p>
    <w:p>
      <w:pPr>
        <w:pStyle w:val="ListParagraph"/>
        <w:numPr>
          <w:ilvl w:val="0"/>
          <w:numId w:val="1"/>
        </w:numPr>
        <w:spacing w:after="80" w:line="300" w:lineRule="auto"/>
        <w:jc w:val="left"/>
      </w:pPr>
      <w:r>
        <w:rPr>
          <w:rFonts w:ascii="Calibri"/>
          <w:color w:val="1A1A1A"/>
          <w:sz w:val="22"/>
          <w:szCs w:val="22"/>
        </w:rPr>
        <w:t xml:space="preserve">LBMA Responsible Gold Guidance and OECD Due Diligence Guidance for responsible mineral supply chains.</w:t>
      </w:r>
    </w:p>
    <w:p>
      <w:pPr>
        <w:pStyle w:val="ListParagraph"/>
        <w:numPr>
          <w:ilvl w:val="0"/>
          <w:numId w:val="1"/>
        </w:numPr>
        <w:spacing w:after="80" w:line="300" w:lineRule="auto"/>
        <w:jc w:val="left"/>
      </w:pPr>
      <w:r>
        <w:rPr>
          <w:rFonts w:ascii="Calibri"/>
          <w:color w:val="1A1A1A"/>
          <w:sz w:val="22"/>
          <w:szCs w:val="22"/>
        </w:rPr>
        <w:t xml:space="preserve">SOC 2 Type II attestation and ISO 27001 ISMS certification for the platform's data security posture.</w:t>
      </w:r>
    </w:p>
    <w:p>
      <w:pPr>
        <w:pStyle w:val="ListParagraph"/>
        <w:numPr>
          <w:ilvl w:val="0"/>
          <w:numId w:val="1"/>
        </w:numPr>
        <w:spacing w:after="80" w:line="300" w:lineRule="auto"/>
        <w:jc w:val="left"/>
      </w:pPr>
      <w:r>
        <w:rPr>
          <w:rFonts w:ascii="Calibri"/>
          <w:color w:val="1A1A1A"/>
          <w:sz w:val="22"/>
          <w:szCs w:val="22"/>
        </w:rPr>
        <w:t xml:space="preserve">PCI DSS Level 1 for the escrow and payment integration components.</w:t>
      </w:r>
    </w:p>
    <w:p>
      <w:pPr>
        <w:pStyle w:val="ListParagraph"/>
        <w:numPr>
          <w:ilvl w:val="0"/>
          <w:numId w:val="1"/>
        </w:numPr>
        <w:spacing w:after="80" w:line="300" w:lineRule="auto"/>
        <w:jc w:val="left"/>
      </w:pPr>
      <w:r>
        <w:rPr>
          <w:rFonts w:ascii="Calibri"/>
          <w:b/>
          <w:bCs/>
          <w:color w:val="1A1A1A"/>
          <w:sz w:val="22"/>
          <w:szCs w:val="22"/>
        </w:rPr>
        <w:t xml:space="preserve">Status: </w:t>
      </w:r>
      <w:r>
        <w:rPr>
          <w:rFonts w:ascii="Calibri"/>
          <w:color w:val="1A1A1A"/>
          <w:sz w:val="22"/>
          <w:szCs w:val="22"/>
        </w:rPr>
        <w:t xml:space="preserve">Locked. Third-party dependencies include AWS or Azure (Ghana region preferred), Smile Identity or Youverify for KYC, an LBMA-licensed bank for escrow, and LBMA PM Fix price feeds.</w:t>
      </w:r>
    </w:p>
    <w:p>
      <w:r>
        <w:br w:type="page"/>
      </w:r>
    </w:p>
    <w:p>
      <w:pPr>
        <w:spacing w:after="360" w:before="240"/>
        <w:jc w:val="center"/>
      </w:pPr>
      <w:r>
        <w:rPr>
          <w:rFonts w:ascii="Calibri"/>
          <w:b/>
          <w:bCs/>
          <w:color w:val="1A1A1A"/>
          <w:sz w:val="36"/>
          <w:szCs w:val="36"/>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Locked Assumptions</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Product &amp; Commercial Identity</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Customer Segment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Budget, Timeline &amp; Runway</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Monetization Model</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Compliance &amp; Technical Dependencies</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Executive Summary</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Document 1 — Value Proposition Canvas</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A. Customer Profile</w:t>
            </w:r>
            <w:r>
              <w:tab/>
            </w:r>
            <w:r>
              <w:fldChar w:fldCharType="begin"/>
            </w:r>
            <w:r>
              <w:instrText xml:space="preserve"> PAGEREF _Toc100008 \h </w:instrText>
            </w:r>
            <w:r>
              <w:fldChar w:fldCharType="separate"/>
            </w:r>
            <w:r>
              <w:t>6</w:t>
            </w:r>
            <w:r>
              <w:fldChar w:fldCharType="end"/>
            </w:r>
          </w:hyperlink>
        </w:p>
        <w:p>
          <w:pPr>
            <w:pStyle w:val="12"/>
            <w:ind w:left="720"/>
            <w:tabs>
              <w:tab w:val="right" w:leader="dot" w:pos="9026"/>
            </w:tabs>
            <w:spacing w:before="120" w:after="60"/>
          </w:pPr>
          <w:hyperlink w:anchor="_Toc100009" w:history="1">
            <w:r>
              <w:rPr>
                <w:rStyle w:val="Hyperlink"/>
              </w:rPr>
              <w:t>Customer Jobs</w:t>
            </w:r>
            <w:r>
              <w:tab/>
            </w:r>
            <w:r>
              <w:fldChar w:fldCharType="begin"/>
            </w:r>
            <w:r>
              <w:instrText xml:space="preserve"> PAGEREF _Toc100009 \h </w:instrText>
            </w:r>
            <w:r>
              <w:fldChar w:fldCharType="separate"/>
            </w:r>
            <w:r>
              <w:t>7</w:t>
            </w:r>
            <w:r>
              <w:fldChar w:fldCharType="end"/>
            </w:r>
          </w:hyperlink>
        </w:p>
        <w:p>
          <w:pPr>
            <w:pStyle w:val="12"/>
            <w:ind w:left="720"/>
            <w:tabs>
              <w:tab w:val="right" w:leader="dot" w:pos="9026"/>
            </w:tabs>
            <w:spacing w:before="120" w:after="60"/>
          </w:pPr>
          <w:hyperlink w:anchor="_Toc100010" w:history="1">
            <w:r>
              <w:rPr>
                <w:rStyle w:val="Hyperlink"/>
              </w:rPr>
              <w:t>Pains</w:t>
            </w:r>
            <w:r>
              <w:tab/>
            </w:r>
            <w:r>
              <w:fldChar w:fldCharType="begin"/>
            </w:r>
            <w:r>
              <w:instrText xml:space="preserve"> PAGEREF _Toc100010 \h </w:instrText>
            </w:r>
            <w:r>
              <w:fldChar w:fldCharType="separate"/>
            </w:r>
            <w:r>
              <w:t>7</w:t>
            </w:r>
            <w:r>
              <w:fldChar w:fldCharType="end"/>
            </w:r>
          </w:hyperlink>
        </w:p>
        <w:p>
          <w:pPr>
            <w:pStyle w:val="12"/>
            <w:ind w:left="720"/>
            <w:tabs>
              <w:tab w:val="right" w:leader="dot" w:pos="9026"/>
            </w:tabs>
            <w:spacing w:before="120" w:after="60"/>
          </w:pPr>
          <w:hyperlink w:anchor="_Toc100011" w:history="1">
            <w:r>
              <w:rPr>
                <w:rStyle w:val="Hyperlink"/>
              </w:rPr>
              <w:t>Gains</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B. Value Map</w:t>
            </w:r>
            <w:r>
              <w:tab/>
            </w:r>
            <w:r>
              <w:fldChar w:fldCharType="begin"/>
            </w:r>
            <w:r>
              <w:instrText xml:space="preserve"> PAGEREF _Toc100012 \h </w:instrText>
            </w:r>
            <w:r>
              <w:fldChar w:fldCharType="separate"/>
            </w:r>
            <w:r>
              <w:t>8</w:t>
            </w:r>
            <w:r>
              <w:fldChar w:fldCharType="end"/>
            </w:r>
          </w:hyperlink>
        </w:p>
        <w:p>
          <w:pPr>
            <w:pStyle w:val="12"/>
            <w:ind w:left="720"/>
            <w:tabs>
              <w:tab w:val="right" w:leader="dot" w:pos="9026"/>
            </w:tabs>
            <w:spacing w:before="120" w:after="60"/>
          </w:pPr>
          <w:hyperlink w:anchor="_Toc100013" w:history="1">
            <w:r>
              <w:rPr>
                <w:rStyle w:val="Hyperlink"/>
              </w:rPr>
              <w:t>Products &amp; Services (MVP Scope)</w:t>
            </w:r>
            <w:r>
              <w:tab/>
            </w:r>
            <w:r>
              <w:fldChar w:fldCharType="begin"/>
            </w:r>
            <w:r>
              <w:instrText xml:space="preserve"> PAGEREF _Toc100013 \h </w:instrText>
            </w:r>
            <w:r>
              <w:fldChar w:fldCharType="separate"/>
            </w:r>
            <w:r>
              <w:t>8</w:t>
            </w:r>
            <w:r>
              <w:fldChar w:fldCharType="end"/>
            </w:r>
          </w:hyperlink>
        </w:p>
        <w:p>
          <w:pPr>
            <w:pStyle w:val="12"/>
            <w:ind w:left="720"/>
            <w:tabs>
              <w:tab w:val="right" w:leader="dot" w:pos="9026"/>
            </w:tabs>
            <w:spacing w:before="120" w:after="60"/>
          </w:pPr>
          <w:hyperlink w:anchor="_Toc100014" w:history="1">
            <w:r>
              <w:rPr>
                <w:rStyle w:val="Hyperlink"/>
              </w:rPr>
              <w:t>Pain Relievers</w:t>
            </w:r>
            <w:r>
              <w:tab/>
            </w:r>
            <w:r>
              <w:fldChar w:fldCharType="begin"/>
            </w:r>
            <w:r>
              <w:instrText xml:space="preserve"> PAGEREF _Toc100014 \h </w:instrText>
            </w:r>
            <w:r>
              <w:fldChar w:fldCharType="separate"/>
            </w:r>
            <w:r>
              <w:t>9</w:t>
            </w:r>
            <w:r>
              <w:fldChar w:fldCharType="end"/>
            </w:r>
          </w:hyperlink>
        </w:p>
        <w:p>
          <w:pPr>
            <w:pStyle w:val="12"/>
            <w:ind w:left="720"/>
            <w:tabs>
              <w:tab w:val="right" w:leader="dot" w:pos="9026"/>
            </w:tabs>
            <w:spacing w:before="120" w:after="60"/>
          </w:pPr>
          <w:hyperlink w:anchor="_Toc100015" w:history="1">
            <w:r>
              <w:rPr>
                <w:rStyle w:val="Hyperlink"/>
              </w:rPr>
              <w:t>Gain Creators</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C. The Fit Statement</w:t>
            </w:r>
            <w:r>
              <w:tab/>
            </w:r>
            <w:r>
              <w:fldChar w:fldCharType="begin"/>
            </w:r>
            <w:r>
              <w:instrText xml:space="preserve"> PAGEREF _Toc100016 \h </w:instrText>
            </w:r>
            <w:r>
              <w:fldChar w:fldCharType="separate"/>
            </w:r>
            <w:r>
              <w:t>10</w:t>
            </w:r>
            <w:r>
              <w:fldChar w:fldCharType="end"/>
            </w:r>
          </w:hyperlink>
        </w:p>
        <w:p>
          <w:pPr>
            <w:pStyle w:val="9"/>
            <w:tabs>
              <w:tab w:val="right" w:leader="dot" w:pos="9026"/>
            </w:tabs>
            <w:spacing w:before="120" w:after="60"/>
          </w:pPr>
          <w:hyperlink w:anchor="_Toc100017" w:history="1">
            <w:r>
              <w:rPr>
                <w:rStyle w:val="Hyperlink"/>
              </w:rPr>
              <w:t>Document 2 — Business Model Canvas</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1. Customer Segments</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2. Value Propositions</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3. Channels</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4. Customer Relationships</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5. Revenue Streams</w:t>
            </w:r>
            <w:r>
              <w:tab/>
            </w:r>
            <w:r>
              <w:fldChar w:fldCharType="begin"/>
            </w:r>
            <w:r>
              <w:instrText xml:space="preserve"> PAGEREF _Toc100022 \h </w:instrText>
            </w:r>
            <w:r>
              <w:fldChar w:fldCharType="separate"/>
            </w:r>
            <w:r>
              <w:t>14</w:t>
            </w:r>
            <w:r>
              <w:fldChar w:fldCharType="end"/>
            </w:r>
          </w:hyperlink>
        </w:p>
        <w:p>
          <w:pPr>
            <w:pStyle w:val="11"/>
            <w:ind w:left="360"/>
            <w:tabs>
              <w:tab w:val="right" w:leader="dot" w:pos="9026"/>
            </w:tabs>
            <w:spacing w:before="120" w:after="60"/>
          </w:pPr>
          <w:hyperlink w:anchor="_Toc100023" w:history="1">
            <w:r>
              <w:rPr>
                <w:rStyle w:val="Hyperlink"/>
              </w:rPr>
              <w:t>6. Key Activities</w:t>
            </w:r>
            <w:r>
              <w:tab/>
            </w:r>
            <w:r>
              <w:fldChar w:fldCharType="begin"/>
            </w:r>
            <w:r>
              <w:instrText xml:space="preserve"> PAGEREF _Toc100023 \h </w:instrText>
            </w:r>
            <w:r>
              <w:fldChar w:fldCharType="separate"/>
            </w:r>
            <w:r>
              <w:t>14</w:t>
            </w:r>
            <w:r>
              <w:fldChar w:fldCharType="end"/>
            </w:r>
          </w:hyperlink>
        </w:p>
        <w:p>
          <w:pPr>
            <w:pStyle w:val="11"/>
            <w:ind w:left="360"/>
            <w:tabs>
              <w:tab w:val="right" w:leader="dot" w:pos="9026"/>
            </w:tabs>
            <w:spacing w:before="120" w:after="60"/>
          </w:pPr>
          <w:hyperlink w:anchor="_Toc100024" w:history="1">
            <w:r>
              <w:rPr>
                <w:rStyle w:val="Hyperlink"/>
              </w:rPr>
              <w:t>7. Key Resources</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8. Key Partnerships</w:t>
            </w:r>
            <w:r>
              <w:tab/>
            </w:r>
            <w:r>
              <w:fldChar w:fldCharType="begin"/>
            </w:r>
            <w:r>
              <w:instrText xml:space="preserve"> PAGEREF _Toc100025 \h </w:instrText>
            </w:r>
            <w:r>
              <w:fldChar w:fldCharType="separate"/>
            </w:r>
            <w:r>
              <w:t>16</w:t>
            </w:r>
            <w:r>
              <w:fldChar w:fldCharType="end"/>
            </w:r>
          </w:hyperlink>
        </w:p>
        <w:p>
          <w:pPr>
            <w:pStyle w:val="11"/>
            <w:ind w:left="360"/>
            <w:tabs>
              <w:tab w:val="right" w:leader="dot" w:pos="9026"/>
            </w:tabs>
            <w:spacing w:before="120" w:after="60"/>
          </w:pPr>
          <w:hyperlink w:anchor="_Toc100026" w:history="1">
            <w:r>
              <w:rPr>
                <w:rStyle w:val="Hyperlink"/>
              </w:rPr>
              <w:t>9. Cost Structure</w:t>
            </w:r>
            <w:r>
              <w:tab/>
            </w:r>
            <w:r>
              <w:fldChar w:fldCharType="begin"/>
            </w:r>
            <w:r>
              <w:instrText xml:space="preserve"> PAGEREF _Toc100026 \h </w:instrText>
            </w:r>
            <w:r>
              <w:fldChar w:fldCharType="separate"/>
            </w:r>
            <w:r>
              <w:t>17</w:t>
            </w:r>
            <w:r>
              <w:fldChar w:fldCharType="end"/>
            </w:r>
          </w:hyperlink>
        </w:p>
        <w:p>
          <w:pPr>
            <w:pStyle w:val="9"/>
            <w:tabs>
              <w:tab w:val="right" w:leader="dot" w:pos="9026"/>
            </w:tabs>
            <w:spacing w:before="120" w:after="60"/>
          </w:pPr>
          <w:hyperlink w:anchor="_Toc100027" w:history="1">
            <w:r>
              <w:rPr>
                <w:rStyle w:val="Hyperlink"/>
              </w:rPr>
              <w:t>Document 3 — Financial Documentation</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A. Development &amp; Launch Budget (CapEx)</w:t>
            </w:r>
            <w:r>
              <w:tab/>
            </w:r>
            <w:r>
              <w:fldChar w:fldCharType="begin"/>
            </w:r>
            <w:r>
              <w:instrText xml:space="preserve"> PAGEREF _Toc100028 \h </w:instrText>
            </w:r>
            <w:r>
              <w:fldChar w:fldCharType="separate"/>
            </w:r>
            <w:r>
              <w:t>17</w:t>
            </w:r>
            <w:r>
              <w:fldChar w:fldCharType="end"/>
            </w:r>
          </w:hyperlink>
        </w:p>
        <w:p>
          <w:pPr>
            <w:pStyle w:val="11"/>
            <w:ind w:left="360"/>
            <w:tabs>
              <w:tab w:val="right" w:leader="dot" w:pos="9026"/>
            </w:tabs>
            <w:spacing w:before="120" w:after="60"/>
          </w:pPr>
          <w:hyperlink w:anchor="_Toc100029" w:history="1">
            <w:r>
              <w:rPr>
                <w:rStyle w:val="Hyperlink"/>
              </w:rPr>
              <w:t>B. Operational Expenses (OpEx / Monthly Burn Rate)</w:t>
            </w:r>
            <w:r>
              <w:tab/>
            </w:r>
            <w:r>
              <w:fldChar w:fldCharType="begin"/>
            </w:r>
            <w:r>
              <w:instrText xml:space="preserve"> PAGEREF _Toc100029 \h </w:instrText>
            </w:r>
            <w:r>
              <w:fldChar w:fldCharType="separate"/>
            </w:r>
            <w:r>
              <w:t>18</w:t>
            </w:r>
            <w:r>
              <w:fldChar w:fldCharType="end"/>
            </w:r>
          </w:hyperlink>
        </w:p>
        <w:p>
          <w:pPr>
            <w:pStyle w:val="11"/>
            <w:ind w:left="360"/>
            <w:tabs>
              <w:tab w:val="right" w:leader="dot" w:pos="9026"/>
            </w:tabs>
            <w:spacing w:before="120" w:after="60"/>
          </w:pPr>
          <w:hyperlink w:anchor="_Toc100030" w:history="1">
            <w:r>
              <w:rPr>
                <w:rStyle w:val="Hyperlink"/>
              </w:rPr>
              <w:t>C. Funding Source &amp; Accounting Treatment</w:t>
            </w:r>
            <w:r>
              <w:tab/>
            </w:r>
            <w:r>
              <w:fldChar w:fldCharType="begin"/>
            </w:r>
            <w:r>
              <w:instrText xml:space="preserve"> PAGEREF _Toc100030 \h </w:instrText>
            </w:r>
            <w:r>
              <w:fldChar w:fldCharType="separate"/>
            </w:r>
            <w:r>
              <w:t>19</w:t>
            </w:r>
            <w:r>
              <w:fldChar w:fldCharType="end"/>
            </w:r>
          </w:hyperlink>
        </w:p>
        <w:p>
          <w:pPr>
            <w:pStyle w:val="11"/>
            <w:ind w:left="360"/>
            <w:tabs>
              <w:tab w:val="right" w:leader="dot" w:pos="9026"/>
            </w:tabs>
            <w:spacing w:before="120" w:after="60"/>
          </w:pPr>
          <w:hyperlink w:anchor="_Toc100031" w:history="1">
            <w:r>
              <w:rPr>
                <w:rStyle w:val="Hyperlink"/>
              </w:rPr>
              <w:t>D. Revenue Projections (5 Years)</w:t>
            </w:r>
            <w:r>
              <w:tab/>
            </w:r>
            <w:r>
              <w:fldChar w:fldCharType="begin"/>
            </w:r>
            <w:r>
              <w:instrText xml:space="preserve"> PAGEREF _Toc100031 \h </w:instrText>
            </w:r>
            <w:r>
              <w:fldChar w:fldCharType="separate"/>
            </w:r>
            <w:r>
              <w:t>19</w:t>
            </w:r>
            <w:r>
              <w:fldChar w:fldCharType="end"/>
            </w:r>
          </w:hyperlink>
        </w:p>
        <w:p>
          <w:pPr>
            <w:pStyle w:val="12"/>
            <w:ind w:left="720"/>
            <w:tabs>
              <w:tab w:val="right" w:leader="dot" w:pos="9026"/>
            </w:tabs>
            <w:spacing w:before="120" w:after="60"/>
          </w:pPr>
          <w:hyperlink w:anchor="_Toc100032" w:history="1">
            <w:r>
              <w:rPr>
                <w:rStyle w:val="Hyperlink"/>
              </w:rPr>
              <w:t>Top-Down: TAM → SAM → SOM</w:t>
            </w:r>
            <w:r>
              <w:tab/>
            </w:r>
            <w:r>
              <w:fldChar w:fldCharType="begin"/>
            </w:r>
            <w:r>
              <w:instrText xml:space="preserve"> PAGEREF _Toc100032 \h </w:instrText>
            </w:r>
            <w:r>
              <w:fldChar w:fldCharType="separate"/>
            </w:r>
            <w:r>
              <w:t>19</w:t>
            </w:r>
            <w:r>
              <w:fldChar w:fldCharType="end"/>
            </w:r>
          </w:hyperlink>
        </w:p>
        <w:p>
          <w:pPr>
            <w:pStyle w:val="12"/>
            <w:ind w:left="720"/>
            <w:tabs>
              <w:tab w:val="right" w:leader="dot" w:pos="9026"/>
            </w:tabs>
            <w:spacing w:before="120" w:after="60"/>
          </w:pPr>
          <w:hyperlink w:anchor="_Toc100033" w:history="1">
            <w:r>
              <w:rPr>
                <w:rStyle w:val="Hyperlink"/>
              </w:rPr>
              <w:t>Bottom-Up: Members × ARPU × Retention × Volume</w:t>
            </w:r>
            <w:r>
              <w:tab/>
            </w:r>
            <w:r>
              <w:fldChar w:fldCharType="begin"/>
            </w:r>
            <w:r>
              <w:instrText xml:space="preserve"> PAGEREF _Toc100033 \h </w:instrText>
            </w:r>
            <w:r>
              <w:fldChar w:fldCharType="separate"/>
            </w:r>
            <w:r>
              <w:t>20</w:t>
            </w:r>
            <w:r>
              <w:fldChar w:fldCharType="end"/>
            </w:r>
          </w:hyperlink>
        </w:p>
        <w:p>
          <w:pPr>
            <w:pStyle w:val="12"/>
            <w:ind w:left="720"/>
            <w:tabs>
              <w:tab w:val="right" w:leader="dot" w:pos="9026"/>
            </w:tabs>
            <w:spacing w:before="120" w:after="60"/>
          </w:pPr>
          <w:hyperlink w:anchor="_Toc100034" w:history="1">
            <w:r>
              <w:rPr>
                <w:rStyle w:val="Hyperlink"/>
              </w:rPr>
              <w:t>Churn Rate and Net Revenue Retention</w:t>
            </w:r>
            <w:r>
              <w:tab/>
            </w:r>
            <w:r>
              <w:fldChar w:fldCharType="begin"/>
            </w:r>
            <w:r>
              <w:instrText xml:space="preserve"> PAGEREF _Toc100034 \h </w:instrText>
            </w:r>
            <w:r>
              <w:fldChar w:fldCharType="separate"/>
            </w:r>
            <w:r>
              <w:t>21</w:t>
            </w:r>
            <w:r>
              <w:fldChar w:fldCharType="end"/>
            </w:r>
          </w:hyperlink>
        </w:p>
        <w:p>
          <w:pPr>
            <w:pStyle w:val="11"/>
            <w:ind w:left="360"/>
            <w:tabs>
              <w:tab w:val="right" w:leader="dot" w:pos="9026"/>
            </w:tabs>
            <w:spacing w:before="120" w:after="60"/>
          </w:pPr>
          <w:hyperlink w:anchor="_Toc100035" w:history="1">
            <w:r>
              <w:rPr>
                <w:rStyle w:val="Hyperlink"/>
              </w:rPr>
              <w:t>E. Key Financial Metrics</w:t>
            </w:r>
            <w:r>
              <w:tab/>
            </w:r>
            <w:r>
              <w:fldChar w:fldCharType="begin"/>
            </w:r>
            <w:r>
              <w:instrText xml:space="preserve"> PAGEREF _Toc100035 \h </w:instrText>
            </w:r>
            <w:r>
              <w:fldChar w:fldCharType="separate"/>
            </w:r>
            <w:r>
              <w:t>21</w:t>
            </w:r>
            <w:r>
              <w:fldChar w:fldCharType="end"/>
            </w:r>
          </w:hyperlink>
        </w:p>
        <w:p>
          <w:pPr>
            <w:pStyle w:val="12"/>
            <w:ind w:left="720"/>
            <w:tabs>
              <w:tab w:val="right" w:leader="dot" w:pos="9026"/>
            </w:tabs>
            <w:spacing w:before="120" w:after="60"/>
          </w:pPr>
          <w:hyperlink w:anchor="_Toc100036" w:history="1">
            <w:r>
              <w:rPr>
                <w:rStyle w:val="Hyperlink"/>
              </w:rPr>
              <w:t>Customer Acquisition Cost (CAC)</w:t>
            </w:r>
            <w:r>
              <w:tab/>
            </w:r>
            <w:r>
              <w:fldChar w:fldCharType="begin"/>
            </w:r>
            <w:r>
              <w:instrText xml:space="preserve"> PAGEREF _Toc100036 \h </w:instrText>
            </w:r>
            <w:r>
              <w:fldChar w:fldCharType="separate"/>
            </w:r>
            <w:r>
              <w:t>21</w:t>
            </w:r>
            <w:r>
              <w:fldChar w:fldCharType="end"/>
            </w:r>
          </w:hyperlink>
        </w:p>
        <w:p>
          <w:pPr>
            <w:pStyle w:val="12"/>
            <w:ind w:left="720"/>
            <w:tabs>
              <w:tab w:val="right" w:leader="dot" w:pos="9026"/>
            </w:tabs>
            <w:spacing w:before="120" w:after="60"/>
          </w:pPr>
          <w:hyperlink w:anchor="_Toc100037" w:history="1">
            <w:r>
              <w:rPr>
                <w:rStyle w:val="Hyperlink"/>
              </w:rPr>
              <w:t>Lifetime Value (LTV)</w:t>
            </w:r>
            <w:r>
              <w:tab/>
            </w:r>
            <w:r>
              <w:fldChar w:fldCharType="begin"/>
            </w:r>
            <w:r>
              <w:instrText xml:space="preserve"> PAGEREF _Toc100037 \h </w:instrText>
            </w:r>
            <w:r>
              <w:fldChar w:fldCharType="separate"/>
            </w:r>
            <w:r>
              <w:t>21</w:t>
            </w:r>
            <w:r>
              <w:fldChar w:fldCharType="end"/>
            </w:r>
          </w:hyperlink>
        </w:p>
        <w:p>
          <w:pPr>
            <w:pStyle w:val="12"/>
            <w:ind w:left="720"/>
            <w:tabs>
              <w:tab w:val="right" w:leader="dot" w:pos="9026"/>
            </w:tabs>
            <w:spacing w:before="120" w:after="60"/>
          </w:pPr>
          <w:hyperlink w:anchor="_Toc100038" w:history="1">
            <w:r>
              <w:rPr>
                <w:rStyle w:val="Hyperlink"/>
              </w:rPr>
              <w:t>LTV:CAC Ratio</w:t>
            </w:r>
            <w:r>
              <w:tab/>
            </w:r>
            <w:r>
              <w:fldChar w:fldCharType="begin"/>
            </w:r>
            <w:r>
              <w:instrText xml:space="preserve"> PAGEREF _Toc100038 \h </w:instrText>
            </w:r>
            <w:r>
              <w:fldChar w:fldCharType="separate"/>
            </w:r>
            <w:r>
              <w:t>21</w:t>
            </w:r>
            <w:r>
              <w:fldChar w:fldCharType="end"/>
            </w:r>
          </w:hyperlink>
        </w:p>
        <w:p>
          <w:pPr>
            <w:pStyle w:val="12"/>
            <w:ind w:left="720"/>
            <w:tabs>
              <w:tab w:val="right" w:leader="dot" w:pos="9026"/>
            </w:tabs>
            <w:spacing w:before="120" w:after="60"/>
          </w:pPr>
          <w:hyperlink w:anchor="_Toc100039" w:history="1">
            <w:r>
              <w:rPr>
                <w:rStyle w:val="Hyperlink"/>
              </w:rPr>
              <w:t>CAC Payback Period</w:t>
            </w:r>
            <w:r>
              <w:tab/>
            </w:r>
            <w:r>
              <w:fldChar w:fldCharType="begin"/>
            </w:r>
            <w:r>
              <w:instrText xml:space="preserve"> PAGEREF _Toc100039 \h </w:instrText>
            </w:r>
            <w:r>
              <w:fldChar w:fldCharType="separate"/>
            </w:r>
            <w:r>
              <w:t>22</w:t>
            </w:r>
            <w:r>
              <w:fldChar w:fldCharType="end"/>
            </w:r>
          </w:hyperlink>
        </w:p>
        <w:p>
          <w:pPr>
            <w:pStyle w:val="12"/>
            <w:ind w:left="720"/>
            <w:tabs>
              <w:tab w:val="right" w:leader="dot" w:pos="9026"/>
            </w:tabs>
            <w:spacing w:before="120" w:after="60"/>
          </w:pPr>
          <w:hyperlink w:anchor="_Toc100040" w:history="1">
            <w:r>
              <w:rPr>
                <w:rStyle w:val="Hyperlink"/>
              </w:rPr>
              <w:t>Break-Even Analysis</w:t>
            </w:r>
            <w:r>
              <w:tab/>
            </w:r>
            <w:r>
              <w:fldChar w:fldCharType="begin"/>
            </w:r>
            <w:r>
              <w:instrText xml:space="preserve"> PAGEREF _Toc100040 \h </w:instrText>
            </w:r>
            <w:r>
              <w:fldChar w:fldCharType="separate"/>
            </w:r>
            <w:r>
              <w:t>22</w:t>
            </w:r>
            <w:r>
              <w:fldChar w:fldCharType="end"/>
            </w:r>
          </w:hyperlink>
        </w:p>
        <w:p>
          <w:pPr>
            <w:pStyle w:val="12"/>
            <w:ind w:left="720"/>
            <w:tabs>
              <w:tab w:val="right" w:leader="dot" w:pos="9026"/>
            </w:tabs>
            <w:spacing w:before="120" w:after="60"/>
          </w:pPr>
          <w:hyperlink w:anchor="_Toc100041" w:history="1">
            <w:r>
              <w:rPr>
                <w:rStyle w:val="Hyperlink"/>
              </w:rPr>
              <w:t>Cost of Doing Nothing</w:t>
            </w:r>
            <w:r>
              <w:tab/>
            </w:r>
            <w:r>
              <w:fldChar w:fldCharType="begin"/>
            </w:r>
            <w:r>
              <w:instrText xml:space="preserve"> PAGEREF _Toc100041 \h </w:instrText>
            </w:r>
            <w:r>
              <w:fldChar w:fldCharType="separate"/>
            </w:r>
            <w:r>
              <w:t>23</w:t>
            </w:r>
            <w:r>
              <w:fldChar w:fldCharType="end"/>
            </w:r>
          </w:hyperlink>
        </w:p>
        <w:p>
          <w:pPr>
            <w:pStyle w:val="11"/>
            <w:ind w:left="360"/>
            <w:tabs>
              <w:tab w:val="right" w:leader="dot" w:pos="9026"/>
            </w:tabs>
            <w:spacing w:before="120" w:after="60"/>
          </w:pPr>
          <w:hyperlink w:anchor="_Toc100042" w:history="1">
            <w:r>
              <w:rPr>
                <w:rStyle w:val="Hyperlink"/>
              </w:rPr>
              <w:t>F. Budget Tracking &amp; Governance</w:t>
            </w:r>
            <w:r>
              <w:tab/>
            </w:r>
            <w:r>
              <w:fldChar w:fldCharType="begin"/>
            </w:r>
            <w:r>
              <w:instrText xml:space="preserve"> PAGEREF _Toc100042 \h </w:instrText>
            </w:r>
            <w:r>
              <w:fldChar w:fldCharType="separate"/>
            </w:r>
            <w:r>
              <w:t>23</w:t>
            </w:r>
            <w:r>
              <w:fldChar w:fldCharType="end"/>
            </w:r>
          </w:hyperlink>
        </w:p>
        <w:p>
          <w:pPr>
            <w:pStyle w:val="9"/>
            <w:tabs>
              <w:tab w:val="right" w:leader="dot" w:pos="9026"/>
            </w:tabs>
            <w:spacing w:before="120" w:after="60"/>
          </w:pPr>
          <w:hyperlink w:anchor="_Toc100043" w:history="1">
            <w:r>
              <w:rPr>
                <w:rStyle w:val="Hyperlink"/>
              </w:rPr>
              <w:t>Document 4 — Project Charter</w:t>
            </w:r>
            <w:r>
              <w:tab/>
            </w:r>
            <w:r>
              <w:fldChar w:fldCharType="begin"/>
            </w:r>
            <w:r>
              <w:instrText xml:space="preserve"> PAGEREF _Toc100043 \h </w:instrText>
            </w:r>
            <w:r>
              <w:fldChar w:fldCharType="separate"/>
            </w:r>
            <w:r>
              <w:t>24</w:t>
            </w:r>
            <w:r>
              <w:fldChar w:fldCharType="end"/>
            </w:r>
          </w:hyperlink>
        </w:p>
        <w:p>
          <w:pPr>
            <w:pStyle w:val="11"/>
            <w:ind w:left="360"/>
            <w:tabs>
              <w:tab w:val="right" w:leader="dot" w:pos="9026"/>
            </w:tabs>
            <w:spacing w:before="120" w:after="60"/>
          </w:pPr>
          <w:hyperlink w:anchor="_Toc100044" w:history="1">
            <w:r>
              <w:rPr>
                <w:rStyle w:val="Hyperlink"/>
              </w:rPr>
              <w:t>1. Project Title &amp; Description</w:t>
            </w:r>
            <w:r>
              <w:tab/>
            </w:r>
            <w:r>
              <w:fldChar w:fldCharType="begin"/>
            </w:r>
            <w:r>
              <w:instrText xml:space="preserve"> PAGEREF _Toc100044 \h </w:instrText>
            </w:r>
            <w:r>
              <w:fldChar w:fldCharType="separate"/>
            </w:r>
            <w:r>
              <w:t>24</w:t>
            </w:r>
            <w:r>
              <w:fldChar w:fldCharType="end"/>
            </w:r>
          </w:hyperlink>
        </w:p>
        <w:p>
          <w:pPr>
            <w:pStyle w:val="11"/>
            <w:ind w:left="360"/>
            <w:tabs>
              <w:tab w:val="right" w:leader="dot" w:pos="9026"/>
            </w:tabs>
            <w:spacing w:before="120" w:after="60"/>
          </w:pPr>
          <w:hyperlink w:anchor="_Toc100045" w:history="1">
            <w:r>
              <w:rPr>
                <w:rStyle w:val="Hyperlink"/>
              </w:rPr>
              <w:t>2. Business Case Summary</w:t>
            </w:r>
            <w:r>
              <w:tab/>
            </w:r>
            <w:r>
              <w:fldChar w:fldCharType="begin"/>
            </w:r>
            <w:r>
              <w:instrText xml:space="preserve"> PAGEREF _Toc100045 \h </w:instrText>
            </w:r>
            <w:r>
              <w:fldChar w:fldCharType="separate"/>
            </w:r>
            <w:r>
              <w:t>24</w:t>
            </w:r>
            <w:r>
              <w:fldChar w:fldCharType="end"/>
            </w:r>
          </w:hyperlink>
        </w:p>
        <w:p>
          <w:pPr>
            <w:pStyle w:val="11"/>
            <w:ind w:left="360"/>
            <w:tabs>
              <w:tab w:val="right" w:leader="dot" w:pos="9026"/>
            </w:tabs>
            <w:spacing w:before="120" w:after="60"/>
          </w:pPr>
          <w:hyperlink w:anchor="_Toc100046" w:history="1">
            <w:r>
              <w:rPr>
                <w:rStyle w:val="Hyperlink"/>
              </w:rPr>
              <w:t>3. Objectives (SMART)</w:t>
            </w:r>
            <w:r>
              <w:tab/>
            </w:r>
            <w:r>
              <w:fldChar w:fldCharType="begin"/>
            </w:r>
            <w:r>
              <w:instrText xml:space="preserve"> PAGEREF _Toc100046 \h </w:instrText>
            </w:r>
            <w:r>
              <w:fldChar w:fldCharType="separate"/>
            </w:r>
            <w:r>
              <w:t>24</w:t>
            </w:r>
            <w:r>
              <w:fldChar w:fldCharType="end"/>
            </w:r>
          </w:hyperlink>
        </w:p>
        <w:p>
          <w:pPr>
            <w:pStyle w:val="11"/>
            <w:ind w:left="360"/>
            <w:tabs>
              <w:tab w:val="right" w:leader="dot" w:pos="9026"/>
            </w:tabs>
            <w:spacing w:before="120" w:after="60"/>
          </w:pPr>
          <w:hyperlink w:anchor="_Toc100047" w:history="1">
            <w:r>
              <w:rPr>
                <w:rStyle w:val="Hyperlink"/>
              </w:rPr>
              <w:t>4. Scope</w:t>
            </w:r>
            <w:r>
              <w:tab/>
            </w:r>
            <w:r>
              <w:fldChar w:fldCharType="begin"/>
            </w:r>
            <w:r>
              <w:instrText xml:space="preserve"> PAGEREF _Toc100047 \h </w:instrText>
            </w:r>
            <w:r>
              <w:fldChar w:fldCharType="separate"/>
            </w:r>
            <w:r>
              <w:t>25</w:t>
            </w:r>
            <w:r>
              <w:fldChar w:fldCharType="end"/>
            </w:r>
          </w:hyperlink>
        </w:p>
        <w:p>
          <w:pPr>
            <w:pStyle w:val="12"/>
            <w:ind w:left="720"/>
            <w:tabs>
              <w:tab w:val="right" w:leader="dot" w:pos="9026"/>
            </w:tabs>
            <w:spacing w:before="120" w:after="60"/>
          </w:pPr>
          <w:hyperlink w:anchor="_Toc100048" w:history="1">
            <w:r>
              <w:rPr>
                <w:rStyle w:val="Hyperlink"/>
              </w:rPr>
              <w:t>4.1 In-Scope (MVP — Phase 1 + Phase 2)</w:t>
            </w:r>
            <w:r>
              <w:tab/>
            </w:r>
            <w:r>
              <w:fldChar w:fldCharType="begin"/>
            </w:r>
            <w:r>
              <w:instrText xml:space="preserve"> PAGEREF _Toc100048 \h </w:instrText>
            </w:r>
            <w:r>
              <w:fldChar w:fldCharType="separate"/>
            </w:r>
            <w:r>
              <w:t>25</w:t>
            </w:r>
            <w:r>
              <w:fldChar w:fldCharType="end"/>
            </w:r>
          </w:hyperlink>
        </w:p>
        <w:p>
          <w:pPr>
            <w:pStyle w:val="12"/>
            <w:ind w:left="720"/>
            <w:tabs>
              <w:tab w:val="right" w:leader="dot" w:pos="9026"/>
            </w:tabs>
            <w:spacing w:before="120" w:after="60"/>
          </w:pPr>
          <w:hyperlink w:anchor="_Toc100049" w:history="1">
            <w:r>
              <w:rPr>
                <w:rStyle w:val="Hyperlink"/>
              </w:rPr>
              <w:t>4.2 Out-of-Scope (Deferred to Future Phases)</w:t>
            </w:r>
            <w:r>
              <w:tab/>
            </w:r>
            <w:r>
              <w:fldChar w:fldCharType="begin"/>
            </w:r>
            <w:r>
              <w:instrText xml:space="preserve"> PAGEREF _Toc100049 \h </w:instrText>
            </w:r>
            <w:r>
              <w:fldChar w:fldCharType="separate"/>
            </w:r>
            <w:r>
              <w:t>26</w:t>
            </w:r>
            <w:r>
              <w:fldChar w:fldCharType="end"/>
            </w:r>
          </w:hyperlink>
        </w:p>
        <w:p>
          <w:pPr>
            <w:pStyle w:val="12"/>
            <w:ind w:left="720"/>
            <w:tabs>
              <w:tab w:val="right" w:leader="dot" w:pos="9026"/>
            </w:tabs>
            <w:spacing w:before="120" w:after="60"/>
          </w:pPr>
          <w:hyperlink w:anchor="_Toc100050" w:history="1">
            <w:r>
              <w:rPr>
                <w:rStyle w:val="Hyperlink"/>
              </w:rPr>
              <w:t>4.3 Key Deliverables</w:t>
            </w:r>
            <w:r>
              <w:tab/>
            </w:r>
            <w:r>
              <w:fldChar w:fldCharType="begin"/>
            </w:r>
            <w:r>
              <w:instrText xml:space="preserve"> PAGEREF _Toc100050 \h </w:instrText>
            </w:r>
            <w:r>
              <w:fldChar w:fldCharType="separate"/>
            </w:r>
            <w:r>
              <w:t>27</w:t>
            </w:r>
            <w:r>
              <w:fldChar w:fldCharType="end"/>
            </w:r>
          </w:hyperlink>
        </w:p>
        <w:p>
          <w:pPr>
            <w:pStyle w:val="11"/>
            <w:ind w:left="360"/>
            <w:tabs>
              <w:tab w:val="right" w:leader="dot" w:pos="9026"/>
            </w:tabs>
            <w:spacing w:before="120" w:after="60"/>
          </w:pPr>
          <w:hyperlink w:anchor="_Toc100051" w:history="1">
            <w:r>
              <w:rPr>
                <w:rStyle w:val="Hyperlink"/>
              </w:rPr>
              <w:t>5. Stakeholders &amp; Governance</w:t>
            </w:r>
            <w:r>
              <w:tab/>
            </w:r>
            <w:r>
              <w:fldChar w:fldCharType="begin"/>
            </w:r>
            <w:r>
              <w:instrText xml:space="preserve"> PAGEREF _Toc100051 \h </w:instrText>
            </w:r>
            <w:r>
              <w:fldChar w:fldCharType="separate"/>
            </w:r>
            <w:r>
              <w:t>27</w:t>
            </w:r>
            <w:r>
              <w:fldChar w:fldCharType="end"/>
            </w:r>
          </w:hyperlink>
        </w:p>
        <w:p>
          <w:pPr>
            <w:pStyle w:val="12"/>
            <w:ind w:left="720"/>
            <w:tabs>
              <w:tab w:val="right" w:leader="dot" w:pos="9026"/>
            </w:tabs>
            <w:spacing w:before="120" w:after="60"/>
          </w:pPr>
          <w:hyperlink w:anchor="_Toc100052" w:history="1">
            <w:r>
              <w:rPr>
                <w:rStyle w:val="Hyperlink"/>
              </w:rPr>
              <w:t>5.1 Sponsor</w:t>
            </w:r>
            <w:r>
              <w:tab/>
            </w:r>
            <w:r>
              <w:fldChar w:fldCharType="begin"/>
            </w:r>
            <w:r>
              <w:instrText xml:space="preserve"> PAGEREF _Toc100052 \h </w:instrText>
            </w:r>
            <w:r>
              <w:fldChar w:fldCharType="separate"/>
            </w:r>
            <w:r>
              <w:t>27</w:t>
            </w:r>
            <w:r>
              <w:fldChar w:fldCharType="end"/>
            </w:r>
          </w:hyperlink>
        </w:p>
        <w:p>
          <w:pPr>
            <w:pStyle w:val="12"/>
            <w:ind w:left="720"/>
            <w:tabs>
              <w:tab w:val="right" w:leader="dot" w:pos="9026"/>
            </w:tabs>
            <w:spacing w:before="120" w:after="60"/>
          </w:pPr>
          <w:hyperlink w:anchor="_Toc100053" w:history="1">
            <w:r>
              <w:rPr>
                <w:rStyle w:val="Hyperlink"/>
              </w:rPr>
              <w:t>5.2 Project Manager / Lead</w:t>
            </w:r>
            <w:r>
              <w:tab/>
            </w:r>
            <w:r>
              <w:fldChar w:fldCharType="begin"/>
            </w:r>
            <w:r>
              <w:instrText xml:space="preserve"> PAGEREF _Toc100053 \h </w:instrText>
            </w:r>
            <w:r>
              <w:fldChar w:fldCharType="separate"/>
            </w:r>
            <w:r>
              <w:t>28</w:t>
            </w:r>
            <w:r>
              <w:fldChar w:fldCharType="end"/>
            </w:r>
          </w:hyperlink>
        </w:p>
        <w:p>
          <w:pPr>
            <w:pStyle w:val="12"/>
            <w:ind w:left="720"/>
            <w:tabs>
              <w:tab w:val="right" w:leader="dot" w:pos="9026"/>
            </w:tabs>
            <w:spacing w:before="120" w:after="60"/>
          </w:pPr>
          <w:hyperlink w:anchor="_Toc100054" w:history="1">
            <w:r>
              <w:rPr>
                <w:rStyle w:val="Hyperlink"/>
              </w:rPr>
              <w:t>5.3 Key Stakeholders &amp; Roles</w:t>
            </w:r>
            <w:r>
              <w:tab/>
            </w:r>
            <w:r>
              <w:fldChar w:fldCharType="begin"/>
            </w:r>
            <w:r>
              <w:instrText xml:space="preserve"> PAGEREF _Toc100054 \h </w:instrText>
            </w:r>
            <w:r>
              <w:fldChar w:fldCharType="separate"/>
            </w:r>
            <w:r>
              <w:t>28</w:t>
            </w:r>
            <w:r>
              <w:fldChar w:fldCharType="end"/>
            </w:r>
          </w:hyperlink>
        </w:p>
        <w:p>
          <w:pPr>
            <w:pStyle w:val="12"/>
            <w:ind w:left="720"/>
            <w:tabs>
              <w:tab w:val="right" w:leader="dot" w:pos="9026"/>
            </w:tabs>
            <w:spacing w:before="120" w:after="60"/>
          </w:pPr>
          <w:hyperlink w:anchor="_Toc100055" w:history="1">
            <w:r>
              <w:rPr>
                <w:rStyle w:val="Hyperlink"/>
              </w:rPr>
              <w:t>5.4 Decision-Making Structure</w:t>
            </w:r>
            <w:r>
              <w:tab/>
            </w:r>
            <w:r>
              <w:fldChar w:fldCharType="begin"/>
            </w:r>
            <w:r>
              <w:instrText xml:space="preserve"> PAGEREF _Toc100055 \h </w:instrText>
            </w:r>
            <w:r>
              <w:fldChar w:fldCharType="separate"/>
            </w:r>
            <w:r>
              <w:t>29</w:t>
            </w:r>
            <w:r>
              <w:fldChar w:fldCharType="end"/>
            </w:r>
          </w:hyperlink>
        </w:p>
        <w:p>
          <w:pPr>
            <w:pStyle w:val="11"/>
            <w:ind w:left="360"/>
            <w:tabs>
              <w:tab w:val="right" w:leader="dot" w:pos="9026"/>
            </w:tabs>
            <w:spacing w:before="120" w:after="60"/>
          </w:pPr>
          <w:hyperlink w:anchor="_Toc100056" w:history="1">
            <w:r>
              <w:rPr>
                <w:rStyle w:val="Hyperlink"/>
              </w:rPr>
              <w:t>6. High-Level Timeline &amp; Milestones</w:t>
            </w:r>
            <w:r>
              <w:tab/>
            </w:r>
            <w:r>
              <w:fldChar w:fldCharType="begin"/>
            </w:r>
            <w:r>
              <w:instrText xml:space="preserve"> PAGEREF _Toc100056 \h </w:instrText>
            </w:r>
            <w:r>
              <w:fldChar w:fldCharType="separate"/>
            </w:r>
            <w:r>
              <w:t>29</w:t>
            </w:r>
            <w:r>
              <w:fldChar w:fldCharType="end"/>
            </w:r>
          </w:hyperlink>
        </w:p>
        <w:p>
          <w:pPr>
            <w:pStyle w:val="11"/>
            <w:ind w:left="360"/>
            <w:tabs>
              <w:tab w:val="right" w:leader="dot" w:pos="9026"/>
            </w:tabs>
            <w:spacing w:before="120" w:after="60"/>
          </w:pPr>
          <w:hyperlink w:anchor="_Toc100057" w:history="1">
            <w:r>
              <w:rPr>
                <w:rStyle w:val="Hyperlink"/>
              </w:rPr>
              <w:t>7. Resources</w:t>
            </w:r>
            <w:r>
              <w:tab/>
            </w:r>
            <w:r>
              <w:fldChar w:fldCharType="begin"/>
            </w:r>
            <w:r>
              <w:instrText xml:space="preserve"> PAGEREF _Toc100057 \h </w:instrText>
            </w:r>
            <w:r>
              <w:fldChar w:fldCharType="separate"/>
            </w:r>
            <w:r>
              <w:t>30</w:t>
            </w:r>
            <w:r>
              <w:fldChar w:fldCharType="end"/>
            </w:r>
          </w:hyperlink>
        </w:p>
        <w:p>
          <w:pPr>
            <w:pStyle w:val="12"/>
            <w:ind w:left="720"/>
            <w:tabs>
              <w:tab w:val="right" w:leader="dot" w:pos="9026"/>
            </w:tabs>
            <w:spacing w:before="120" w:after="60"/>
          </w:pPr>
          <w:hyperlink w:anchor="_Toc100058" w:history="1">
            <w:r>
              <w:rPr>
                <w:rStyle w:val="Hyperlink"/>
              </w:rPr>
              <w:t>7.1 Team Composition</w:t>
            </w:r>
            <w:r>
              <w:tab/>
            </w:r>
            <w:r>
              <w:fldChar w:fldCharType="begin"/>
            </w:r>
            <w:r>
              <w:instrText xml:space="preserve"> PAGEREF _Toc100058 \h </w:instrText>
            </w:r>
            <w:r>
              <w:fldChar w:fldCharType="separate"/>
            </w:r>
            <w:r>
              <w:t>30</w:t>
            </w:r>
            <w:r>
              <w:fldChar w:fldCharType="end"/>
            </w:r>
          </w:hyperlink>
        </w:p>
        <w:p>
          <w:pPr>
            <w:pStyle w:val="12"/>
            <w:ind w:left="720"/>
            <w:tabs>
              <w:tab w:val="right" w:leader="dot" w:pos="9026"/>
            </w:tabs>
            <w:spacing w:before="120" w:after="60"/>
          </w:pPr>
          <w:hyperlink w:anchor="_Toc100059" w:history="1">
            <w:r>
              <w:rPr>
                <w:rStyle w:val="Hyperlink"/>
              </w:rPr>
              <w:t>7.2 Estimated Budget Summary</w:t>
            </w:r>
            <w:r>
              <w:tab/>
            </w:r>
            <w:r>
              <w:fldChar w:fldCharType="begin"/>
            </w:r>
            <w:r>
              <w:instrText xml:space="preserve"> PAGEREF _Toc100059 \h </w:instrText>
            </w:r>
            <w:r>
              <w:fldChar w:fldCharType="separate"/>
            </w:r>
            <w:r>
              <w:t>31</w:t>
            </w:r>
            <w:r>
              <w:fldChar w:fldCharType="end"/>
            </w:r>
          </w:hyperlink>
        </w:p>
        <w:p>
          <w:pPr>
            <w:pStyle w:val="12"/>
            <w:ind w:left="720"/>
            <w:tabs>
              <w:tab w:val="right" w:leader="dot" w:pos="9026"/>
            </w:tabs>
            <w:spacing w:before="120" w:after="60"/>
          </w:pPr>
          <w:hyperlink w:anchor="_Toc100060" w:history="1">
            <w:r>
              <w:rPr>
                <w:rStyle w:val="Hyperlink"/>
              </w:rPr>
              <w:t>7.3 Tools, Infrastructure &amp; Third-Party Dependencies</w:t>
            </w:r>
            <w:r>
              <w:tab/>
            </w:r>
            <w:r>
              <w:fldChar w:fldCharType="begin"/>
            </w:r>
            <w:r>
              <w:instrText xml:space="preserve"> PAGEREF _Toc100060 \h </w:instrText>
            </w:r>
            <w:r>
              <w:fldChar w:fldCharType="separate"/>
            </w:r>
            <w:r>
              <w:t>31</w:t>
            </w:r>
            <w:r>
              <w:fldChar w:fldCharType="end"/>
            </w:r>
          </w:hyperlink>
        </w:p>
        <w:p>
          <w:pPr>
            <w:pStyle w:val="11"/>
            <w:ind w:left="360"/>
            <w:tabs>
              <w:tab w:val="right" w:leader="dot" w:pos="9026"/>
            </w:tabs>
            <w:spacing w:before="120" w:after="60"/>
          </w:pPr>
          <w:hyperlink w:anchor="_Toc100061" w:history="1">
            <w:r>
              <w:rPr>
                <w:rStyle w:val="Hyperlink"/>
              </w:rPr>
              <w:t>8. Risks, Assumptions, Constraints &amp; Mitigations</w:t>
            </w:r>
            <w:r>
              <w:tab/>
            </w:r>
            <w:r>
              <w:fldChar w:fldCharType="begin"/>
            </w:r>
            <w:r>
              <w:instrText xml:space="preserve"> PAGEREF _Toc100061 \h </w:instrText>
            </w:r>
            <w:r>
              <w:fldChar w:fldCharType="separate"/>
            </w:r>
            <w:r>
              <w:t>32</w:t>
            </w:r>
            <w:r>
              <w:fldChar w:fldCharType="end"/>
            </w:r>
          </w:hyperlink>
        </w:p>
        <w:p>
          <w:pPr>
            <w:pStyle w:val="12"/>
            <w:ind w:left="720"/>
            <w:tabs>
              <w:tab w:val="right" w:leader="dot" w:pos="9026"/>
            </w:tabs>
            <w:spacing w:before="120" w:after="60"/>
          </w:pPr>
          <w:hyperlink w:anchor="_Toc100062" w:history="1">
            <w:r>
              <w:rPr>
                <w:rStyle w:val="Hyperlink"/>
              </w:rPr>
              <w:t>8.1 Known Risks &amp; Mitigations</w:t>
            </w:r>
            <w:r>
              <w:tab/>
            </w:r>
            <w:r>
              <w:fldChar w:fldCharType="begin"/>
            </w:r>
            <w:r>
              <w:instrText xml:space="preserve"> PAGEREF _Toc100062 \h </w:instrText>
            </w:r>
            <w:r>
              <w:fldChar w:fldCharType="separate"/>
            </w:r>
            <w:r>
              <w:t>32</w:t>
            </w:r>
            <w:r>
              <w:fldChar w:fldCharType="end"/>
            </w:r>
          </w:hyperlink>
        </w:p>
        <w:p>
          <w:pPr>
            <w:pStyle w:val="12"/>
            <w:ind w:left="720"/>
            <w:tabs>
              <w:tab w:val="right" w:leader="dot" w:pos="9026"/>
            </w:tabs>
            <w:spacing w:before="120" w:after="60"/>
          </w:pPr>
          <w:hyperlink w:anchor="_Toc100063" w:history="1">
            <w:r>
              <w:rPr>
                <w:rStyle w:val="Hyperlink"/>
              </w:rPr>
              <w:t>8.2 Assumptions</w:t>
            </w:r>
            <w:r>
              <w:tab/>
            </w:r>
            <w:r>
              <w:fldChar w:fldCharType="begin"/>
            </w:r>
            <w:r>
              <w:instrText xml:space="preserve"> PAGEREF _Toc100063 \h </w:instrText>
            </w:r>
            <w:r>
              <w:fldChar w:fldCharType="separate"/>
            </w:r>
            <w:r>
              <w:t>33</w:t>
            </w:r>
            <w:r>
              <w:fldChar w:fldCharType="end"/>
            </w:r>
          </w:hyperlink>
        </w:p>
        <w:p>
          <w:pPr>
            <w:pStyle w:val="12"/>
            <w:ind w:left="720"/>
            <w:tabs>
              <w:tab w:val="right" w:leader="dot" w:pos="9026"/>
            </w:tabs>
            <w:spacing w:before="120" w:after="60"/>
          </w:pPr>
          <w:hyperlink w:anchor="_Toc100064" w:history="1">
            <w:r>
              <w:rPr>
                <w:rStyle w:val="Hyperlink"/>
              </w:rPr>
              <w:t>8.3 Regulatory &amp; Compliance Constraints</w:t>
            </w:r>
            <w:r>
              <w:tab/>
            </w:r>
            <w:r>
              <w:fldChar w:fldCharType="begin"/>
            </w:r>
            <w:r>
              <w:instrText xml:space="preserve"> PAGEREF _Toc100064 \h </w:instrText>
            </w:r>
            <w:r>
              <w:fldChar w:fldCharType="separate"/>
            </w:r>
            <w:r>
              <w:t>34</w:t>
            </w:r>
            <w:r>
              <w:fldChar w:fldCharType="end"/>
            </w:r>
          </w:hyperlink>
        </w:p>
        <w:p>
          <w:pPr>
            <w:pStyle w:val="11"/>
            <w:ind w:left="360"/>
            <w:tabs>
              <w:tab w:val="right" w:leader="dot" w:pos="9026"/>
            </w:tabs>
            <w:spacing w:before="120" w:after="60"/>
          </w:pPr>
          <w:hyperlink w:anchor="_Toc100065" w:history="1">
            <w:r>
              <w:rPr>
                <w:rStyle w:val="Hyperlink"/>
              </w:rPr>
              <w:t>9. Success Metrics (KPIs)</w:t>
            </w:r>
            <w:r>
              <w:tab/>
            </w:r>
            <w:r>
              <w:fldChar w:fldCharType="begin"/>
            </w:r>
            <w:r>
              <w:instrText xml:space="preserve"> PAGEREF _Toc100065 \h </w:instrText>
            </w:r>
            <w:r>
              <w:fldChar w:fldCharType="separate"/>
            </w:r>
            <w:r>
              <w:t>36</w:t>
            </w:r>
            <w:r>
              <w:fldChar w:fldCharType="end"/>
            </w:r>
          </w:hyperlink>
        </w:p>
        <w:p>
          <w:pPr>
            <w:pStyle w:val="12"/>
            <w:ind w:left="720"/>
            <w:tabs>
              <w:tab w:val="right" w:leader="dot" w:pos="9026"/>
            </w:tabs>
            <w:spacing w:before="120" w:after="60"/>
          </w:pPr>
          <w:hyperlink w:anchor="_Toc100066" w:history="1">
            <w:r>
              <w:rPr>
                <w:rStyle w:val="Hyperlink"/>
              </w:rPr>
              <w:t>9.1 Definition of Done</w:t>
            </w:r>
            <w:r>
              <w:tab/>
            </w:r>
            <w:r>
              <w:fldChar w:fldCharType="begin"/>
            </w:r>
            <w:r>
              <w:instrText xml:space="preserve"> PAGEREF _Toc100066 \h </w:instrText>
            </w:r>
            <w:r>
              <w:fldChar w:fldCharType="separate"/>
            </w:r>
            <w:r>
              <w:t>36</w:t>
            </w:r>
            <w:r>
              <w:fldChar w:fldCharType="end"/>
            </w:r>
          </w:hyperlink>
        </w:p>
        <w:p>
          <w:pPr>
            <w:pStyle w:val="11"/>
            <w:ind w:left="360"/>
            <w:tabs>
              <w:tab w:val="right" w:leader="dot" w:pos="9026"/>
            </w:tabs>
            <w:spacing w:before="120" w:after="60"/>
          </w:pPr>
          <w:hyperlink w:anchor="_Toc100067" w:history="1">
            <w:r>
              <w:rPr>
                <w:rStyle w:val="Hyperlink"/>
              </w:rPr>
              <w:t>10. Authorization</w:t>
            </w:r>
            <w:r>
              <w:tab/>
            </w:r>
            <w:r>
              <w:fldChar w:fldCharType="begin"/>
            </w:r>
            <w:r>
              <w:instrText xml:space="preserve"> PAGEREF _Toc100067 \h </w:instrText>
            </w:r>
            <w:r>
              <w:fldChar w:fldCharType="separate"/>
            </w:r>
            <w:r>
              <w:t>36</w:t>
            </w:r>
            <w:r>
              <w:fldChar w:fldCharType="end"/>
            </w:r>
          </w:hyperlink>
        </w:p>
        <w:p>
          <w:pPr>
            <w:pStyle w:val="9"/>
            <w:tabs>
              <w:tab w:val="right" w:leader="dot" w:pos="9026"/>
            </w:tabs>
            <w:spacing w:before="120" w:after="60"/>
          </w:pPr>
          <w:hyperlink w:anchor="_Toc100068" w:history="1">
            <w:r>
              <w:rPr>
                <w:rStyle w:val="Hyperlink"/>
              </w:rPr>
              <w:t>Golden Thread Validation</w:t>
            </w:r>
            <w:r>
              <w:tab/>
            </w:r>
            <w:r>
              <w:fldChar w:fldCharType="begin"/>
            </w:r>
            <w:r>
              <w:instrText xml:space="preserve"> PAGEREF _Toc100068 \h </w:instrText>
            </w:r>
            <w:r>
              <w:fldChar w:fldCharType="separate"/>
            </w:r>
            <w:r>
              <w:t>38</w:t>
            </w:r>
            <w:r>
              <w:fldChar w:fldCharType="end"/>
            </w:r>
          </w:hyperlink>
        </w:p>
        <w:p>
          <w:pPr>
            <w:pStyle w:val="11"/>
            <w:ind w:left="360"/>
            <w:tabs>
              <w:tab w:val="right" w:leader="dot" w:pos="9026"/>
            </w:tabs>
            <w:spacing w:before="120" w:after="60"/>
          </w:pPr>
          <w:hyperlink w:anchor="_Toc100069" w:history="1">
            <w:r>
              <w:rPr>
                <w:rStyle w:val="Hyperlink"/>
              </w:rPr>
              <w:t>1. VPC → BMC</w:t>
            </w:r>
            <w:r>
              <w:tab/>
            </w:r>
            <w:r>
              <w:fldChar w:fldCharType="begin"/>
            </w:r>
            <w:r>
              <w:instrText xml:space="preserve"> PAGEREF _Toc100069 \h </w:instrText>
            </w:r>
            <w:r>
              <w:fldChar w:fldCharType="separate"/>
            </w:r>
            <w:r>
              <w:t>38</w:t>
            </w:r>
            <w:r>
              <w:fldChar w:fldCharType="end"/>
            </w:r>
          </w:hyperlink>
        </w:p>
        <w:p>
          <w:pPr>
            <w:pStyle w:val="11"/>
            <w:ind w:left="360"/>
            <w:tabs>
              <w:tab w:val="right" w:leader="dot" w:pos="9026"/>
            </w:tabs>
            <w:spacing w:before="120" w:after="60"/>
          </w:pPr>
          <w:hyperlink w:anchor="_Toc100070" w:history="1">
            <w:r>
              <w:rPr>
                <w:rStyle w:val="Hyperlink"/>
              </w:rPr>
              <w:t>2. BMC → Financials</w:t>
            </w:r>
            <w:r>
              <w:tab/>
            </w:r>
            <w:r>
              <w:fldChar w:fldCharType="begin"/>
            </w:r>
            <w:r>
              <w:instrText xml:space="preserve"> PAGEREF _Toc100070 \h </w:instrText>
            </w:r>
            <w:r>
              <w:fldChar w:fldCharType="separate"/>
            </w:r>
            <w:r>
              <w:t>38</w:t>
            </w:r>
            <w:r>
              <w:fldChar w:fldCharType="end"/>
            </w:r>
          </w:hyperlink>
        </w:p>
        <w:p>
          <w:pPr>
            <w:pStyle w:val="11"/>
            <w:ind w:left="360"/>
            <w:tabs>
              <w:tab w:val="right" w:leader="dot" w:pos="9026"/>
            </w:tabs>
            <w:spacing w:before="120" w:after="60"/>
          </w:pPr>
          <w:hyperlink w:anchor="_Toc100071" w:history="1">
            <w:r>
              <w:rPr>
                <w:rStyle w:val="Hyperlink"/>
              </w:rPr>
              <w:t>3. Financials → Charter</w:t>
            </w:r>
            <w:r>
              <w:tab/>
            </w:r>
            <w:r>
              <w:fldChar w:fldCharType="begin"/>
            </w:r>
            <w:r>
              <w:instrText xml:space="preserve"> PAGEREF _Toc100071 \h </w:instrText>
            </w:r>
            <w:r>
              <w:fldChar w:fldCharType="separate"/>
            </w:r>
            <w:r>
              <w:t>39</w:t>
            </w:r>
            <w:r>
              <w:fldChar w:fldCharType="end"/>
            </w:r>
          </w:hyperlink>
        </w:p>
        <w:p>
          <w:pPr>
            <w:pStyle w:val="11"/>
            <w:ind w:left="360"/>
            <w:tabs>
              <w:tab w:val="right" w:leader="dot" w:pos="9026"/>
            </w:tabs>
            <w:spacing w:before="120" w:after="60"/>
          </w:pPr>
          <w:hyperlink w:anchor="_Toc100072" w:history="1">
            <w:r>
              <w:rPr>
                <w:rStyle w:val="Hyperlink"/>
              </w:rPr>
              <w:t>4. Charter → VPC</w:t>
            </w:r>
            <w:r>
              <w:tab/>
            </w:r>
            <w:r>
              <w:fldChar w:fldCharType="begin"/>
            </w:r>
            <w:r>
              <w:instrText xml:space="preserve"> PAGEREF _Toc100072 \h </w:instrText>
            </w:r>
            <w:r>
              <w:fldChar w:fldCharType="separate"/>
            </w:r>
            <w:r>
              <w:t>39</w:t>
            </w:r>
            <w:r>
              <w:fldChar w:fldCharType="end"/>
            </w:r>
          </w:hyperlink>
        </w:p>
        <w:p>
          <w:pPr>
            <w:pStyle w:val="11"/>
            <w:ind w:left="360"/>
            <w:tabs>
              <w:tab w:val="right" w:leader="dot" w:pos="9026"/>
            </w:tabs>
            <w:spacing w:before="120" w:after="60"/>
          </w:pPr>
          <w:hyperlink w:anchor="_Toc100073" w:history="1">
            <w:r>
              <w:rPr>
                <w:rStyle w:val="Hyperlink"/>
              </w:rPr>
              <w:t>Summary</w:t>
            </w:r>
            <w:r>
              <w:tab/>
            </w:r>
            <w:r>
              <w:fldChar w:fldCharType="begin"/>
            </w:r>
            <w:r>
              <w:instrText xml:space="preserve"> PAGEREF _Toc100073 \h </w:instrText>
            </w:r>
            <w:r>
              <w:fldChar w:fldCharType="separate"/>
            </w:r>
            <w:r>
              <w:t>40</w:t>
            </w:r>
            <w:r>
              <w:fldChar w:fldCharType="end"/>
            </w:r>
          </w:hyperlink>
        </w:p>
        <w:p>
          <w:r>
            <w:fldChar w:fldCharType="end"/>
          </w:r>
        </w:p>
      </w:sdtContent>
    </w:sdt>
    <w:p>
      <w:pPr>
        <w:spacing w:before="200"/>
      </w:pPr>
      <w:r>
        <w:rPr>
          <w:rFonts w:ascii="Calibri"/>
          <w:i/>
          <w:iCs/>
          <w:color w:val="888888"/>
          <w:sz w:val="18"/>
          <w:szCs w:val="18"/>
        </w:rPr>
        <w:t xml:space="preserve">Note: This Table of Contents is generated via field codes. To refresh page numbers after editing, right-click the TOC and select "Update Field" → "Update entire table."</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line="360" w:lineRule="atLeast"/>
      </w:pPr>
      <w:bookmarkStart w:id="100006" w:name="_Toc100006"/>
      <w:r>
        <w:rPr>
          <w:rFonts w:ascii="Calibri"/>
          <w:b/>
          <w:bCs/>
          <w:color w:val="1A1A1A"/>
          <w:sz w:val="32"/>
          <w:szCs w:val="32"/>
        </w:rPr>
        <w:t xml:space="preserve">Executive Summary</w:t>
      </w:r>
      <w:bookmarkEnd w:id="100006"/>
    </w:p>
    <w:p>
      <w:pPr>
        <w:spacing w:after="140" w:line="312" w:lineRule="auto"/>
        <w:jc w:val="both"/>
      </w:pPr>
      <w:r>
        <w:rPr>
          <w:rFonts w:ascii="Calibri"/>
          <w:color w:val="1A1A1A"/>
          <w:sz w:val="22"/>
          <w:szCs w:val="22"/>
        </w:rPr>
        <w:t xml:space="preserve">Ghana is Africa's largest gold producer, with annual exports historically in the US$6–10 billion range, yet the trading of that gold between licensed local sellers and international buyers still runs largely on phone calls, spreadsheets, paper assay certificates, and trusted intermediaries. The Ghana Chamber of Gold Buyers has concluded that the absence of a controlled, compliance-gated digital exchange is no longer a minor operational inconvenience — it is a structural drag on formalization, tax collection, and the country's reputation as a responsible gold origin. This document presents the business case for AurumXchange, a regulated B2B gold trading infrastructure that the Chamber would offer to its members and that Sahel Systems &amp; Solutions would build, host, and operate under a long-term revenue-sharing partnership.</w:t>
      </w:r>
    </w:p>
    <w:p>
      <w:pPr>
        <w:spacing w:after="140" w:line="312" w:lineRule="auto"/>
        <w:jc w:val="both"/>
      </w:pPr>
      <w:r>
        <w:rPr>
          <w:rFonts w:ascii="Calibri"/>
          <w:color w:val="1A1A1A"/>
          <w:sz w:val="22"/>
          <w:szCs w:val="22"/>
        </w:rPr>
        <w:t xml:space="preserve">AurumXchange is deliberately not an open marketplace. Gold trading is high-value, low-frequency, and heavily regulated; an Alibaba-style listing model would undermine the very trust the Chamber exists to protect. Instead, AurumXchange is a controlled exchange: every participant is licensed and KYC/AML-verified before they can trade, every transaction moves through an eight-step workflow (listing → RFQ or bid → comparison → negotiation → Chamber approval → escrow → delivery → title transfer), and optional timed, reverse, or sealed-bid auctions run alongside the RFQ engine for high-demand lots. The MVP scope covers Phase 1 (Digital Member Portal) and Phase 2 (Trading Platform); Phase 3 (Value-Added Services) and Phase 4 (Analytics) are deferred to follow-on releases.</w:t>
      </w:r>
    </w:p>
    <w:p>
      <w:pPr>
        <w:spacing w:after="140" w:line="312" w:lineRule="auto"/>
        <w:jc w:val="both"/>
      </w:pPr>
      <w:r>
        <w:rPr>
          <w:rFonts w:ascii="Calibri"/>
          <w:color w:val="1A1A1A"/>
          <w:sz w:val="22"/>
          <w:szCs w:val="22"/>
        </w:rPr>
        <w:t xml:space="preserve">The commercial model is the SaaS-with-revenue-sharing structure recommended in the original proposal (Option B). The Chamber makes no upfront investment; Sahel Systems assumes 100% of the technology, hosting, and support cost in exchange for 70% of platform revenue, with the remaining 30% remitted to the Chamber. Revenue flows from platform users, not from the Chamber: 0.10% transaction fees per side, tiered subscriptions (Free / Professional US$100/month / Enterprise US$500+ per month), and value-added service fees (escrow, logistics coordination, assay certification, market intelligence). On a single US$1,000,000 trade, the platform earns US$2,000 in transaction fees alone; under the 70/30 split, Sahel Systems receives US$1,400 and the Chamber receives US$600.</w:t>
      </w:r>
    </w:p>
    <w:p>
      <w:pPr>
        <w:spacing w:after="140" w:line="312" w:lineRule="auto"/>
        <w:jc w:val="both"/>
      </w:pPr>
      <w:r>
        <w:rPr>
          <w:rFonts w:ascii="Calibri"/>
          <w:color w:val="1A1A1A"/>
          <w:sz w:val="22"/>
          <w:szCs w:val="22"/>
        </w:rPr>
        <w:t xml:space="preserve">The headline economics are as follows. CapEx is bounded at US$450,000, of which approximately US$390,700 is direct build cost and US$59,300 is contingency. Monthly OpEx stabilizes at roughly US$38,500 by month 6 post-launch. With a bottom-up projection of 250 verified members by end of Year 1 (growing to 1,050 by Year 5), a 0.10% blended transaction fee, a 15% annual churn, and 110% Net Revenue Retention driven by tier upgrades and value-added services, the platform reaches break-even in month 22 (approximately Q4 2028) and projects a 5-year cumulative Net Revenue of US$8.7M against cumulative operating cost of US$4.2M. LTV:CAC is 14.6:1 — well above the 3:1 minimum — and CAC payback is 8.2 months.</w:t>
      </w:r>
    </w:p>
    <w:p>
      <w:pPr>
        <w:spacing w:after="140" w:line="312" w:lineRule="auto"/>
        <w:jc w:val="both"/>
      </w:pPr>
      <w:r>
        <w:rPr>
          <w:rFonts w:ascii="Calibri"/>
          <w:color w:val="1A1A1A"/>
          <w:sz w:val="22"/>
          <w:szCs w:val="22"/>
        </w:rPr>
        <w:t xml:space="preserve">The four documents that follow substantiate this summary. The Value Proposition Canvas (Document 1) proves product-market fit by mapping the jobs, pains, and gains of licensed gold buyers and sellers to specific AurumXchange features. The Business Model Canvas (Document 2) translates that fit into a sustainable commercial architecture across all nine building blocks. The Financial Documentation (Document 3) converts the BMC into hard math: a line-item CapEx budget, an 18-month OpEx runway, a five-year revenue projection, and the CAC, LTV, break-even, and Cost-of-Doing-Nothing analyses an investor will scrutinize. The Project Charter (Document 4) authorizes the work, fixes scope, assigns governance, and ties every milestone back to the financials. A final Golden Thread Validation section traces each claim across all four documents and confirms they tell one continuous, contradiction-free story.</w:t>
      </w:r>
    </w:p>
    <w:p>
      <w:r>
        <w:br w:type="page"/>
      </w:r>
    </w:p>
    <w:p>
      <w:pPr>
        <w:pStyle w:val="Heading1"/>
        <w:spacing w:after="200" w:before="480" w:line="360" w:lineRule="atLeast"/>
      </w:pPr>
      <w:bookmarkStart w:id="100007" w:name="_Toc100007"/>
      <w:r>
        <w:rPr>
          <w:rFonts w:ascii="Calibri"/>
          <w:b/>
          <w:bCs/>
          <w:color w:val="1A1A1A"/>
          <w:sz w:val="32"/>
          <w:szCs w:val="32"/>
        </w:rPr>
        <w:t xml:space="preserve">Document 1 — Value Proposition Canvas</w:t>
      </w:r>
      <w:bookmarkEnd w:id="100007"/>
    </w:p>
    <w:p>
      <w:pPr>
        <w:spacing w:after="140" w:line="312" w:lineRule="auto"/>
        <w:jc w:val="both"/>
      </w:pPr>
      <w:r>
        <w:rPr>
          <w:rFonts w:ascii="Calibri"/>
          <w:color w:val="1A1A1A"/>
          <w:sz w:val="22"/>
          <w:szCs w:val="22"/>
        </w:rPr>
        <w:t xml:space="preserve">The Value Proposition Canvas proves product-market fit before a single line of code is written. It is structured in three parts: a Customer Profile that names the jobs the user is trying to get done, the pains that obstruct those jobs, and the gains the user truly wants; a Value Map that lists the AurumXchange products and services, the pain relievers that address each pain, and the gain creators that produce each gain; and a Fit Statement that compresses the entire canvas into a single, board-presentable sentence. The customer in this canvas is the licensed Tier 2 gold buyer in Ghana — the segment whose pain is most acute and whose adoption is most predictive of platform success. Tier 1 buyers (international refiners, bullion banks) are addressed as a secondary persona in the BMC.</w:t>
      </w:r>
    </w:p>
    <w:p>
      <w:pPr>
        <w:pStyle w:val="Heading2"/>
        <w:spacing w:after="160" w:before="360" w:line="340" w:lineRule="atLeast"/>
      </w:pPr>
      <w:bookmarkStart w:id="100008" w:name="_Toc100008"/>
      <w:r>
        <w:rPr>
          <w:rFonts w:ascii="Calibri"/>
          <w:b/>
          <w:bCs/>
          <w:color w:val="1A1A1A"/>
          <w:sz w:val="28"/>
          <w:szCs w:val="28"/>
        </w:rPr>
        <w:t xml:space="preserve">A. Customer Profile</w:t>
      </w:r>
      <w:bookmarkEnd w:id="100008"/>
    </w:p>
    <w:p>
      <w:pPr>
        <w:spacing w:after="140" w:line="312" w:lineRule="auto"/>
        <w:jc w:val="both"/>
      </w:pPr>
      <w:r>
        <w:rPr>
          <w:rFonts w:ascii="Calibri"/>
          <w:color w:val="1A1A1A"/>
          <w:sz w:val="22"/>
          <w:szCs w:val="22"/>
        </w:rPr>
        <w:t xml:space="preserve">The customer profile below describes Kofi Mensah, a composite persona representing the licensed Tier 2 gold buyer in Ghana: a 41-year-old managing director of a Kumasi-based aggregator and exporter who holds a Minerals Commission licence and a PMMC export permit, employs 18 staff, and ships an average of 4 kilograms of gold per month to refiner clients in Switzerland and the UAE. Kofi is the primary user. The economic buyer of the platform subscription is his firm; the buyer of each individual trade is Kofi himself, who must answer to his board for the prices secured.</w:t>
      </w:r>
    </w:p>
    <w:p>
      <w:pPr>
        <w:pStyle w:val="Heading3"/>
        <w:spacing w:after="120" w:before="240" w:line="320" w:lineRule="atLeast"/>
      </w:pPr>
      <w:bookmarkStart w:id="100009" w:name="_Toc100009"/>
      <w:r>
        <w:rPr>
          <w:rFonts w:ascii="Calibri"/>
          <w:b/>
          <w:bCs/>
          <w:color w:val="1A1A1A"/>
          <w:sz w:val="24"/>
          <w:szCs w:val="24"/>
        </w:rPr>
        <w:t xml:space="preserve">Customer Jobs</w:t>
      </w:r>
      <w:bookmarkEnd w:id="100009"/>
    </w:p>
    <w:p>
      <w:pPr>
        <w:spacing w:after="140" w:line="312" w:lineRule="auto"/>
        <w:jc w:val="both"/>
      </w:pPr>
      <w:r>
        <w:rPr>
          <w:rFonts w:ascii="Calibri"/>
          <w:color w:val="1A1A1A"/>
          <w:sz w:val="22"/>
          <w:szCs w:val="22"/>
        </w:rPr>
        <w:t xml:space="preserve">Customer jobs are the functional, social, and emotional tasks the user is trying to accomplish. Main jobs are the core reason the customer exists commercially; supporting jobs are the surrounding activities that must succeed for the main job to succeed. Kofi's main job is not 'buy gold' — it is 'secure a profitable, compliant, deliverable gold position at a price the export market will accept.' That distinction matters because it changes what the platform must optimize for: not transaction speed, but decision quality under regulatory and price risk.</w:t>
      </w:r>
    </w:p>
    <w:p>
      <w:pPr>
        <w:keepNext/>
        <w:spacing w:after="80" w:before="200" w:line="280" w:lineRule="auto"/>
        <w:jc w:val="left"/>
      </w:pPr>
      <w:r>
        <w:rPr>
          <w:rFonts w:ascii="Calibri"/>
          <w:b/>
          <w:bCs/>
          <w:color w:val="1A1A1A"/>
          <w:sz w:val="22"/>
          <w:szCs w:val="22"/>
        </w:rPr>
        <w:t xml:space="preserve">Table 1.1. </w:t>
      </w:r>
      <w:r>
        <w:rPr>
          <w:rFonts w:ascii="Calibri"/>
          <w:b/>
          <w:bCs/>
          <w:color w:val="1A1A1A"/>
          <w:sz w:val="22"/>
          <w:szCs w:val="22"/>
        </w:rPr>
        <w:t xml:space="preserve">Customer Jobs — Kofi Mensah, Tier 2 Licensed Buyer</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w:t>
            </w:r>
          </w:p>
        </w:tc>
        <w:tc>
          <w:tcPr>
            <w:tcW w:type="pct" w:w="13%"/>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Job Type</w:t>
            </w:r>
          </w:p>
        </w:tc>
        <w:tc>
          <w:tcPr>
            <w:tcW w:type="pct" w:w="6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Job Description</w:t>
            </w:r>
          </w:p>
        </w:tc>
        <w:tc>
          <w:tcPr>
            <w:tcW w:type="pct" w:w="17%"/>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Main / Supporting</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J1</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Functional</w:t>
            </w:r>
          </w:p>
        </w:tc>
        <w:tc>
          <w:tcPr>
            <w:tcW w:type="pct" w:w="6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Source verified, licensed gold supply from small-scale miners and licensed buying agents at prices that leave export margin.</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Main</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J2</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Functional</w:t>
            </w:r>
          </w:p>
        </w:tc>
        <w:tc>
          <w:tcPr>
            <w:tcW w:type="pct" w:w="6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Negotiate sale terms with international Tier 1 buyers (refiners, bullion banks) for export-grade dore or refined bars.</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Main</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J3</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Functional</w:t>
            </w:r>
          </w:p>
        </w:tc>
        <w:tc>
          <w:tcPr>
            <w:tcW w:type="pct" w:w="6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Arrange and verify assay certificates, export documentation, and PMMC release for each shipment.</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Supporting</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J4</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Functional</w:t>
            </w:r>
          </w:p>
        </w:tc>
        <w:tc>
          <w:tcPr>
            <w:tcW w:type="pct" w:w="6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Coordinate secure logistics: armored transport from buying centre to vault, vault-to-airport, and airline handover.</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Supporting</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J5</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Social</w:t>
            </w:r>
          </w:p>
        </w:tc>
        <w:tc>
          <w:tcPr>
            <w:tcW w:type="pct" w:w="6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Maintain reputation as a reliable, compliant counterparty within the Chamber network and with international refiners.</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Supporting</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J6</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Emotional</w:t>
            </w:r>
          </w:p>
        </w:tc>
        <w:tc>
          <w:tcPr>
            <w:tcW w:type="pct" w:w="6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Reduce the daily anxiety of holding gold inventory against price volatility and theft risk.</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Supporting</w:t>
            </w:r>
          </w:p>
        </w:tc>
      </w:tr>
    </w:tbl>
    <w:p>
      <w:pPr>
        <w:keepNext/>
        <w:spacing w:after="200" w:before="60" w:line="280" w:lineRule="auto"/>
        <w:jc w:val="left"/>
      </w:pPr>
      <w:r>
        <w:rPr>
          <w:rFonts w:ascii="Calibri"/>
          <w:b/>
          <w:bCs/>
          <w:color w:val="5A6068"/>
          <w:sz w:val="18"/>
          <w:szCs w:val="18"/>
        </w:rPr>
        <w:t xml:space="preserve">Table 1.1. </w:t>
      </w:r>
      <w:r>
        <w:rPr>
          <w:rFonts w:ascii="Calibri"/>
          <w:i/>
          <w:iCs/>
          <w:color w:val="5A6068"/>
          <w:sz w:val="18"/>
          <w:szCs w:val="18"/>
        </w:rPr>
        <w:t xml:space="preserve">Six jobs for the primary persona, distinguishing main jobs (J1, J2) from supporting jobs (J3–J6).</w:t>
      </w:r>
    </w:p>
    <w:p>
      <w:pPr>
        <w:pStyle w:val="Heading3"/>
        <w:spacing w:after="120" w:before="240" w:line="320" w:lineRule="atLeast"/>
      </w:pPr>
      <w:bookmarkStart w:id="100010" w:name="_Toc100010"/>
      <w:r>
        <w:rPr>
          <w:rFonts w:ascii="Calibri"/>
          <w:b/>
          <w:bCs/>
          <w:color w:val="1A1A1A"/>
          <w:sz w:val="24"/>
          <w:szCs w:val="24"/>
        </w:rPr>
        <w:t xml:space="preserve">Pains</w:t>
      </w:r>
      <w:bookmarkEnd w:id="100010"/>
    </w:p>
    <w:p>
      <w:pPr>
        <w:spacing w:after="140" w:line="312" w:lineRule="auto"/>
        <w:jc w:val="both"/>
      </w:pPr>
      <w:r>
        <w:rPr>
          <w:rFonts w:ascii="Calibri"/>
          <w:color w:val="1A1A1A"/>
          <w:sz w:val="22"/>
          <w:szCs w:val="22"/>
        </w:rPr>
        <w:t xml:space="preserve">Pains are the frustrations, risks, and obstacles the user encounters before, during, and after trying to complete each job. They are deliberately quantified — a vague pain like 'paperwork is hard' cannot be designed against, but a pain like 'each export requires 14 manual signatures across 4 agencies, averaging 6 working days of delay' can. The five pains below are drawn from interviews with three Ghanaian Tier 2 buyers conducted during the Chamber's 2025 digitization review; they are the highest-frequency, highest-severity pains reported.</w:t>
      </w:r>
    </w:p>
    <w:p>
      <w:pPr>
        <w:keepNext/>
        <w:spacing w:after="80" w:before="200" w:line="280" w:lineRule="auto"/>
        <w:jc w:val="left"/>
      </w:pPr>
      <w:r>
        <w:rPr>
          <w:rFonts w:ascii="Calibri"/>
          <w:b/>
          <w:bCs/>
          <w:color w:val="1A1A1A"/>
          <w:sz w:val="22"/>
          <w:szCs w:val="22"/>
        </w:rPr>
        <w:t xml:space="preserve">Table 1.2. </w:t>
      </w:r>
      <w:r>
        <w:rPr>
          <w:rFonts w:ascii="Calibri"/>
          <w:b/>
          <w:bCs/>
          <w:color w:val="1A1A1A"/>
          <w:sz w:val="22"/>
          <w:szCs w:val="22"/>
        </w:rPr>
        <w:t xml:space="preserve">Customer Pains — Quantified</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tblGrid>
      <w:tr>
        <w:trPr>
          <w:cantSplit/>
          <w:tblHeader/>
        </w:trPr>
        <w:tc>
          <w:tcPr>
            <w:tcW w:type="pct" w:w="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Pain</w:t>
            </w:r>
          </w:p>
        </w:tc>
        <w:tc>
          <w:tcPr>
            <w:tcW w:type="pct" w:w="7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Context &amp; Quantification</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P1</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Price opacity</w:t>
            </w:r>
          </w:p>
        </w:tc>
        <w:tc>
          <w:tcPr>
            <w:tcW w:type="pct" w:w="7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Buyers cannot see real-time competing bids for a gold lot; they discover they overpaid only after the trade closes. Estimated overpayment on 1 in 4 trades, averaging US$1,200–4,500 per kilogram on a US$65,000/kg spot price.</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P2</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Counterparty risk</w:t>
            </w:r>
          </w:p>
        </w:tc>
        <w:tc>
          <w:tcPr>
            <w:tcW w:type="pct" w:w="7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No reliable way to verify a seller's Minerals Commission licence status or assay history before payment; 1 in 8 forward-purchase deals ends in dispute, with average dispute value of US$18,000 and resolution time of 47 days.</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P3</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Export documentation drag</w:t>
            </w:r>
          </w:p>
        </w:tc>
        <w:tc>
          <w:tcPr>
            <w:tcW w:type="pct" w:w="7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Each export requires 14 manual signatures across 4 agencies (Minerals Commission, PMMC, GRA Customs, Bank of Ghana forex verification), averaging 6 working days of delay and consuming ~14 staff-hours per shipment.</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P4</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Funds-at-risk window</w:t>
            </w:r>
          </w:p>
        </w:tc>
        <w:tc>
          <w:tcPr>
            <w:tcW w:type="pct" w:w="7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Funds leave the buyer's bank before gold title transfers; in the worst case the buyer pays for gold that is then attached by a third-party creditor. The Chamber logged 3 such incidents in 2024 with combined exposure of US$840,000.</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P5</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Audit trail fragmentation</w:t>
            </w:r>
          </w:p>
        </w:tc>
        <w:tc>
          <w:tcPr>
            <w:tcW w:type="pct" w:w="7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 records are split across WhatsApp messages, paper receipts, PDF assay certificates, and bank statements; the average audit of a single trade consumes 6 staff-hours and frequently cannot reconstruct a clean chain of custody.</w:t>
            </w:r>
          </w:p>
        </w:tc>
      </w:tr>
    </w:tbl>
    <w:p>
      <w:pPr>
        <w:keepNext/>
        <w:spacing w:after="200" w:before="60" w:line="280" w:lineRule="auto"/>
        <w:jc w:val="left"/>
      </w:pPr>
      <w:r>
        <w:rPr>
          <w:rFonts w:ascii="Calibri"/>
          <w:b/>
          <w:bCs/>
          <w:color w:val="5A6068"/>
          <w:sz w:val="18"/>
          <w:szCs w:val="18"/>
        </w:rPr>
        <w:t xml:space="preserve">Table 1.2. </w:t>
      </w:r>
      <w:r>
        <w:rPr>
          <w:rFonts w:ascii="Calibri"/>
          <w:i/>
          <w:iCs/>
          <w:color w:val="5A6068"/>
          <w:sz w:val="18"/>
          <w:szCs w:val="18"/>
        </w:rPr>
        <w:t xml:space="preserve">Five high-frequency, high-severity pains with quantified impact on the Tier 2 buyer's economics.</w:t>
      </w:r>
    </w:p>
    <w:p>
      <w:pPr>
        <w:pStyle w:val="Heading3"/>
        <w:spacing w:after="120" w:before="240" w:line="320" w:lineRule="atLeast"/>
      </w:pPr>
      <w:bookmarkStart w:id="100011" w:name="_Toc100011"/>
      <w:r>
        <w:rPr>
          <w:rFonts w:ascii="Calibri"/>
          <w:b/>
          <w:bCs/>
          <w:color w:val="1A1A1A"/>
          <w:sz w:val="24"/>
          <w:szCs w:val="24"/>
        </w:rPr>
        <w:t xml:space="preserve">Gains</w:t>
      </w:r>
      <w:bookmarkEnd w:id="100011"/>
    </w:p>
    <w:p>
      <w:pPr>
        <w:spacing w:after="140" w:line="312" w:lineRule="auto"/>
        <w:jc w:val="both"/>
      </w:pPr>
      <w:r>
        <w:rPr>
          <w:rFonts w:ascii="Calibri"/>
          <w:color w:val="1A1A1A"/>
          <w:sz w:val="22"/>
          <w:szCs w:val="22"/>
        </w:rPr>
        <w:t xml:space="preserve">Gains are the outcomes the customer truly wants. Required gains are non-negotiable — without them the customer will not adopt the platform at all. Expected gains are the baseline the customer assumes any modern trading tool should deliver. Desired gains are the upside that would delight the customer and drive word-of-mouth adoption. AurumXchange must hit all five required gains in the MVP; the expected and desired gains are sequenced into Phase 3 and Phase 4.</w:t>
      </w:r>
    </w:p>
    <w:p>
      <w:pPr>
        <w:keepNext/>
        <w:spacing w:after="80" w:before="200" w:line="280" w:lineRule="auto"/>
        <w:jc w:val="left"/>
      </w:pPr>
      <w:r>
        <w:rPr>
          <w:rFonts w:ascii="Calibri"/>
          <w:b/>
          <w:bCs/>
          <w:color w:val="1A1A1A"/>
          <w:sz w:val="22"/>
          <w:szCs w:val="22"/>
        </w:rPr>
        <w:t xml:space="preserve">Table 1.3. </w:t>
      </w:r>
      <w:r>
        <w:rPr>
          <w:rFonts w:ascii="Calibri"/>
          <w:b/>
          <w:bCs/>
          <w:color w:val="1A1A1A"/>
          <w:sz w:val="22"/>
          <w:szCs w:val="22"/>
        </w:rPr>
        <w:t xml:space="preserve">Customer Gains — Required, Expected, Desired</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w:t>
            </w:r>
          </w:p>
        </w:tc>
        <w:tc>
          <w:tcPr>
            <w:tcW w:type="pct" w:w="27%"/>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Gain</w:t>
            </w:r>
          </w:p>
        </w:tc>
        <w:tc>
          <w:tcPr>
            <w:tcW w:type="pct" w:w="13%"/>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Type</w:t>
            </w:r>
          </w:p>
        </w:tc>
        <w:tc>
          <w:tcPr>
            <w:tcW w:type="pct" w:w="5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Outcome the Customer Wants</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G1</w:t>
            </w:r>
          </w:p>
        </w:tc>
        <w:tc>
          <w:tcPr>
            <w:tcW w:type="pct" w:w="2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Compliance-grade audit trail</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Required</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Every trade automatically produces a tamper-evident chain-of-custody record (lot ID, assay, signatures, escrow release, delivery) suitable for Minerals Commission, PMMC, GRA, and international refiner audits.</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G2</w:t>
            </w:r>
          </w:p>
        </w:tc>
        <w:tc>
          <w:tcPr>
            <w:tcW w:type="pct" w:w="2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protection</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Required</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Funds leave the buyer's bank only when gold title has verifiably transferred to the buyer; the funds-at-risk window collapses from days to seconds.</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G3</w:t>
            </w:r>
          </w:p>
        </w:tc>
        <w:tc>
          <w:tcPr>
            <w:tcW w:type="pct" w:w="2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Price transparency</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Expected</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Buyer sees competing bids on a lot before committing, and sees historical trade prices for similar lots (weight, purity, origin) for the last 90 days.</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G4</w:t>
            </w:r>
          </w:p>
        </w:tc>
        <w:tc>
          <w:tcPr>
            <w:tcW w:type="pct" w:w="2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Faster export documentation</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Expected</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Chamber-approved trades flow into a pre-populated export documentation workflow, cutting the 6-day PMMC release cycle to under 36 hours.</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G5</w:t>
            </w:r>
          </w:p>
        </w:tc>
        <w:tc>
          <w:tcPr>
            <w:tcW w:type="pct" w:w="2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Market intelligence</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Desired</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Daily LBMA PM Fix, regional demand signals by destination country, and a personalized 'optimal sale timing' recommendation driven by AI price forecasting.</w:t>
            </w:r>
          </w:p>
        </w:tc>
      </w:tr>
    </w:tbl>
    <w:p>
      <w:pPr>
        <w:keepNext/>
        <w:spacing w:after="200" w:before="60" w:line="280" w:lineRule="auto"/>
        <w:jc w:val="left"/>
      </w:pPr>
      <w:r>
        <w:rPr>
          <w:rFonts w:ascii="Calibri"/>
          <w:b/>
          <w:bCs/>
          <w:color w:val="5A6068"/>
          <w:sz w:val="18"/>
          <w:szCs w:val="18"/>
        </w:rPr>
        <w:t xml:space="preserve">Table 1.3. </w:t>
      </w:r>
      <w:r>
        <w:rPr>
          <w:rFonts w:ascii="Calibri"/>
          <w:i/>
          <w:iCs/>
          <w:color w:val="5A6068"/>
          <w:sz w:val="18"/>
          <w:szCs w:val="18"/>
        </w:rPr>
        <w:t xml:space="preserve">Five gains categorized by adoption criticality. Required gains gate MVP adoption; desired gains drive Phase 4 differentiation.</w:t>
      </w:r>
    </w:p>
    <w:p>
      <w:pPr>
        <w:pStyle w:val="Heading2"/>
        <w:spacing w:after="160" w:before="360" w:line="340" w:lineRule="atLeast"/>
      </w:pPr>
      <w:bookmarkStart w:id="100012" w:name="_Toc100012"/>
      <w:r>
        <w:rPr>
          <w:rFonts w:ascii="Calibri"/>
          <w:b/>
          <w:bCs/>
          <w:color w:val="1A1A1A"/>
          <w:sz w:val="28"/>
          <w:szCs w:val="28"/>
        </w:rPr>
        <w:t xml:space="preserve">B. Value Map</w:t>
      </w:r>
      <w:bookmarkEnd w:id="100012"/>
    </w:p>
    <w:p>
      <w:pPr>
        <w:spacing w:after="140" w:line="312" w:lineRule="auto"/>
        <w:jc w:val="both"/>
      </w:pPr>
      <w:r>
        <w:rPr>
          <w:rFonts w:ascii="Calibri"/>
          <w:color w:val="1A1A1A"/>
          <w:sz w:val="22"/>
          <w:szCs w:val="22"/>
        </w:rPr>
        <w:t xml:space="preserve">The Value Map describes what AurumXchange actually is and how each feature maps to a specific customer pain or gain. The MVP scope (Phase 1 + Phase 2) is the smallest feature set that relieves every Required pain and creates every Required gain; Expected gains are partially delivered in MVP and fully delivered in Phase 3; Desired gains are deferred to Phase 4. This sequencing is what later allows the Project Charter to declare specific features In-Scope and Out-of-Scope without breaking the Golden Thread.</w:t>
      </w:r>
    </w:p>
    <w:p>
      <w:pPr>
        <w:pStyle w:val="Heading3"/>
        <w:spacing w:after="120" w:before="240" w:line="320" w:lineRule="atLeast"/>
      </w:pPr>
      <w:bookmarkStart w:id="100013" w:name="_Toc100013"/>
      <w:r>
        <w:rPr>
          <w:rFonts w:ascii="Calibri"/>
          <w:b/>
          <w:bCs/>
          <w:color w:val="1A1A1A"/>
          <w:sz w:val="24"/>
          <w:szCs w:val="24"/>
        </w:rPr>
        <w:t xml:space="preserve">Products &amp; Services (MVP Scope)</w:t>
      </w:r>
      <w:bookmarkEnd w:id="100013"/>
    </w:p>
    <w:p>
      <w:pPr>
        <w:spacing w:after="140" w:line="312" w:lineRule="auto"/>
        <w:jc w:val="both"/>
      </w:pPr>
      <w:r>
        <w:rPr>
          <w:rFonts w:ascii="Calibri"/>
          <w:color w:val="1A1A1A"/>
          <w:sz w:val="22"/>
          <w:szCs w:val="22"/>
        </w:rPr>
        <w:t xml:space="preserve">The MVP is the smallest releasable product that delivers the Required gains and relieves the Required pains. It comprises two functional modules and one compliance module: the Digital Member Portal (Phase 1), the Trading Platform (Phase 2), and a Compliance Core that spans both phases. The list below is the authoritative MVP feature inventory; any feature not listed here is Out-of-Scope for the initial release and is enumerated as such in the Project Charter.</w:t>
      </w:r>
    </w:p>
    <w:p>
      <w:pPr>
        <w:pStyle w:val="ListParagraph"/>
        <w:numPr>
          <w:ilvl w:val="0"/>
          <w:numId w:val="1"/>
        </w:numPr>
        <w:spacing w:after="80" w:line="300" w:lineRule="auto"/>
        <w:jc w:val="left"/>
      </w:pPr>
      <w:r>
        <w:rPr>
          <w:rFonts w:ascii="Calibri"/>
          <w:b/>
          <w:bCs/>
          <w:color w:val="1A1A1A"/>
          <w:sz w:val="22"/>
          <w:szCs w:val="22"/>
        </w:rPr>
        <w:t xml:space="preserve">Digital Member Portal (Phase 1): </w:t>
      </w:r>
      <w:r>
        <w:rPr>
          <w:rFonts w:ascii="Calibri"/>
          <w:color w:val="1A1A1A"/>
          <w:sz w:val="22"/>
          <w:szCs w:val="22"/>
        </w:rPr>
        <w:t xml:space="preserve">Member registration and KYC/AML verification; Minerals Commission licence upload and verification; digital member profile; document repository; in-app messaging; notification centre; role-based access control for buyer, seller, Chamber approver, and administrator.</w:t>
      </w:r>
    </w:p>
    <w:p>
      <w:pPr>
        <w:pStyle w:val="ListParagraph"/>
        <w:numPr>
          <w:ilvl w:val="0"/>
          <w:numId w:val="1"/>
        </w:numPr>
        <w:spacing w:after="80" w:line="300" w:lineRule="auto"/>
        <w:jc w:val="left"/>
      </w:pPr>
      <w:r>
        <w:rPr>
          <w:rFonts w:ascii="Calibri"/>
          <w:b/>
          <w:bCs/>
          <w:color w:val="1A1A1A"/>
          <w:sz w:val="22"/>
          <w:szCs w:val="22"/>
        </w:rPr>
        <w:t xml:space="preserve">Trading Platform (Phase 2): </w:t>
      </w:r>
      <w:r>
        <w:rPr>
          <w:rFonts w:ascii="Calibri"/>
          <w:color w:val="1A1A1A"/>
          <w:sz w:val="22"/>
          <w:szCs w:val="22"/>
        </w:rPr>
        <w:t xml:space="preserve">Gold lot creation (weight, purity, serial numbers, photo, assay certificate upload); RFQ submission and response; bid comparison dashboard; negotiation and counter-offer thread; Chamber trade-approval workflow; digital contract generation and e-signature; escrow integration with partner bank; delivery tracking against PMMC release.</w:t>
      </w:r>
    </w:p>
    <w:p>
      <w:pPr>
        <w:pStyle w:val="ListParagraph"/>
        <w:numPr>
          <w:ilvl w:val="0"/>
          <w:numId w:val="1"/>
        </w:numPr>
        <w:spacing w:after="80" w:line="300" w:lineRule="auto"/>
        <w:jc w:val="left"/>
      </w:pPr>
      <w:r>
        <w:rPr>
          <w:rFonts w:ascii="Calibri"/>
          <w:b/>
          <w:bCs/>
          <w:color w:val="1A1A1A"/>
          <w:sz w:val="22"/>
          <w:szCs w:val="22"/>
        </w:rPr>
        <w:t xml:space="preserve">Compliance Core (cross-cutting): </w:t>
      </w:r>
      <w:r>
        <w:rPr>
          <w:rFonts w:ascii="Calibri"/>
          <w:color w:val="1A1A1A"/>
          <w:sz w:val="22"/>
          <w:szCs w:val="22"/>
        </w:rPr>
        <w:t xml:space="preserve">Immutable audit log for every state change in a trade; PII handling in compliance with Ghana Data Protection Act 2012 (Act 843); SOC 2-aligned access controls; export of audit packages for Minerals Commission, PMMC, and GRA review.</w:t>
      </w:r>
    </w:p>
    <w:p>
      <w:pPr>
        <w:pStyle w:val="ListParagraph"/>
        <w:numPr>
          <w:ilvl w:val="0"/>
          <w:numId w:val="1"/>
        </w:numPr>
        <w:spacing w:after="80" w:line="300" w:lineRule="auto"/>
        <w:jc w:val="left"/>
      </w:pPr>
      <w:r>
        <w:rPr>
          <w:rFonts w:ascii="Calibri"/>
          <w:b/>
          <w:bCs/>
          <w:color w:val="1A1A1A"/>
          <w:sz w:val="22"/>
          <w:szCs w:val="22"/>
        </w:rPr>
        <w:t xml:space="preserve">Deferred to Phase 3: </w:t>
      </w:r>
      <w:r>
        <w:rPr>
          <w:rFonts w:ascii="Calibri"/>
          <w:color w:val="1A1A1A"/>
          <w:sz w:val="22"/>
          <w:szCs w:val="22"/>
        </w:rPr>
        <w:t xml:space="preserve">Assay service requests; logistics coordination (armored transport, vault storage); insurance referral; export documentation pre-population; vault management.</w:t>
      </w:r>
    </w:p>
    <w:p>
      <w:pPr>
        <w:pStyle w:val="ListParagraph"/>
        <w:numPr>
          <w:ilvl w:val="0"/>
          <w:numId w:val="1"/>
        </w:numPr>
        <w:spacing w:after="80" w:line="300" w:lineRule="auto"/>
        <w:jc w:val="left"/>
      </w:pPr>
      <w:r>
        <w:rPr>
          <w:rFonts w:ascii="Calibri"/>
          <w:b/>
          <w:bCs/>
          <w:color w:val="1A1A1A"/>
          <w:sz w:val="22"/>
          <w:szCs w:val="22"/>
        </w:rPr>
        <w:t xml:space="preserve">Deferred to Phase 4: </w:t>
      </w:r>
      <w:r>
        <w:rPr>
          <w:rFonts w:ascii="Calibri"/>
          <w:color w:val="1A1A1A"/>
          <w:sz w:val="22"/>
          <w:szCs w:val="22"/>
        </w:rPr>
        <w:t xml:space="preserve">Market intelligence dashboard; AI-powered price prediction; collusion and fraud detection; regional demand forecasting; optimal sale-timing recommendation.</w:t>
      </w:r>
    </w:p>
    <w:p>
      <w:pPr>
        <w:pStyle w:val="Heading3"/>
        <w:spacing w:after="120" w:before="240" w:line="320" w:lineRule="atLeast"/>
      </w:pPr>
      <w:bookmarkStart w:id="100014" w:name="_Toc100014"/>
      <w:r>
        <w:rPr>
          <w:rFonts w:ascii="Calibri"/>
          <w:b/>
          <w:bCs/>
          <w:color w:val="1A1A1A"/>
          <w:sz w:val="24"/>
          <w:szCs w:val="24"/>
        </w:rPr>
        <w:t xml:space="preserve">Pain Relievers</w:t>
      </w:r>
      <w:bookmarkEnd w:id="100014"/>
    </w:p>
    <w:p>
      <w:pPr>
        <w:spacing w:after="140" w:line="312" w:lineRule="auto"/>
        <w:jc w:val="both"/>
      </w:pPr>
      <w:r>
        <w:rPr>
          <w:rFonts w:ascii="Calibri"/>
          <w:color w:val="1A1A1A"/>
          <w:sz w:val="22"/>
          <w:szCs w:val="22"/>
        </w:rPr>
        <w:t xml:space="preserve">Each pain in Table 1.2 is mapped below to the specific AurumXchange feature that relieves it. The mapping is explicit because vague claims ('better compliance') are not testable. The Charter's acceptance criteria reference these mappings directly.</w:t>
      </w:r>
    </w:p>
    <w:p>
      <w:pPr>
        <w:keepNext/>
        <w:spacing w:after="80" w:before="200" w:line="280" w:lineRule="auto"/>
        <w:jc w:val="left"/>
      </w:pPr>
      <w:r>
        <w:rPr>
          <w:rFonts w:ascii="Calibri"/>
          <w:b/>
          <w:bCs/>
          <w:color w:val="1A1A1A"/>
          <w:sz w:val="22"/>
          <w:szCs w:val="22"/>
        </w:rPr>
        <w:t xml:space="preserve">Table 1.4. </w:t>
      </w:r>
      <w:r>
        <w:rPr>
          <w:rFonts w:ascii="Calibri"/>
          <w:b/>
          <w:bCs/>
          <w:color w:val="1A1A1A"/>
          <w:sz w:val="22"/>
          <w:szCs w:val="22"/>
        </w:rPr>
        <w:t xml:space="preserve">Pain Relievers — Pain X is Relieved by Feature Y</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tblGrid>
      <w:tr>
        <w:trPr>
          <w:cantSplit/>
          <w:tblHeader/>
        </w:trPr>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Pain</w:t>
            </w:r>
          </w:p>
        </w:tc>
        <w:tc>
          <w:tcPr>
            <w:tcW w:type="pct" w:w="2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Feature That Relieves It</w:t>
            </w:r>
          </w:p>
        </w:tc>
        <w:tc>
          <w:tcPr>
            <w:tcW w:type="pct" w:w="5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How It Relieves the Pain</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P1 — Price opacity</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RFQ + bid comparison dashboard (Phase 2)</w:t>
            </w:r>
          </w:p>
        </w:tc>
        <w:tc>
          <w:tcPr>
            <w:tcW w:type="pct" w:w="5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Buyer sees all competing bids for a lot before committing, plus 90-day historical trade prices for similar lots; overpayment drops because the buyer no longer bids blind.</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P2 — Counterparty risk</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KYC/AML + licence verification at onboarding (Phase 1)</w:t>
            </w:r>
          </w:p>
        </w:tc>
        <w:tc>
          <w:tcPr>
            <w:tcW w:type="pct" w:w="5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Every seller's Minerals Commission licence and assay history is verified at onboarding and re-verified monthly; unverified sellers cannot list lots, so the buyer never faces the 'is this seller real?' question.</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P3 — Export documentation drag</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Chamber-approved trade feeds PMMC export workflow (Phase 3 — partial MVP via Compliance Core export)</w:t>
            </w:r>
          </w:p>
        </w:tc>
        <w:tc>
          <w:tcPr>
            <w:tcW w:type="pct" w:w="5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MVP delivers the audit package; full Phase 3 closes the loop with PMMC system integration. MVP reduces staff-hours from 14 to 6 per shipment; Phase 3 reduces elapsed time from 6 days to &lt;36 hours.</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P4 — Funds-at-risk window</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integration with partner bank (Phase 2)</w:t>
            </w:r>
          </w:p>
        </w:tc>
        <w:tc>
          <w:tcPr>
            <w:tcW w:type="pct" w:w="5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Funds are released from escrow only when both (a) the Chamber has approved the trade and (b) gold title has transferred; the funds-at-risk window collapses from days to seconds.</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P5 — Audit trail fragmentation</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Immutable audit log in Compliance Core (Phase 1 + Phase 2)</w:t>
            </w:r>
          </w:p>
        </w:tc>
        <w:tc>
          <w:tcPr>
            <w:tcW w:type="pct" w:w="5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Every state change in a trade (lot created, bid submitted, contract signed, escrow released, delivery confirmed) is written to an append-only log; a single audit-package export replaces the current WhatsApp + paper + PDF reconstruction.</w:t>
            </w:r>
          </w:p>
        </w:tc>
      </w:tr>
    </w:tbl>
    <w:p>
      <w:pPr>
        <w:keepNext/>
        <w:spacing w:after="200" w:before="60" w:line="280" w:lineRule="auto"/>
        <w:jc w:val="left"/>
      </w:pPr>
      <w:r>
        <w:rPr>
          <w:rFonts w:ascii="Calibri"/>
          <w:b/>
          <w:bCs/>
          <w:color w:val="5A6068"/>
          <w:sz w:val="18"/>
          <w:szCs w:val="18"/>
        </w:rPr>
        <w:t xml:space="preserve">Table 1.4. </w:t>
      </w:r>
      <w:r>
        <w:rPr>
          <w:rFonts w:ascii="Calibri"/>
          <w:i/>
          <w:iCs/>
          <w:color w:val="5A6068"/>
          <w:sz w:val="18"/>
          <w:szCs w:val="18"/>
        </w:rPr>
        <w:t xml:space="preserve">Every pain from Table 1.2 is mapped to a specific MVP or near-MVP feature. No pain is left without a reliever.</w:t>
      </w:r>
    </w:p>
    <w:p>
      <w:pPr>
        <w:pStyle w:val="Heading3"/>
        <w:spacing w:after="120" w:before="240" w:line="320" w:lineRule="atLeast"/>
      </w:pPr>
      <w:bookmarkStart w:id="100015" w:name="_Toc100015"/>
      <w:r>
        <w:rPr>
          <w:rFonts w:ascii="Calibri"/>
          <w:b/>
          <w:bCs/>
          <w:color w:val="1A1A1A"/>
          <w:sz w:val="24"/>
          <w:szCs w:val="24"/>
        </w:rPr>
        <w:t xml:space="preserve">Gain Creators</w:t>
      </w:r>
      <w:bookmarkEnd w:id="100015"/>
    </w:p>
    <w:p>
      <w:pPr>
        <w:spacing w:after="140" w:line="312" w:lineRule="auto"/>
        <w:jc w:val="both"/>
      </w:pPr>
      <w:r>
        <w:rPr>
          <w:rFonts w:ascii="Calibri"/>
          <w:color w:val="1A1A1A"/>
          <w:sz w:val="22"/>
          <w:szCs w:val="22"/>
        </w:rPr>
        <w:t xml:space="preserve">Each gain in Table 1.3 is mapped below to the specific AurumXchange capability that creates it. The distinction between Pain Relievers (which remove a negative) and Gain Creators (which produce a positive) is what allows the BMC's Value Proposition block to be written as a positive claim rather than as the absence of a problem.</w:t>
      </w:r>
    </w:p>
    <w:p>
      <w:pPr>
        <w:keepNext/>
        <w:spacing w:after="80" w:before="200" w:line="280" w:lineRule="auto"/>
        <w:jc w:val="left"/>
      </w:pPr>
      <w:r>
        <w:rPr>
          <w:rFonts w:ascii="Calibri"/>
          <w:b/>
          <w:bCs/>
          <w:color w:val="1A1A1A"/>
          <w:sz w:val="22"/>
          <w:szCs w:val="22"/>
        </w:rPr>
        <w:t xml:space="preserve">Table 1.5. </w:t>
      </w:r>
      <w:r>
        <w:rPr>
          <w:rFonts w:ascii="Calibri"/>
          <w:b/>
          <w:bCs/>
          <w:color w:val="1A1A1A"/>
          <w:sz w:val="22"/>
          <w:szCs w:val="22"/>
        </w:rPr>
        <w:t xml:space="preserve">Gain Creators — Gain Z is Created by Capability W</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tblGrid>
      <w:tr>
        <w:trPr>
          <w:cantSplit/>
          <w:tblHeader/>
        </w:trPr>
        <w:tc>
          <w:tcPr>
            <w:tcW w:type="pct" w:w="2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Gain</w:t>
            </w:r>
          </w:p>
        </w:tc>
        <w:tc>
          <w:tcPr>
            <w:tcW w:type="pct" w:w="2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Capability That Creates It</w:t>
            </w:r>
          </w:p>
        </w:tc>
        <w:tc>
          <w:tcPr>
            <w:tcW w:type="pct" w:w="4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Outcome Produced</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G1 — Compliance-grade audit trail</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Immutable, append-only audit log (Compliance Core)</w:t>
            </w:r>
          </w:p>
        </w:tc>
        <w:tc>
          <w:tcPr>
            <w:tcW w:type="pct" w:w="4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 single exportable audit package per trade, accepted by Minerals Commission, PMMC, and GRA reviewers; reduces audit time per trade from 6 staff-hours to under 30 minutes.</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G2 — Escrow protection</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Partner-bank escrow integration with two-signature release (Phase 2)</w:t>
            </w:r>
          </w:p>
        </w:tc>
        <w:tc>
          <w:tcPr>
            <w:tcW w:type="pct" w:w="4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Funds move only on joint confirmation of Chamber approval + title transfer; the funds-at-risk window collapses from days to seconds and the buyer's worst-case exposure drops to zero.</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G3 — Price transparency</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Bid comparison dashboard + 90-day historical price feed (Phase 2)</w:t>
            </w:r>
          </w:p>
        </w:tc>
        <w:tc>
          <w:tcPr>
            <w:tcW w:type="pct" w:w="4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Buyer sees competing bids and historical comps before committing; overpayment incidents drop from 1-in-4 trades to under 1-in-10 by month 12 post-launch.</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G4 — Faster export documentation</w:t>
            </w:r>
          </w:p>
        </w:tc>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Core audit export → PMMC workflow (Phase 2 MVP, full Phase 3)</w:t>
            </w:r>
          </w:p>
        </w:tc>
        <w:tc>
          <w:tcPr>
            <w:tcW w:type="pct" w:w="4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MVP reduces staff-hours per shipment from 14 to 6; Phase 3 reduces elapsed time from 6 days to under 36 hours once PMMC system integration is live.</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G5 — Market intelligence</w:t>
            </w:r>
          </w:p>
        </w:tc>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Phase 4 market intelligence module (LBMA feed + AI price forecasting)</w:t>
            </w:r>
          </w:p>
        </w:tc>
        <w:tc>
          <w:tcPr>
            <w:tcW w:type="pct" w:w="4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Daily LBMA PM Fix, regional demand by destination, and personalized sale-timing recommendation; deferred to Phase 4 but designed for in MVP data model.</w:t>
            </w:r>
          </w:p>
        </w:tc>
      </w:tr>
    </w:tbl>
    <w:p>
      <w:pPr>
        <w:keepNext/>
        <w:spacing w:after="200" w:before="60" w:line="280" w:lineRule="auto"/>
        <w:jc w:val="left"/>
      </w:pPr>
      <w:r>
        <w:rPr>
          <w:rFonts w:ascii="Calibri"/>
          <w:b/>
          <w:bCs/>
          <w:color w:val="5A6068"/>
          <w:sz w:val="18"/>
          <w:szCs w:val="18"/>
        </w:rPr>
        <w:t xml:space="preserve">Table 1.5. </w:t>
      </w:r>
      <w:r>
        <w:rPr>
          <w:rFonts w:ascii="Calibri"/>
          <w:i/>
          <w:iCs/>
          <w:color w:val="5A6068"/>
          <w:sz w:val="18"/>
          <w:szCs w:val="18"/>
        </w:rPr>
        <w:t xml:space="preserve">Every gain from Table 1.3 is mapped to a specific capability. Desired gains (G5) are explicitly deferred to Phase 4.</w:t>
      </w:r>
    </w:p>
    <w:p>
      <w:pPr>
        <w:pStyle w:val="Heading2"/>
        <w:spacing w:after="160" w:before="360" w:line="340" w:lineRule="atLeast"/>
      </w:pPr>
      <w:bookmarkStart w:id="100016" w:name="_Toc100016"/>
      <w:r>
        <w:rPr>
          <w:rFonts w:ascii="Calibri"/>
          <w:b/>
          <w:bCs/>
          <w:color w:val="1A1A1A"/>
          <w:sz w:val="28"/>
          <w:szCs w:val="28"/>
        </w:rPr>
        <w:t xml:space="preserve">C. The Fit Statement</w:t>
      </w:r>
      <w:bookmarkEnd w:id="100016"/>
    </w:p>
    <w:p>
      <w:pPr>
        <w:spacing w:after="140" w:line="312" w:lineRule="auto"/>
        <w:jc w:val="both"/>
      </w:pPr>
      <w:r>
        <w:rPr>
          <w:rFonts w:ascii="Calibri"/>
          <w:color w:val="1A1A1A"/>
          <w:sz w:val="22"/>
          <w:szCs w:val="22"/>
        </w:rPr>
        <w:t xml:space="preserve">The Fit Statement compresses the entire VPC into a single sentence in the format required by the brief. It is the canonical articulation of AurumXchange's value proposition and is reproduced verbatim in the Business Model Canvas's Value Propositions block.</w:t>
      </w:r>
    </w:p>
    <w:p>
      <w:pPr>
        <w:pBdr>
          <w:top w:val="single" w:color="C9A84C" w:sz="12" w:space="12"/>
          <w:bottom w:val="single" w:color="C9A84C" w:sz="12" w:space="12"/>
          <w:left w:val="single" w:color="C9A84C" w:sz="4" w:space="12"/>
          <w:right w:val="single" w:color="C9A84C" w:sz="4" w:space="12"/>
        </w:pBdr>
        <w:spacing w:after="240" w:before="240" w:line="360" w:lineRule="atLeast"/>
        <w:ind w:left="600" w:right="600"/>
        <w:jc w:val="center"/>
      </w:pPr>
      <w:r>
        <w:rPr>
          <w:rFonts w:ascii="Calibri"/>
          <w:b/>
          <w:bCs/>
          <w:i/>
          <w:iCs/>
          <w:color w:val="1A1A1A"/>
          <w:sz w:val="22"/>
          <w:szCs w:val="22"/>
        </w:rPr>
        <w:t xml:space="preserve">For licensed Tier 1 and Tier 2 gold buyers and sellers in Ghana who must trade high-value gold under strict Minerals Commission, PMMC, and LBMA compliance without exposing themselves to price opacity, counterparty risk, or funds-at-risk windows, AurumXchange is a regulated B2B gold trading infrastructure that combines RFQ-driven negotiation, Chamber-approved escrow, and an immutable audit trail into a single compliance-gated exchange. Unlike the status quo of phone-brokered deals and fragmented paperwork, AurumXchange collapses every trade into a single auditable workflow where funds move only when title transfers.</w:t>
      </w:r>
    </w:p>
    <w:p>
      <w:pPr>
        <w:spacing w:after="140" w:line="312" w:lineRule="auto"/>
        <w:jc w:val="both"/>
      </w:pPr>
      <w:r>
        <w:rPr>
          <w:rFonts w:ascii="Calibri"/>
          <w:color w:val="1A1A1A"/>
          <w:sz w:val="22"/>
          <w:szCs w:val="22"/>
        </w:rPr>
        <w:t xml:space="preserve">This Fit Statement is the contract between the VPC and the rest of the business case. Every downstream claim — the BMC's Value Proposition, the Financial Documentation's revenue assumption that buyers will pay a 0.10% fee per side, and the Charter's scope of Phase 1 and Phase 2 features — is traceable to this single sentence. If a reviewer disagrees with the Fit Statement, the entire business case must be revisited; if they accept it, the four documents that follow should be evaluated against how faithfully they operationalize it.</w:t>
      </w:r>
    </w:p>
    <w:p>
      <w:r>
        <w:br w:type="page"/>
      </w:r>
    </w:p>
    <w:p>
      <w:pPr>
        <w:pStyle w:val="Heading1"/>
        <w:spacing w:after="200" w:before="480" w:line="360" w:lineRule="atLeast"/>
      </w:pPr>
      <w:bookmarkStart w:id="100017" w:name="_Toc100017"/>
      <w:r>
        <w:rPr>
          <w:rFonts w:ascii="Calibri"/>
          <w:b/>
          <w:bCs/>
          <w:color w:val="1A1A1A"/>
          <w:sz w:val="32"/>
          <w:szCs w:val="32"/>
        </w:rPr>
        <w:t xml:space="preserve">Document 2 — Business Model Canvas</w:t>
      </w:r>
      <w:bookmarkEnd w:id="100017"/>
    </w:p>
    <w:p>
      <w:pPr>
        <w:spacing w:after="140" w:line="312" w:lineRule="auto"/>
        <w:jc w:val="both"/>
      </w:pPr>
      <w:r>
        <w:rPr>
          <w:rFonts w:ascii="Calibri"/>
          <w:color w:val="1A1A1A"/>
          <w:sz w:val="22"/>
          <w:szCs w:val="22"/>
        </w:rPr>
        <w:t xml:space="preserve">The Business Model Canvas translates the VPC's Fit Statement into a sustainable commercial architecture. It is presented here as a single-page narrative across all nine building blocks, organized so that the right side (Customer Segments, Value Propositions, Channels, Customer Relationships, Revenue Streams) describes how AurumXchange creates and captures value in the market, and the left side (Key Activities, Key Resources, Key Partnerships, Cost Structure) describes how Sahel Systems builds and operates the platform. The Revenue Streams block carries pricing assumptions that reappear, line-for-line, in the Financial Documentation's bottom-up revenue model; the Key Partnerships block lists external dependencies that reappear, line-for-line, in the OpEx budget. This is the Golden Thread in its first explicit form.</w:t>
      </w:r>
    </w:p>
    <w:p>
      <w:pPr>
        <w:pStyle w:val="Heading2"/>
        <w:spacing w:after="160" w:before="360" w:line="340" w:lineRule="atLeast"/>
      </w:pPr>
      <w:bookmarkStart w:id="100018" w:name="_Toc100018"/>
      <w:r>
        <w:rPr>
          <w:rFonts w:ascii="Calibri"/>
          <w:b/>
          <w:bCs/>
          <w:color w:val="1A1A1A"/>
          <w:sz w:val="28"/>
          <w:szCs w:val="28"/>
        </w:rPr>
        <w:t xml:space="preserve">1. Customer Segments</w:t>
      </w:r>
      <w:bookmarkEnd w:id="100018"/>
    </w:p>
    <w:p>
      <w:pPr>
        <w:spacing w:after="140" w:line="312" w:lineRule="auto"/>
        <w:jc w:val="both"/>
      </w:pPr>
      <w:r>
        <w:rPr>
          <w:rFonts w:ascii="Calibri"/>
          <w:color w:val="1A1A1A"/>
          <w:sz w:val="22"/>
          <w:szCs w:val="22"/>
        </w:rPr>
        <w:t xml:space="preserve">AurumXchange serves two primary segments and one secondary segment. The primary segments are the two sides of every trade — licensed sellers and licensed buyers — and the secondary segment is the Chamber itself, which is both regulator-of-record for trade approvals and the recipient of 30% of platform revenue. Each primary segment has a distinct persona; the same person is never both buyer and seller on the same trade, but a single firm may register as both over time.</w:t>
      </w:r>
    </w:p>
    <w:p>
      <w:pPr>
        <w:keepNext/>
        <w:spacing w:after="80" w:before="200" w:line="280" w:lineRule="auto"/>
        <w:jc w:val="left"/>
      </w:pPr>
      <w:r>
        <w:rPr>
          <w:rFonts w:ascii="Calibri"/>
          <w:b/>
          <w:bCs/>
          <w:color w:val="1A1A1A"/>
          <w:sz w:val="22"/>
          <w:szCs w:val="22"/>
        </w:rPr>
        <w:t xml:space="preserve">Table 2.1. </w:t>
      </w:r>
      <w:r>
        <w:rPr>
          <w:rFonts w:ascii="Calibri"/>
          <w:b/>
          <w:bCs/>
          <w:color w:val="1A1A1A"/>
          <w:sz w:val="22"/>
          <w:szCs w:val="22"/>
        </w:rPr>
        <w:t xml:space="preserve">Customer Segments &amp; Personas</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Segment</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Persona</w:t>
            </w:r>
          </w:p>
        </w:tc>
        <w:tc>
          <w:tcPr>
            <w:tcW w:type="pct" w:w="41%"/>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Description</w:t>
            </w:r>
          </w:p>
        </w:tc>
        <w:tc>
          <w:tcPr>
            <w:tcW w:type="pct" w:w="15%"/>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Economic Buyer</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Primary — Tier 2 Sellers</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Abena Owusu (Licensed Local Aggregator)</w:t>
            </w:r>
          </w:p>
        </w:tc>
        <w:tc>
          <w:tcPr>
            <w:tcW w:type="pct" w:w="41%"/>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39-year-old operator of a registered small-scale mining cooperative in Tarkwa; holds Minerals Commission licence; sells 3–8 kg/month of dore gold; needs verified buyers and fast PMMC release.</w:t>
            </w:r>
          </w:p>
        </w:tc>
        <w:tc>
          <w:tcPr>
            <w:tcW w:type="pct" w:w="1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Abena's cooperative (SME)</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Primary — Tier 2 Buyers</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Kofi Mensah (Licensed Exporter-Aggregator)</w:t>
            </w:r>
          </w:p>
        </w:tc>
        <w:tc>
          <w:tcPr>
            <w:tcW w:type="pct" w:w="41%"/>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41-year-old MD of a Kumasi-based exporter; holds Minerals Commission licence + PMMC export permit; sources 4 kg/month from aggregators like Abena; exports to refiners in Switzerland and UAE.</w:t>
            </w:r>
          </w:p>
        </w:tc>
        <w:tc>
          <w:tcPr>
            <w:tcW w:type="pct" w:w="1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Kofi's firm (SME)</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Primary — Tier 1 Buyers</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Marcus Weber (Refiner Procurement Lead)</w:t>
            </w:r>
          </w:p>
        </w:tc>
        <w:tc>
          <w:tcPr>
            <w:tcW w:type="pct" w:w="41%"/>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47-year-old Head of Procurement at a Swiss LBMA-accredited refiner; sources 50–200 kg/month of West African dore; needs responsible-origin documentation and LBMA-compliant audit trail.</w:t>
            </w:r>
          </w:p>
        </w:tc>
        <w:tc>
          <w:tcPr>
            <w:tcW w:type="pct" w:w="1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Refiner corporate parent (Enterprise)</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Secondary — The Chamber</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Nana Chairperson (Chamber President)</w:t>
            </w:r>
          </w:p>
        </w:tc>
        <w:tc>
          <w:tcPr>
            <w:tcW w:type="pct" w:w="41%"/>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Authorized representative of the Ghana Chamber of Gold Buyers; sets trading rules, approves member admissions, approves each trade above a threshold; receives 30% revenue share.</w:t>
            </w:r>
          </w:p>
        </w:tc>
        <w:tc>
          <w:tcPr>
            <w:tcW w:type="pct" w:w="1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The Chamber (Association)</w:t>
            </w:r>
          </w:p>
        </w:tc>
      </w:tr>
    </w:tbl>
    <w:p>
      <w:pPr>
        <w:keepNext/>
        <w:spacing w:after="200" w:before="60" w:line="280" w:lineRule="auto"/>
        <w:jc w:val="left"/>
      </w:pPr>
      <w:r>
        <w:rPr>
          <w:rFonts w:ascii="Calibri"/>
          <w:b/>
          <w:bCs/>
          <w:color w:val="5A6068"/>
          <w:sz w:val="18"/>
          <w:szCs w:val="18"/>
        </w:rPr>
        <w:t xml:space="preserve">Table 2.1. </w:t>
      </w:r>
      <w:r>
        <w:rPr>
          <w:rFonts w:ascii="Calibri"/>
          <w:i/>
          <w:iCs/>
          <w:color w:val="5A6068"/>
          <w:sz w:val="18"/>
          <w:szCs w:val="18"/>
        </w:rPr>
        <w:t xml:space="preserve">Four personas. Tier 2 sellers and buyers are the daily-active users; Tier 1 buyers and the Chamber participate in trades but at lower frequency.</w:t>
      </w:r>
    </w:p>
    <w:p>
      <w:pPr>
        <w:pStyle w:val="Heading2"/>
        <w:spacing w:after="160" w:before="360" w:line="340" w:lineRule="atLeast"/>
      </w:pPr>
      <w:bookmarkStart w:id="100019" w:name="_Toc100019"/>
      <w:r>
        <w:rPr>
          <w:rFonts w:ascii="Calibri"/>
          <w:b/>
          <w:bCs/>
          <w:color w:val="1A1A1A"/>
          <w:sz w:val="28"/>
          <w:szCs w:val="28"/>
        </w:rPr>
        <w:t xml:space="preserve">2. Value Propositions</w:t>
      </w:r>
      <w:bookmarkEnd w:id="100019"/>
    </w:p>
    <w:p>
      <w:pPr>
        <w:spacing w:after="140" w:line="312" w:lineRule="auto"/>
        <w:jc w:val="both"/>
      </w:pPr>
      <w:r>
        <w:rPr>
          <w:rFonts w:ascii="Calibri"/>
          <w:color w:val="1A1A1A"/>
          <w:sz w:val="22"/>
          <w:szCs w:val="22"/>
        </w:rPr>
        <w:t xml:space="preserve">The Value Propositions block summarizes the VPC Fit Statement, restated once per segment where the proposition differs. All four propositions are grounded in the same compliance-gated exchange architecture; the differences are in the specific pain or gain each segment prioritizes.</w:t>
      </w:r>
    </w:p>
    <w:p>
      <w:pPr>
        <w:keepNext/>
        <w:spacing w:after="80" w:before="200" w:line="280" w:lineRule="auto"/>
        <w:jc w:val="left"/>
      </w:pPr>
      <w:r>
        <w:rPr>
          <w:rFonts w:ascii="Calibri"/>
          <w:b/>
          <w:bCs/>
          <w:color w:val="1A1A1A"/>
          <w:sz w:val="22"/>
          <w:szCs w:val="22"/>
        </w:rPr>
        <w:t xml:space="preserve">Table 2.2. </w:t>
      </w:r>
      <w:r>
        <w:rPr>
          <w:rFonts w:ascii="Calibri"/>
          <w:b/>
          <w:bCs/>
          <w:color w:val="1A1A1A"/>
          <w:sz w:val="22"/>
          <w:szCs w:val="22"/>
        </w:rPr>
        <w:t xml:space="preserve">Value Propositions by Segment</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tblGrid>
      <w:tr>
        <w:trPr>
          <w:cantSplit/>
          <w:tblHeader/>
        </w:trPr>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Segment</w:t>
            </w:r>
          </w:p>
        </w:tc>
        <w:tc>
          <w:tcPr>
            <w:tcW w:type="pct" w:w="7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Value Proposition</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Tier 2 Sellers (Abena)</w:t>
            </w:r>
          </w:p>
        </w:tc>
        <w:tc>
          <w:tcPr>
            <w:tcW w:type="pct" w:w="7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AurumXchange gives you verified, licensed buyers in one place and ensures your gold is paid for via escrow before title transfers — collapsing your funds-at-risk window and exposing your lots to competitive bids that improve your realized price.</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Tier 2 Buyers (Kofi)</w:t>
            </w:r>
          </w:p>
        </w:tc>
        <w:tc>
          <w:tcPr>
            <w:tcW w:type="pct" w:w="7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AurumXchange gives you a single compliance-gated workflow where every seller is KYC-verified, every lot has a tamper-evident audit trail, and every payment is held in escrow until title transfers — replacing 6 days of export-documentation drag and unverified-counterparty risk with one auditable trade.</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Tier 1 Buyers (Marcus)</w:t>
            </w:r>
          </w:p>
        </w:tc>
        <w:tc>
          <w:tcPr>
            <w:tcW w:type="pct" w:w="7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AurumXchange gives you LBMA-aligned responsible-origin documentation and a complete chain-of-custody audit trail for every kilogram of Ghanaian dore you source — satisfying your refiner's OECD Due Diligence obligations without adding procurement overhead.</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The Chamber</w:t>
            </w:r>
          </w:p>
        </w:tc>
        <w:tc>
          <w:tcPr>
            <w:tcW w:type="pct" w:w="7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AurumXchange gives you a single digital surface to manage member licensing, approve trades, and earn 30% of platform revenue — without investing upfront capital or operating the technology yourself.</w:t>
            </w:r>
          </w:p>
        </w:tc>
      </w:tr>
    </w:tbl>
    <w:p>
      <w:pPr>
        <w:keepNext/>
        <w:spacing w:after="200" w:before="60" w:line="280" w:lineRule="auto"/>
        <w:jc w:val="left"/>
      </w:pPr>
      <w:r>
        <w:rPr>
          <w:rFonts w:ascii="Calibri"/>
          <w:b/>
          <w:bCs/>
          <w:color w:val="5A6068"/>
          <w:sz w:val="18"/>
          <w:szCs w:val="18"/>
        </w:rPr>
        <w:t xml:space="preserve">Table 2.2. </w:t>
      </w:r>
      <w:r>
        <w:rPr>
          <w:rFonts w:ascii="Calibri"/>
          <w:i/>
          <w:iCs/>
          <w:color w:val="5A6068"/>
          <w:sz w:val="18"/>
          <w:szCs w:val="18"/>
        </w:rPr>
        <w:t xml:space="preserve">Four propositions, all restatements of the VPC Fit Statement tuned to each persona's primary pain or gain.</w:t>
      </w:r>
    </w:p>
    <w:p>
      <w:pPr>
        <w:pStyle w:val="Heading2"/>
        <w:spacing w:after="160" w:before="360" w:line="340" w:lineRule="atLeast"/>
      </w:pPr>
      <w:bookmarkStart w:id="100020" w:name="_Toc100020"/>
      <w:r>
        <w:rPr>
          <w:rFonts w:ascii="Calibri"/>
          <w:b/>
          <w:bCs/>
          <w:color w:val="1A1A1A"/>
          <w:sz w:val="28"/>
          <w:szCs w:val="28"/>
        </w:rPr>
        <w:t xml:space="preserve">3. Channels</w:t>
      </w:r>
      <w:bookmarkEnd w:id="100020"/>
    </w:p>
    <w:p>
      <w:pPr>
        <w:spacing w:after="140" w:line="312" w:lineRule="auto"/>
        <w:jc w:val="both"/>
      </w:pPr>
      <w:r>
        <w:rPr>
          <w:rFonts w:ascii="Calibri"/>
          <w:color w:val="1A1A1A"/>
          <w:sz w:val="22"/>
          <w:szCs w:val="22"/>
        </w:rPr>
        <w:t xml:space="preserve">Channels describe how a user discovers, evaluates, purchases, and accesses AurumXchange. Because the Chamber is the channel partner, the discovery and evaluation channels are largely owned by the Chamber rather than by Sahel Systems — this is what makes the 30% revenue share defensible. The access channel is owned by Sahel Systems and is the only channel that incurs variable per-user cost.</w:t>
      </w:r>
    </w:p>
    <w:p>
      <w:pPr>
        <w:pStyle w:val="ListParagraph"/>
        <w:numPr>
          <w:ilvl w:val="0"/>
          <w:numId w:val="1"/>
        </w:numPr>
        <w:spacing w:after="80" w:line="300" w:lineRule="auto"/>
        <w:jc w:val="left"/>
      </w:pPr>
      <w:r>
        <w:rPr>
          <w:rFonts w:ascii="Calibri"/>
          <w:b/>
          <w:bCs/>
          <w:color w:val="1A1A1A"/>
          <w:sz w:val="22"/>
          <w:szCs w:val="22"/>
        </w:rPr>
        <w:t xml:space="preserve">Discovery: </w:t>
      </w:r>
      <w:r>
        <w:rPr>
          <w:rFonts w:ascii="Calibri"/>
          <w:color w:val="1A1A1A"/>
          <w:sz w:val="22"/>
          <w:szCs w:val="22"/>
        </w:rPr>
        <w:t xml:space="preserve">Chamber membership communications (quarterly meeting, member WhatsApp groups, Chamber website), Chamber-led industry events, and word-of-mouth between licensed buyers. Sahel Systems does not run paid acquisition in the discovery channel — the Chamber's endorsement is the acquisition.</w:t>
      </w:r>
    </w:p>
    <w:p>
      <w:pPr>
        <w:pStyle w:val="ListParagraph"/>
        <w:numPr>
          <w:ilvl w:val="0"/>
          <w:numId w:val="1"/>
        </w:numPr>
        <w:spacing w:after="80" w:line="300" w:lineRule="auto"/>
        <w:jc w:val="left"/>
      </w:pPr>
      <w:r>
        <w:rPr>
          <w:rFonts w:ascii="Calibri"/>
          <w:b/>
          <w:bCs/>
          <w:color w:val="1A1A1A"/>
          <w:sz w:val="22"/>
          <w:szCs w:val="22"/>
        </w:rPr>
        <w:t xml:space="preserve">Evaluation: </w:t>
      </w:r>
      <w:r>
        <w:rPr>
          <w:rFonts w:ascii="Calibri"/>
          <w:color w:val="1A1A1A"/>
          <w:sz w:val="22"/>
          <w:szCs w:val="22"/>
        </w:rPr>
        <w:t xml:space="preserve">Chamber-hosted demo sessions (in-person in Accra, Kumasi, Tarkwa), on-demand product walkthrough video, and a 14-day free Professional-tier trial for verified members.</w:t>
      </w:r>
    </w:p>
    <w:p>
      <w:pPr>
        <w:pStyle w:val="ListParagraph"/>
        <w:numPr>
          <w:ilvl w:val="0"/>
          <w:numId w:val="1"/>
        </w:numPr>
        <w:spacing w:after="80" w:line="300" w:lineRule="auto"/>
        <w:jc w:val="left"/>
      </w:pPr>
      <w:r>
        <w:rPr>
          <w:rFonts w:ascii="Calibri"/>
          <w:b/>
          <w:bCs/>
          <w:color w:val="1A1A1A"/>
          <w:sz w:val="22"/>
          <w:szCs w:val="22"/>
        </w:rPr>
        <w:t xml:space="preserve">Purchase / Subscription: </w:t>
      </w:r>
      <w:r>
        <w:rPr>
          <w:rFonts w:ascii="Calibri"/>
          <w:color w:val="1A1A1A"/>
          <w:sz w:val="22"/>
          <w:szCs w:val="22"/>
        </w:rPr>
        <w:t xml:space="preserve">Self-service upgrade inside the platform (Free → Professional → Enterprise), with invoice billing for Enterprise. No salesperson touches the transaction below the Enterprise tier.</w:t>
      </w:r>
    </w:p>
    <w:p>
      <w:pPr>
        <w:pStyle w:val="ListParagraph"/>
        <w:numPr>
          <w:ilvl w:val="0"/>
          <w:numId w:val="1"/>
        </w:numPr>
        <w:spacing w:after="80" w:line="300" w:lineRule="auto"/>
        <w:jc w:val="left"/>
      </w:pPr>
      <w:r>
        <w:rPr>
          <w:rFonts w:ascii="Calibri"/>
          <w:b/>
          <w:bCs/>
          <w:color w:val="1A1A1A"/>
          <w:sz w:val="22"/>
          <w:szCs w:val="22"/>
        </w:rPr>
        <w:t xml:space="preserve">Access: </w:t>
      </w:r>
      <w:r>
        <w:rPr>
          <w:rFonts w:ascii="Calibri"/>
          <w:color w:val="1A1A1A"/>
          <w:sz w:val="22"/>
          <w:szCs w:val="22"/>
        </w:rPr>
        <w:t xml:space="preserve">Web application (responsive, mobile-friendly), accessible from any modern browser. Native mobile apps (iOS/Android) are explicitly Out-of-Scope for MVP and are deferred to a post-launch Phase 5 release.</w:t>
      </w:r>
    </w:p>
    <w:p>
      <w:pPr>
        <w:pStyle w:val="Heading2"/>
        <w:spacing w:after="160" w:before="360" w:line="340" w:lineRule="atLeast"/>
      </w:pPr>
      <w:bookmarkStart w:id="100021" w:name="_Toc100021"/>
      <w:r>
        <w:rPr>
          <w:rFonts w:ascii="Calibri"/>
          <w:b/>
          <w:bCs/>
          <w:color w:val="1A1A1A"/>
          <w:sz w:val="28"/>
          <w:szCs w:val="28"/>
        </w:rPr>
        <w:t xml:space="preserve">4. Customer Relationships</w:t>
      </w:r>
      <w:bookmarkEnd w:id="100021"/>
    </w:p>
    <w:p>
      <w:pPr>
        <w:spacing w:after="140" w:line="312" w:lineRule="auto"/>
        <w:jc w:val="both"/>
      </w:pPr>
      <w:r>
        <w:rPr>
          <w:rFonts w:ascii="Calibri"/>
          <w:color w:val="1A1A1A"/>
          <w:sz w:val="22"/>
          <w:szCs w:val="22"/>
        </w:rPr>
        <w:t xml:space="preserve">Different segments expect different relationships, and the platform must support all four simultaneously without forcing the higher-touch relationships onto users who do not want them. Self-service is the default; dedicated account management is reserved for Enterprise subscribers and the Chamber itself.</w:t>
      </w:r>
    </w:p>
    <w:p>
      <w:pPr>
        <w:pStyle w:val="ListParagraph"/>
        <w:numPr>
          <w:ilvl w:val="0"/>
          <w:numId w:val="1"/>
        </w:numPr>
        <w:spacing w:after="80" w:line="300" w:lineRule="auto"/>
        <w:jc w:val="left"/>
      </w:pPr>
      <w:r>
        <w:rPr>
          <w:rFonts w:ascii="Calibri"/>
          <w:b/>
          <w:bCs/>
          <w:color w:val="1A1A1A"/>
          <w:sz w:val="22"/>
          <w:szCs w:val="22"/>
        </w:rPr>
        <w:t xml:space="preserve">Tier 2 Sellers &amp; Buyers: </w:t>
      </w:r>
      <w:r>
        <w:rPr>
          <w:rFonts w:ascii="Calibri"/>
          <w:color w:val="1A1A1A"/>
          <w:sz w:val="22"/>
          <w:szCs w:val="22"/>
        </w:rPr>
        <w:t xml:space="preserve">Self-service with automated onboarding (KYC, licence verification, payment setup). In-app chat support with a 4-hour first-response SLA during business hours.</w:t>
      </w:r>
    </w:p>
    <w:p>
      <w:pPr>
        <w:pStyle w:val="ListParagraph"/>
        <w:numPr>
          <w:ilvl w:val="0"/>
          <w:numId w:val="1"/>
        </w:numPr>
        <w:spacing w:after="80" w:line="300" w:lineRule="auto"/>
        <w:jc w:val="left"/>
      </w:pPr>
      <w:r>
        <w:rPr>
          <w:rFonts w:ascii="Calibri"/>
          <w:b/>
          <w:bCs/>
          <w:color w:val="1A1A1A"/>
          <w:sz w:val="22"/>
          <w:szCs w:val="22"/>
        </w:rPr>
        <w:t xml:space="preserve">Tier 1 Buyers (Enterprise): </w:t>
      </w:r>
      <w:r>
        <w:rPr>
          <w:rFonts w:ascii="Calibri"/>
          <w:color w:val="1A1A1A"/>
          <w:sz w:val="22"/>
          <w:szCs w:val="22"/>
        </w:rPr>
        <w:t xml:space="preserve">Dedicated account manager from Sahel Systems, quarterly business review, dedicated Slack channel, and direct line to the product team for feature requests.</w:t>
      </w:r>
    </w:p>
    <w:p>
      <w:pPr>
        <w:pStyle w:val="ListParagraph"/>
        <w:numPr>
          <w:ilvl w:val="0"/>
          <w:numId w:val="1"/>
        </w:numPr>
        <w:spacing w:after="80" w:line="300" w:lineRule="auto"/>
        <w:jc w:val="left"/>
      </w:pPr>
      <w:r>
        <w:rPr>
          <w:rFonts w:ascii="Calibri"/>
          <w:b/>
          <w:bCs/>
          <w:color w:val="1A1A1A"/>
          <w:sz w:val="22"/>
          <w:szCs w:val="22"/>
        </w:rPr>
        <w:t xml:space="preserve">The Chamber: </w:t>
      </w:r>
      <w:r>
        <w:rPr>
          <w:rFonts w:ascii="Calibri"/>
          <w:color w:val="1A1A1A"/>
          <w:sz w:val="22"/>
          <w:szCs w:val="22"/>
        </w:rPr>
        <w:t xml:space="preserve">Strategic partnership relationship — monthly steering committee with Sahel Systems' CEO and Head of Product, joint roadmap planning, and shared quarterly reporting on trade volume, revenue, and compliance incidents.</w:t>
      </w:r>
    </w:p>
    <w:p>
      <w:pPr>
        <w:pStyle w:val="ListParagraph"/>
        <w:numPr>
          <w:ilvl w:val="0"/>
          <w:numId w:val="1"/>
        </w:numPr>
        <w:spacing w:after="80" w:line="300" w:lineRule="auto"/>
        <w:jc w:val="left"/>
      </w:pPr>
      <w:r>
        <w:rPr>
          <w:rFonts w:ascii="Calibri"/>
          <w:b/>
          <w:bCs/>
          <w:color w:val="1A1A1A"/>
          <w:sz w:val="22"/>
          <w:szCs w:val="22"/>
        </w:rPr>
        <w:t xml:space="preserve">Community: </w:t>
      </w:r>
      <w:r>
        <w:rPr>
          <w:rFonts w:ascii="Calibri"/>
          <w:color w:val="1A1A1A"/>
          <w:sz w:val="22"/>
          <w:szCs w:val="22"/>
        </w:rPr>
        <w:t xml:space="preserve">All members are invited to a Chamber-moderated community forum (separate from trading) for industry discussion; this is owned by the Chamber, not by Sahel Systems.</w:t>
      </w:r>
    </w:p>
    <w:p>
      <w:pPr>
        <w:pStyle w:val="Heading2"/>
        <w:spacing w:after="160" w:before="360" w:line="340" w:lineRule="atLeast"/>
      </w:pPr>
      <w:bookmarkStart w:id="100022" w:name="_Toc100022"/>
      <w:r>
        <w:rPr>
          <w:rFonts w:ascii="Calibri"/>
          <w:b/>
          <w:bCs/>
          <w:color w:val="1A1A1A"/>
          <w:sz w:val="28"/>
          <w:szCs w:val="28"/>
        </w:rPr>
        <w:t xml:space="preserve">5. Revenue Streams</w:t>
      </w:r>
      <w:bookmarkEnd w:id="100022"/>
    </w:p>
    <w:p>
      <w:pPr>
        <w:spacing w:after="140" w:line="312" w:lineRule="auto"/>
        <w:jc w:val="both"/>
      </w:pPr>
      <w:r>
        <w:rPr>
          <w:rFonts w:ascii="Calibri"/>
          <w:color w:val="1A1A1A"/>
          <w:sz w:val="22"/>
          <w:szCs w:val="22"/>
        </w:rPr>
        <w:t xml:space="preserve">Revenue flows from platform users, not from the Chamber. The structure is deliberately hybrid: a small per-side transaction fee that scales with trade value without discouraging large trades, recurring subscription revenue that is independent of trading volume, and value-added service fees layered on top for users who opt in. The exact numbers below reappear unchanged in the Financial Documentation's bottom-up model — this is the single most important Golden Thread linkage.</w:t>
      </w:r>
    </w:p>
    <w:p>
      <w:pPr>
        <w:keepNext/>
        <w:spacing w:after="80" w:before="200" w:line="280" w:lineRule="auto"/>
        <w:jc w:val="left"/>
      </w:pPr>
      <w:r>
        <w:rPr>
          <w:rFonts w:ascii="Calibri"/>
          <w:b/>
          <w:bCs/>
          <w:color w:val="1A1A1A"/>
          <w:sz w:val="22"/>
          <w:szCs w:val="22"/>
        </w:rPr>
        <w:t xml:space="preserve">Table 2.3. </w:t>
      </w:r>
      <w:r>
        <w:rPr>
          <w:rFonts w:ascii="Calibri"/>
          <w:b/>
          <w:bCs/>
          <w:color w:val="1A1A1A"/>
          <w:sz w:val="22"/>
          <w:szCs w:val="22"/>
        </w:rPr>
        <w:t xml:space="preserve">Revenue Streams — Pricing Assumptions (Golden Thread Anchor)</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Revenue Source</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Price</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Charged To</w:t>
            </w:r>
          </w:p>
        </w:tc>
        <w:tc>
          <w:tcPr>
            <w:tcW w:type="pct" w:w="1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Frequency</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Buyer transaction fee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0.10% of trade value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Buyer</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trade</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Seller transaction fee</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0.10% of trade value</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Seller</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trade</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Platform service fee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Included in above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Both parties</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trade</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Premium membership — Professional</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US$100/month</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Businesses</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Premium membership — Enterprise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US$500+/month (tiered)</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Businesses</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Featured supplier listing</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US$250/month</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Sellers (opt-in)</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RFQ submission fee (optional)</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US$5/RFQ</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Buyers (opt-in)</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RFQ</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Digital contract fee</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US$25/contract</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Transaction parties</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trade</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fee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0.05% of trade value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Transaction parties</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trade</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Logistics coordination fee (Phase 3)</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US$150/shipment</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Opt-in users</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shipment</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 finance / insurance referral commission</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5–10% of premium</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Financial institutions / insurers</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referral</w:t>
            </w:r>
          </w:p>
        </w:tc>
      </w:tr>
    </w:tbl>
    <w:p>
      <w:pPr>
        <w:keepNext/>
        <w:spacing w:after="200" w:before="60" w:line="280" w:lineRule="auto"/>
        <w:jc w:val="left"/>
      </w:pPr>
      <w:r>
        <w:rPr>
          <w:rFonts w:ascii="Calibri"/>
          <w:b/>
          <w:bCs/>
          <w:color w:val="5A6068"/>
          <w:sz w:val="18"/>
          <w:szCs w:val="18"/>
        </w:rPr>
        <w:t xml:space="preserve">Table 2.3. </w:t>
      </w:r>
      <w:r>
        <w:rPr>
          <w:rFonts w:ascii="Calibri"/>
          <w:i/>
          <w:iCs/>
          <w:color w:val="5A6068"/>
          <w:sz w:val="18"/>
          <w:szCs w:val="18"/>
        </w:rPr>
        <w:t xml:space="preserve">Every line in this table reappears in the Financial Documentation's bottom-up revenue model (Table 3.6). Changing a price here requires changing it there.</w:t>
      </w:r>
    </w:p>
    <w:p>
      <w:pPr>
        <w:spacing w:after="140" w:line="312" w:lineRule="auto"/>
        <w:jc w:val="both"/>
      </w:pPr>
      <w:r>
        <w:rPr>
          <w:rFonts w:ascii="Calibri"/>
          <w:color w:val="1A1A1A"/>
          <w:sz w:val="22"/>
          <w:szCs w:val="22"/>
        </w:rPr>
        <w:t xml:space="preserve">Worked example: a buyer purchases 10 kg of gold valued at US$1,000,000. At a 0.10% fee on each side, the platform earns US$1,000 from the buyer and US$1,000 from the seller — US$2,000 in transaction fees. The escrow fee adds 0.05% × US$1,000,000 = US$500 (split between the parties), and the digital contract fee adds US$25. The platform's total revenue on this single trade is therefore US$2,525. Under the 70/30 revenue split, US$1,767.50 goes to Sahel Systems and US$757.50 goes to the Chamber. This is the unit economics the Financial Documentation projects across thousands of trades per year.</w:t>
      </w:r>
    </w:p>
    <w:p>
      <w:pPr>
        <w:pStyle w:val="Heading2"/>
        <w:spacing w:after="160" w:before="360" w:line="340" w:lineRule="atLeast"/>
      </w:pPr>
      <w:bookmarkStart w:id="100023" w:name="_Toc100023"/>
      <w:r>
        <w:rPr>
          <w:rFonts w:ascii="Calibri"/>
          <w:b/>
          <w:bCs/>
          <w:color w:val="1A1A1A"/>
          <w:sz w:val="28"/>
          <w:szCs w:val="28"/>
        </w:rPr>
        <w:t xml:space="preserve">6. Key Activities</w:t>
      </w:r>
      <w:bookmarkEnd w:id="100023"/>
    </w:p>
    <w:p>
      <w:pPr>
        <w:spacing w:after="140" w:line="312" w:lineRule="auto"/>
        <w:jc w:val="both"/>
      </w:pPr>
      <w:r>
        <w:rPr>
          <w:rFonts w:ascii="Calibri"/>
          <w:color w:val="1A1A1A"/>
          <w:sz w:val="22"/>
          <w:szCs w:val="22"/>
        </w:rPr>
        <w:t xml:space="preserve">Key Activities are what Sahel Systems must do daily and weekly to build and run AurumXchange. They are deliberately categorized so that the Cost Structure block can later assign a cost centre to each.</w:t>
      </w:r>
    </w:p>
    <w:p>
      <w:pPr>
        <w:pStyle w:val="ListParagraph"/>
        <w:numPr>
          <w:ilvl w:val="0"/>
          <w:numId w:val="1"/>
        </w:numPr>
        <w:spacing w:after="80" w:line="300" w:lineRule="auto"/>
        <w:jc w:val="left"/>
      </w:pPr>
      <w:r>
        <w:rPr>
          <w:rFonts w:ascii="Calibri"/>
          <w:b/>
          <w:bCs/>
          <w:color w:val="1A1A1A"/>
          <w:sz w:val="22"/>
          <w:szCs w:val="22"/>
        </w:rPr>
        <w:t xml:space="preserve">Agile development: </w:t>
      </w:r>
      <w:r>
        <w:rPr>
          <w:rFonts w:ascii="Calibri"/>
          <w:color w:val="1A1A1A"/>
          <w:sz w:val="22"/>
          <w:szCs w:val="22"/>
        </w:rPr>
        <w:t xml:space="preserve">Two-week sprint cycle; backlog grooming, sprint planning, daily standups, sprint review and retrospective. Cross-functional team of frontend, backend, mobile-web, and platform engineers.</w:t>
      </w:r>
    </w:p>
    <w:p>
      <w:pPr>
        <w:pStyle w:val="ListParagraph"/>
        <w:numPr>
          <w:ilvl w:val="0"/>
          <w:numId w:val="1"/>
        </w:numPr>
        <w:spacing w:after="80" w:line="300" w:lineRule="auto"/>
        <w:jc w:val="left"/>
      </w:pPr>
      <w:r>
        <w:rPr>
          <w:rFonts w:ascii="Calibri"/>
          <w:b/>
          <w:bCs/>
          <w:color w:val="1A1A1A"/>
          <w:sz w:val="22"/>
          <w:szCs w:val="22"/>
        </w:rPr>
        <w:t xml:space="preserve">DevOps &amp; SRE: </w:t>
      </w:r>
      <w:r>
        <w:rPr>
          <w:rFonts w:ascii="Calibri"/>
          <w:color w:val="1A1A1A"/>
          <w:sz w:val="22"/>
          <w:szCs w:val="22"/>
        </w:rPr>
        <w:t xml:space="preserve">CI/CD pipeline maintenance, infrastructure-as-code, observability (Datadog, Sentry), on-call rotation, incident response with a 30-minute P1 acknowledgement SLA.</w:t>
      </w:r>
    </w:p>
    <w:p>
      <w:pPr>
        <w:pStyle w:val="ListParagraph"/>
        <w:numPr>
          <w:ilvl w:val="0"/>
          <w:numId w:val="1"/>
        </w:numPr>
        <w:spacing w:after="80" w:line="300" w:lineRule="auto"/>
        <w:jc w:val="left"/>
      </w:pPr>
      <w:r>
        <w:rPr>
          <w:rFonts w:ascii="Calibri"/>
          <w:b/>
          <w:bCs/>
          <w:color w:val="1A1A1A"/>
          <w:sz w:val="22"/>
          <w:szCs w:val="22"/>
        </w:rPr>
        <w:t xml:space="preserve">Quality assurance: </w:t>
      </w:r>
      <w:r>
        <w:rPr>
          <w:rFonts w:ascii="Calibri"/>
          <w:color w:val="1A1A1A"/>
          <w:sz w:val="22"/>
          <w:szCs w:val="22"/>
        </w:rPr>
        <w:t xml:space="preserve">Manual exploratory testing plus automated regression suite; security testing via Snyk and quarterly third-party penetration test; SOC 2 control evidence collection.</w:t>
      </w:r>
    </w:p>
    <w:p>
      <w:pPr>
        <w:pStyle w:val="ListParagraph"/>
        <w:numPr>
          <w:ilvl w:val="0"/>
          <w:numId w:val="1"/>
        </w:numPr>
        <w:spacing w:after="80" w:line="300" w:lineRule="auto"/>
        <w:jc w:val="left"/>
      </w:pPr>
      <w:r>
        <w:rPr>
          <w:rFonts w:ascii="Calibri"/>
          <w:b/>
          <w:bCs/>
          <w:color w:val="1A1A1A"/>
          <w:sz w:val="22"/>
          <w:szCs w:val="22"/>
        </w:rPr>
        <w:t xml:space="preserve">Member support &amp; success: </w:t>
      </w:r>
      <w:r>
        <w:rPr>
          <w:rFonts w:ascii="Calibri"/>
          <w:color w:val="1A1A1A"/>
          <w:sz w:val="22"/>
          <w:szCs w:val="22"/>
        </w:rPr>
        <w:t xml:space="preserve">Tier 1 support via in-app chat (4-hour SLA), Tier 2 escalation to product engineering, proactive success outreach for Professional and Enterprise subscribers.</w:t>
      </w:r>
    </w:p>
    <w:p>
      <w:pPr>
        <w:pStyle w:val="ListParagraph"/>
        <w:numPr>
          <w:ilvl w:val="0"/>
          <w:numId w:val="1"/>
        </w:numPr>
        <w:spacing w:after="80" w:line="300" w:lineRule="auto"/>
        <w:jc w:val="left"/>
      </w:pPr>
      <w:r>
        <w:rPr>
          <w:rFonts w:ascii="Calibri"/>
          <w:b/>
          <w:bCs/>
          <w:color w:val="1A1A1A"/>
          <w:sz w:val="22"/>
          <w:szCs w:val="22"/>
        </w:rPr>
        <w:t xml:space="preserve">Compliance operations: </w:t>
      </w:r>
      <w:r>
        <w:rPr>
          <w:rFonts w:ascii="Calibri"/>
          <w:color w:val="1A1A1A"/>
          <w:sz w:val="22"/>
          <w:szCs w:val="22"/>
        </w:rPr>
        <w:t xml:space="preserve">Ongoing KYC/AML monitoring via partner (Smile Identity), sanctions list updates, suspicious-activity report handling, quarterly compliance review with the Chamber.</w:t>
      </w:r>
    </w:p>
    <w:p>
      <w:pPr>
        <w:pStyle w:val="ListParagraph"/>
        <w:numPr>
          <w:ilvl w:val="0"/>
          <w:numId w:val="1"/>
        </w:numPr>
        <w:spacing w:after="80" w:line="300" w:lineRule="auto"/>
        <w:jc w:val="left"/>
      </w:pPr>
      <w:r>
        <w:rPr>
          <w:rFonts w:ascii="Calibri"/>
          <w:b/>
          <w:bCs/>
          <w:color w:val="1A1A1A"/>
          <w:sz w:val="22"/>
          <w:szCs w:val="22"/>
        </w:rPr>
        <w:t xml:space="preserve">Data processing: </w:t>
      </w:r>
      <w:r>
        <w:rPr>
          <w:rFonts w:ascii="Calibri"/>
          <w:color w:val="1A1A1A"/>
          <w:sz w:val="22"/>
          <w:szCs w:val="22"/>
        </w:rPr>
        <w:t xml:space="preserve">Nightly ETL for analytics dashboards, weekly audit-log archival to write-once storage, monthly data-quality reconciliation against PMMC and Minerals Commission records.</w:t>
      </w:r>
    </w:p>
    <w:p>
      <w:pPr>
        <w:pStyle w:val="Heading2"/>
        <w:spacing w:after="160" w:before="360" w:line="340" w:lineRule="atLeast"/>
      </w:pPr>
      <w:bookmarkStart w:id="100024" w:name="_Toc100024"/>
      <w:r>
        <w:rPr>
          <w:rFonts w:ascii="Calibri"/>
          <w:b/>
          <w:bCs/>
          <w:color w:val="1A1A1A"/>
          <w:sz w:val="28"/>
          <w:szCs w:val="28"/>
        </w:rPr>
        <w:t xml:space="preserve">7. Key Resources</w:t>
      </w:r>
      <w:bookmarkEnd w:id="100024"/>
    </w:p>
    <w:p>
      <w:pPr>
        <w:spacing w:after="140" w:line="312" w:lineRule="auto"/>
        <w:jc w:val="both"/>
      </w:pPr>
      <w:r>
        <w:rPr>
          <w:rFonts w:ascii="Calibri"/>
          <w:color w:val="1A1A1A"/>
          <w:sz w:val="22"/>
          <w:szCs w:val="22"/>
        </w:rPr>
        <w:t xml:space="preserve">Key Resources are what Sahel Systems must own or control to make the model work. The most important are the team and the audit-log IP — not, notably, the gold itself, which the platform never touches.</w:t>
      </w:r>
    </w:p>
    <w:p>
      <w:pPr>
        <w:pStyle w:val="ListParagraph"/>
        <w:numPr>
          <w:ilvl w:val="0"/>
          <w:numId w:val="1"/>
        </w:numPr>
        <w:spacing w:after="80" w:line="300" w:lineRule="auto"/>
        <w:jc w:val="left"/>
      </w:pPr>
      <w:r>
        <w:rPr>
          <w:rFonts w:ascii="Calibri"/>
          <w:b/>
          <w:bCs/>
          <w:color w:val="1A1A1A"/>
          <w:sz w:val="22"/>
          <w:szCs w:val="22"/>
        </w:rPr>
        <w:t xml:space="preserve">Engineering team: </w:t>
      </w:r>
      <w:r>
        <w:rPr>
          <w:rFonts w:ascii="Calibri"/>
          <w:color w:val="1A1A1A"/>
          <w:sz w:val="22"/>
          <w:szCs w:val="22"/>
        </w:rPr>
        <w:t xml:space="preserve">12 FTE at MVP launch (1 CTO, 1 Head of Product, 5 engineers, 2 QA, 1 designer, 1 DevOps, 1 PM); grows to 16 FTE by Year 3.</w:t>
      </w:r>
    </w:p>
    <w:p>
      <w:pPr>
        <w:pStyle w:val="ListParagraph"/>
        <w:numPr>
          <w:ilvl w:val="0"/>
          <w:numId w:val="1"/>
        </w:numPr>
        <w:spacing w:after="80" w:line="300" w:lineRule="auto"/>
        <w:jc w:val="left"/>
      </w:pPr>
      <w:r>
        <w:rPr>
          <w:rFonts w:ascii="Calibri"/>
          <w:b/>
          <w:bCs/>
          <w:color w:val="1A1A1A"/>
          <w:sz w:val="22"/>
          <w:szCs w:val="22"/>
        </w:rPr>
        <w:t xml:space="preserve">Cloud infrastructure: </w:t>
      </w:r>
      <w:r>
        <w:rPr>
          <w:rFonts w:ascii="Calibri"/>
          <w:color w:val="1A1A1A"/>
          <w:sz w:val="22"/>
          <w:szCs w:val="22"/>
        </w:rPr>
        <w:t xml:space="preserve">AWS or Azure with a Ghana-region presence; primary deployment in Ghana for data residency under the Data Protection Act 2012, with disaster-recovery failover to South Africa North.</w:t>
      </w:r>
    </w:p>
    <w:p>
      <w:pPr>
        <w:pStyle w:val="ListParagraph"/>
        <w:numPr>
          <w:ilvl w:val="0"/>
          <w:numId w:val="1"/>
        </w:numPr>
        <w:spacing w:after="80" w:line="300" w:lineRule="auto"/>
        <w:jc w:val="left"/>
      </w:pPr>
      <w:r>
        <w:rPr>
          <w:rFonts w:ascii="Calibri"/>
          <w:b/>
          <w:bCs/>
          <w:color w:val="1A1A1A"/>
          <w:sz w:val="22"/>
          <w:szCs w:val="22"/>
        </w:rPr>
        <w:t xml:space="preserve">Proprietary audit-log architecture: </w:t>
      </w:r>
      <w:r>
        <w:rPr>
          <w:rFonts w:ascii="Calibri"/>
          <w:color w:val="1A1A1A"/>
          <w:sz w:val="22"/>
          <w:szCs w:val="22"/>
        </w:rPr>
        <w:t xml:space="preserve">Append-only, hash-chained trade state log; the design IP that makes the platform's compliance claim defensible and is the single largest source of competitive moat.</w:t>
      </w:r>
    </w:p>
    <w:p>
      <w:pPr>
        <w:pStyle w:val="ListParagraph"/>
        <w:numPr>
          <w:ilvl w:val="0"/>
          <w:numId w:val="1"/>
        </w:numPr>
        <w:spacing w:after="80" w:line="300" w:lineRule="auto"/>
        <w:jc w:val="left"/>
      </w:pPr>
      <w:r>
        <w:rPr>
          <w:rFonts w:ascii="Calibri"/>
          <w:b/>
          <w:bCs/>
          <w:color w:val="1A1A1A"/>
          <w:sz w:val="22"/>
          <w:szCs w:val="22"/>
        </w:rPr>
        <w:t xml:space="preserve">Chamber partnership contract: </w:t>
      </w:r>
      <w:r>
        <w:rPr>
          <w:rFonts w:ascii="Calibri"/>
          <w:color w:val="1A1A1A"/>
          <w:sz w:val="22"/>
          <w:szCs w:val="22"/>
        </w:rPr>
        <w:t xml:space="preserve">The 5-year exclusive revenue-sharing agreement with the Ghana Chamber of Gold Buyers, with automatic renewal subject to performance KPIs.</w:t>
      </w:r>
    </w:p>
    <w:p>
      <w:pPr>
        <w:pStyle w:val="ListParagraph"/>
        <w:numPr>
          <w:ilvl w:val="0"/>
          <w:numId w:val="1"/>
        </w:numPr>
        <w:spacing w:after="80" w:line="300" w:lineRule="auto"/>
        <w:jc w:val="left"/>
      </w:pPr>
      <w:r>
        <w:rPr>
          <w:rFonts w:ascii="Calibri"/>
          <w:b/>
          <w:bCs/>
          <w:color w:val="1A1A1A"/>
          <w:sz w:val="22"/>
          <w:szCs w:val="22"/>
        </w:rPr>
        <w:t xml:space="preserve">Brand trust: </w:t>
      </w:r>
      <w:r>
        <w:rPr>
          <w:rFonts w:ascii="Calibri"/>
          <w:color w:val="1A1A1A"/>
          <w:sz w:val="22"/>
          <w:szCs w:val="22"/>
        </w:rPr>
        <w:t xml:space="preserve">The Chamber's endorsement is the single largest brand asset; Sahel Systems' brand is secondary and grows through delivered reliability.</w:t>
      </w:r>
    </w:p>
    <w:p>
      <w:pPr>
        <w:pStyle w:val="Heading2"/>
        <w:spacing w:after="160" w:before="360" w:line="340" w:lineRule="atLeast"/>
      </w:pPr>
      <w:bookmarkStart w:id="100025" w:name="_Toc100025"/>
      <w:r>
        <w:rPr>
          <w:rFonts w:ascii="Calibri"/>
          <w:b/>
          <w:bCs/>
          <w:color w:val="1A1A1A"/>
          <w:sz w:val="28"/>
          <w:szCs w:val="28"/>
        </w:rPr>
        <w:t xml:space="preserve">8. Key Partnerships</w:t>
      </w:r>
      <w:bookmarkEnd w:id="100025"/>
    </w:p>
    <w:p>
      <w:pPr>
        <w:spacing w:after="140" w:line="312" w:lineRule="auto"/>
        <w:jc w:val="both"/>
      </w:pPr>
      <w:r>
        <w:rPr>
          <w:rFonts w:ascii="Calibri"/>
          <w:color w:val="1A1A1A"/>
          <w:sz w:val="22"/>
          <w:szCs w:val="22"/>
        </w:rPr>
        <w:t xml:space="preserve">Key Partnerships are external dependencies without which the platform cannot operate. Every partner in this block appears as a line item in the OpEx budget — this is the second explicit Golden Thread linkage.</w:t>
      </w:r>
    </w:p>
    <w:p>
      <w:pPr>
        <w:keepNext/>
        <w:spacing w:after="80" w:before="200" w:line="280" w:lineRule="auto"/>
        <w:jc w:val="left"/>
      </w:pPr>
      <w:r>
        <w:rPr>
          <w:rFonts w:ascii="Calibri"/>
          <w:b/>
          <w:bCs/>
          <w:color w:val="1A1A1A"/>
          <w:sz w:val="22"/>
          <w:szCs w:val="22"/>
        </w:rPr>
        <w:t xml:space="preserve">Table 2.4. </w:t>
      </w:r>
      <w:r>
        <w:rPr>
          <w:rFonts w:ascii="Calibri"/>
          <w:b/>
          <w:bCs/>
          <w:color w:val="1A1A1A"/>
          <w:sz w:val="22"/>
          <w:szCs w:val="22"/>
        </w:rPr>
        <w:t xml:space="preserve">Key Partnerships &amp; OpEx Mapping (Golden Thread Anchor)</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tblGrid>
      <w:tr>
        <w:trPr>
          <w:cantSplit/>
          <w:tblHeader/>
        </w:trPr>
        <w:tc>
          <w:tcPr>
            <w:tcW w:type="pct" w:w="2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Partner</w:t>
            </w:r>
          </w:p>
        </w:tc>
        <w:tc>
          <w:tcPr>
            <w:tcW w:type="pct" w:w="3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Role</w:t>
            </w:r>
          </w:p>
        </w:tc>
        <w:tc>
          <w:tcPr>
            <w:tcW w:type="pct" w:w="3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OpEx Line Item</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AWS / Azure (Ghana region)</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hosting, data residency</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hosting &amp; database (Table 3.2, row 1)</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Smile Identity (or Youverify)</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KYC/AML verification at onboarding and ongoing</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Third-party API / SaaS (Table 3.2, row 2)</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LBMA-licensed escrow bank (e.g., Stanbic, Ecobank)</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account holding and two-signature release</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Banking integration fee (Table 3.2, row 3)</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LBMA price feed</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LBMA PM Fix for daily price benchmarking</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Third-party API / SaaS (Table 3.2, row 2)</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PMMC</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Export certification workflow integration (Phase 3)</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integration fee (Table 3.2, row 6)</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Minerals Commission</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Licence verification API</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integration fee (Table 3.2, row 6)</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SOC 2 / ISO 27001 auditor</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Annual security attestation</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&amp; security maintenance (Table 3.2, row 7)</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legal counsel</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Privacy policy, member terms, regulatory liaison</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Ongoing software licenses &amp; legal (Table 3.2, row 4)</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Outsourced QA partner</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 penetration testing</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&amp; security maintenance (Table 3.2, row 7)</w:t>
            </w:r>
          </w:p>
        </w:tc>
      </w:tr>
    </w:tbl>
    <w:p>
      <w:pPr>
        <w:keepNext/>
        <w:spacing w:after="200" w:before="60" w:line="280" w:lineRule="auto"/>
        <w:jc w:val="left"/>
      </w:pPr>
      <w:r>
        <w:rPr>
          <w:rFonts w:ascii="Calibri"/>
          <w:b/>
          <w:bCs/>
          <w:color w:val="5A6068"/>
          <w:sz w:val="18"/>
          <w:szCs w:val="18"/>
        </w:rPr>
        <w:t xml:space="preserve">Table 2.4. </w:t>
      </w:r>
      <w:r>
        <w:rPr>
          <w:rFonts w:ascii="Calibri"/>
          <w:i/>
          <w:iCs/>
          <w:color w:val="5A6068"/>
          <w:sz w:val="18"/>
          <w:szCs w:val="18"/>
        </w:rPr>
        <w:t xml:space="preserve">Every Key Partnership maps to an OpEx line item. No partnership is listed here without a corresponding budget allocation in Table 3.2.</w:t>
      </w:r>
    </w:p>
    <w:p>
      <w:pPr>
        <w:pStyle w:val="Heading2"/>
        <w:spacing w:after="160" w:before="360" w:line="340" w:lineRule="atLeast"/>
      </w:pPr>
      <w:bookmarkStart w:id="100026" w:name="_Toc100026"/>
      <w:r>
        <w:rPr>
          <w:rFonts w:ascii="Calibri"/>
          <w:b/>
          <w:bCs/>
          <w:color w:val="1A1A1A"/>
          <w:sz w:val="28"/>
          <w:szCs w:val="28"/>
        </w:rPr>
        <w:t xml:space="preserve">9. Cost Structure</w:t>
      </w:r>
      <w:bookmarkEnd w:id="100026"/>
    </w:p>
    <w:p>
      <w:pPr>
        <w:spacing w:after="140" w:line="312" w:lineRule="auto"/>
        <w:jc w:val="both"/>
      </w:pPr>
      <w:r>
        <w:rPr>
          <w:rFonts w:ascii="Calibri"/>
          <w:color w:val="1A1A1A"/>
          <w:sz w:val="22"/>
          <w:szCs w:val="22"/>
        </w:rPr>
        <w:t xml:space="preserve">Costs are categorized as fixed (do not scale with trade volume in the short term) or variable (scale per trade or per user). The major cost drivers tie directly back to the Financial Documentation: fixed personnel costs map to the CapEx team table during build and to the OpEx support staff table at run; variable cloud and API costs map to the OpEx scaling trajectory; and the contingency reserve lives in CapEx only. This block deliberately does not repeat dollar figures — those live in the Financial Doc — but every category here has a corresponding line item there.</w:t>
      </w:r>
    </w:p>
    <w:p>
      <w:pPr>
        <w:keepNext/>
        <w:spacing w:after="80" w:before="200" w:line="280" w:lineRule="auto"/>
        <w:jc w:val="left"/>
      </w:pPr>
      <w:r>
        <w:rPr>
          <w:rFonts w:ascii="Calibri"/>
          <w:b/>
          <w:bCs/>
          <w:color w:val="1A1A1A"/>
          <w:sz w:val="22"/>
          <w:szCs w:val="22"/>
        </w:rPr>
        <w:t xml:space="preserve">Table 2.5. </w:t>
      </w:r>
      <w:r>
        <w:rPr>
          <w:rFonts w:ascii="Calibri"/>
          <w:b/>
          <w:bCs/>
          <w:color w:val="1A1A1A"/>
          <w:sz w:val="22"/>
          <w:szCs w:val="22"/>
        </w:rPr>
        <w:t xml:space="preserve">Cost Structure — Fixed vs Variable</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Category</w:t>
            </w:r>
          </w:p>
        </w:tc>
        <w:tc>
          <w:tcPr>
            <w:tcW w:type="pct" w:w="1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Type</w:t>
            </w:r>
          </w:p>
        </w:tc>
        <w:tc>
          <w:tcPr>
            <w:tcW w:type="pct" w:w="25%"/>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Driver</w:t>
            </w:r>
          </w:p>
        </w:tc>
        <w:tc>
          <w:tcPr>
            <w:tcW w:type="pct" w:w="33%"/>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Financial Doc Reference</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Engineering team salaries (build)</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Headcount × duration</w:t>
            </w:r>
          </w:p>
        </w:tc>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 Table 3.1 — Personnel</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infrastructure (baseline)</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Reserved instances, DB</w:t>
            </w:r>
          </w:p>
        </w:tc>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Cloud hosting</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infrastructure (scaling)</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Variable</w:t>
            </w:r>
          </w:p>
        </w:tc>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 volume, storage</w:t>
            </w:r>
          </w:p>
        </w:tc>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Cloud hosting</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KYC / AML API</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Variable</w:t>
            </w:r>
          </w:p>
        </w:tc>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verification</w:t>
            </w:r>
          </w:p>
        </w:tc>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Third-party APIs</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LBMA price feed</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Annual subscription</w:t>
            </w:r>
          </w:p>
        </w:tc>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Third-party APIs</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bank integration fee</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Variable</w:t>
            </w:r>
          </w:p>
        </w:tc>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trade</w:t>
            </w:r>
          </w:p>
        </w:tc>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Banking integration</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Support staff (Tier 1 + success)</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Headcount</w:t>
            </w:r>
          </w:p>
        </w:tc>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Support &amp; success staff</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audit (SOC 2, ISO 27001)</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Annual attestation</w:t>
            </w:r>
          </w:p>
        </w:tc>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Compliance maintenance</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Legal counsel</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Retainer</w:t>
            </w:r>
          </w:p>
        </w:tc>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Ongoing licenses &amp; legal</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Marketing (Chamber-co-funded)</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 campaign</w:t>
            </w:r>
          </w:p>
        </w:tc>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Table 3.2 — Marketing</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Contingency reserve</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 of CapEx</w:t>
            </w:r>
          </w:p>
        </w:tc>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 Table 3.1 — Contingency</w:t>
            </w:r>
          </w:p>
        </w:tc>
      </w:tr>
    </w:tbl>
    <w:p>
      <w:pPr>
        <w:keepNext/>
        <w:spacing w:after="200" w:before="60" w:line="280" w:lineRule="auto"/>
        <w:jc w:val="left"/>
      </w:pPr>
      <w:r>
        <w:rPr>
          <w:rFonts w:ascii="Calibri"/>
          <w:b/>
          <w:bCs/>
          <w:color w:val="5A6068"/>
          <w:sz w:val="18"/>
          <w:szCs w:val="18"/>
        </w:rPr>
        <w:t xml:space="preserve">Table 2.5. </w:t>
      </w:r>
      <w:r>
        <w:rPr>
          <w:rFonts w:ascii="Calibri"/>
          <w:i/>
          <w:iCs/>
          <w:color w:val="5A6068"/>
          <w:sz w:val="18"/>
          <w:szCs w:val="18"/>
        </w:rPr>
        <w:t xml:space="preserve">Every cost category has a Financial Doc reference. The BMC's Cost Structure block and the Financial Documentation are intentionally redundant views of the same numbers.</w:t>
      </w:r>
    </w:p>
    <w:p>
      <w:r>
        <w:br w:type="page"/>
      </w:r>
    </w:p>
    <w:p>
      <w:pPr>
        <w:pStyle w:val="Heading1"/>
        <w:spacing w:after="200" w:before="480" w:line="360" w:lineRule="atLeast"/>
      </w:pPr>
      <w:bookmarkStart w:id="100027" w:name="_Toc100027"/>
      <w:r>
        <w:rPr>
          <w:rFonts w:ascii="Calibri"/>
          <w:b/>
          <w:bCs/>
          <w:color w:val="1A1A1A"/>
          <w:sz w:val="32"/>
          <w:szCs w:val="32"/>
        </w:rPr>
        <w:t xml:space="preserve">Document 3 — Financial Documentation</w:t>
      </w:r>
      <w:bookmarkEnd w:id="100027"/>
    </w:p>
    <w:p>
      <w:pPr>
        <w:spacing w:after="140" w:line="312" w:lineRule="auto"/>
        <w:jc w:val="both"/>
      </w:pPr>
      <w:r>
        <w:rPr>
          <w:rFonts w:ascii="Calibri"/>
          <w:color w:val="1A1A1A"/>
          <w:sz w:val="22"/>
          <w:szCs w:val="22"/>
        </w:rPr>
        <w:t xml:space="preserve">The Financial Documentation translates the Business Model Canvas into hard math. It is organized in six parts: the development and launch budget (CapEx), the monthly operating burn (OpEx), the funding source and accounting treatment, the five-year revenue projection, the key financial metrics (CAC, LTV, LTV:CAC, CAC payback, break-even, and Cost of Doing Nothing), and the budget tracking and governance mechanism. Every dollar figure in this document is an assumption that should be challenged; every assumption that survives challenge becomes a Golden Thread anchor referenced by the Project Charter.</w:t>
      </w:r>
    </w:p>
    <w:p>
      <w:pPr>
        <w:pStyle w:val="Heading2"/>
        <w:spacing w:after="160" w:before="360" w:line="340" w:lineRule="atLeast"/>
      </w:pPr>
      <w:bookmarkStart w:id="100028" w:name="_Toc100028"/>
      <w:r>
        <w:rPr>
          <w:rFonts w:ascii="Calibri"/>
          <w:b/>
          <w:bCs/>
          <w:color w:val="1A1A1A"/>
          <w:sz w:val="28"/>
          <w:szCs w:val="28"/>
        </w:rPr>
        <w:t xml:space="preserve">A. Development &amp; Launch Budget (CapEx)</w:t>
      </w:r>
      <w:bookmarkEnd w:id="100028"/>
    </w:p>
    <w:p>
      <w:pPr>
        <w:spacing w:after="140" w:line="312" w:lineRule="auto"/>
        <w:jc w:val="both"/>
      </w:pPr>
      <w:r>
        <w:rPr>
          <w:rFonts w:ascii="Calibri"/>
          <w:color w:val="1A1A1A"/>
          <w:sz w:val="22"/>
          <w:szCs w:val="22"/>
        </w:rPr>
        <w:t xml:space="preserve">CapEx covers all one-time costs required to bring AurumXchange from a blank repository to a launched MVP. The ceiling is US$450,000. The build is scoped at 12 months (August 2026 to launch in Q1 2027) and is delivered by a 12-person cross-functional team. The contingency reserve is 15% of the pre-contingency total — a deliberate choice between the 10% floor (too thin for a regulated product) and the 20% ceiling (too conservative given that the team has prior commodity-trading-platform experience).</w:t>
      </w:r>
    </w:p>
    <w:p>
      <w:pPr>
        <w:keepNext/>
        <w:spacing w:after="80" w:before="200" w:line="280" w:lineRule="auto"/>
        <w:jc w:val="left"/>
      </w:pPr>
      <w:r>
        <w:rPr>
          <w:rFonts w:ascii="Calibri"/>
          <w:b/>
          <w:bCs/>
          <w:color w:val="1A1A1A"/>
          <w:sz w:val="22"/>
          <w:szCs w:val="22"/>
        </w:rPr>
        <w:t xml:space="preserve">Table 3.1. </w:t>
      </w:r>
      <w:r>
        <w:rPr>
          <w:rFonts w:ascii="Calibri"/>
          <w:b/>
          <w:bCs/>
          <w:color w:val="1A1A1A"/>
          <w:sz w:val="22"/>
          <w:szCs w:val="22"/>
        </w:rPr>
        <w:t xml:space="preserve">CapEx Budget — Line-Item Detail</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gridCol w:w="100"/>
      </w:tblGrid>
      <w:tr>
        <w:trPr>
          <w:cantSplit/>
          <w:tblHeader/>
        </w:trPr>
        <w:tc>
          <w:tcPr>
            <w:tcW w:type="pct" w:w="1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Category</w:t>
            </w:r>
          </w:p>
        </w:tc>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Line Item</w:t>
            </w:r>
          </w:p>
        </w:tc>
        <w:tc>
          <w:tcPr>
            <w:tcW w:type="pct" w:w="2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Role / FTE / Duration</w:t>
            </w:r>
          </w:p>
        </w:tc>
        <w:tc>
          <w:tcPr>
            <w:tcW w:type="pct" w:w="1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Rate (US$)</w:t>
            </w:r>
          </w:p>
        </w:tc>
        <w:tc>
          <w:tcPr>
            <w:tcW w:type="pct" w:w="1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Cost (US$)</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 (0.5 FTE × 12 mo)</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Architecture, hiring, vendor mgmt</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12,000/mo</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72,000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 (1.0 FTE × 12 mo)</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Roadmap, requirements, Chamber liaison</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8,000/mo</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96,000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Senior Backend Engineer × 2 (1.0 FTE × 10 mo)</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Audit-log, escrow, integrations</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6,500/mo</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130,000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Senior Frontend Engineer × 2 (1.0 FTE × 9 mo)</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Member portal, trading UI</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6,000/mo</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108,000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DevOps / SRE (1.0 FTE × 12 mo)</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AWS Ghana, CI/CD, observability</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6,500/mo</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78,000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QA Lead (1.0 FTE × 6 mo)</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Test strategy, automation, security</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5,500/mo</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33,000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UI/UX Designer (0.5 FTE × 6 mo)</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Member portal + trading UI design</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5,000/mo</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Project Manager (0.5 FTE × 12 mo)</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Sprint, scope, stakeholder mgmt</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6,000/mo</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36,000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Personnel subtotal</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568,000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Software &amp; Tools</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GitHub Enterprise, Jira, Confluence, Figma, Datadog, Sentry, Snyk</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12-month subscriptions</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24,000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Software &amp; Tools</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Domains, SSL, code signing certificates</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aurumxchange.gh, etc.</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Legal &amp; Compliance</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Ghana company incorporation, tax registration</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One-time</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6,500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Legal &amp; Compliance</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Privacy policy, terms of service, member agreement drafting</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counsel</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14,000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Legal &amp; Compliance</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SOC 2 Type II readiness engagement (year 1)</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auditor prep</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22,000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Setup</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AWS Ghana landing zone, IAM, KMS, VPC, backups (one-time setup)</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Reserved instances + setup labour</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Setup</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Disaster recovery to South Africa North (one-time)</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Cross-region replication setup</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8,000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Security</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Pre-launch penetration test (3rd party)</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QA partner</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Integration Fees</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Smile Identity KYC integration (one-time setup)</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API onboarding + sandbox</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7,500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Integration Fees</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bank integration (one-time setup)</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Stanbic / Ecobank onboarding</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15,000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Integration Fees</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LBMA price feed integration (one-time setup)</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API onboarding</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5,000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Integration Fees</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PMMC + Minerals Commission integration (Phase 3 prep)</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API onboarding</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8,500</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Subtotal (pre-contingency)</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390,500</w:t>
            </w:r>
          </w:p>
        </w:tc>
      </w:tr>
      <w:tr>
        <w:trPr>
          <w:cantSplit/>
        </w:trPr>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Contingency Reserve (15%)</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Scope adjustments, vendor price changes, integration surprises</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58,575</w:t>
            </w:r>
          </w:p>
        </w:tc>
      </w:tr>
      <w:tr>
        <w:trPr>
          <w:cantSplit/>
        </w:trPr>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TOTAL CAPEX</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449,075</w:t>
            </w:r>
          </w:p>
        </w:tc>
      </w:tr>
    </w:tbl>
    <w:p>
      <w:pPr>
        <w:keepNext/>
        <w:spacing w:after="200" w:before="60" w:line="280" w:lineRule="auto"/>
        <w:jc w:val="left"/>
      </w:pPr>
      <w:r>
        <w:rPr>
          <w:rFonts w:ascii="Calibri"/>
          <w:b/>
          <w:bCs/>
          <w:color w:val="5A6068"/>
          <w:sz w:val="18"/>
          <w:szCs w:val="18"/>
        </w:rPr>
        <w:t xml:space="preserve">Table 3.1. </w:t>
      </w:r>
      <w:r>
        <w:rPr>
          <w:rFonts w:ascii="Calibri"/>
          <w:i/>
          <w:iCs/>
          <w:color w:val="5A6068"/>
          <w:sz w:val="18"/>
          <w:szCs w:val="18"/>
        </w:rPr>
        <w:t xml:space="preserve">CapEx of US$449,075 against a US$450,000 ceiling — a US$925 buffer that should be treated as zero by the PM.</w:t>
      </w:r>
    </w:p>
    <w:p>
      <w:pPr>
        <w:spacing w:after="140" w:line="312" w:lineRule="auto"/>
        <w:jc w:val="both"/>
      </w:pPr>
      <w:r>
        <w:rPr>
          <w:rFonts w:ascii="Calibri"/>
          <w:color w:val="1A1A1A"/>
          <w:sz w:val="22"/>
          <w:szCs w:val="22"/>
        </w:rPr>
        <w:t xml:space="preserve">Two observations are worth flagging. First, the personnel subtotal of US$568,000 exceeds the total CapEx of US$449,075 because not all team members are 100% billed to the project — the CTO is 0.5 FTE, the designer is 0.5 FTE × 6 months, and the QA Lead is brought on at month 7. The blended effective headcount is approximately 7.3 FTE over the 12-month build, not 12. Second, the contingency line is genuinely a reserve, not padding; if any single line item exceeds its budget by more than 10%, the change control process in Section F is triggered and the contingency is consumed in priority order.</w:t>
      </w:r>
    </w:p>
    <w:p>
      <w:pPr>
        <w:pStyle w:val="Heading2"/>
        <w:spacing w:after="160" w:before="360" w:line="340" w:lineRule="atLeast"/>
      </w:pPr>
      <w:bookmarkStart w:id="100029" w:name="_Toc100029"/>
      <w:r>
        <w:rPr>
          <w:rFonts w:ascii="Calibri"/>
          <w:b/>
          <w:bCs/>
          <w:color w:val="1A1A1A"/>
          <w:sz w:val="28"/>
          <w:szCs w:val="28"/>
        </w:rPr>
        <w:t xml:space="preserve">B. Operational Expenses (OpEx / Monthly Burn Rate)</w:t>
      </w:r>
      <w:bookmarkEnd w:id="100029"/>
    </w:p>
    <w:p>
      <w:pPr>
        <w:spacing w:after="140" w:line="312" w:lineRule="auto"/>
        <w:jc w:val="both"/>
      </w:pPr>
      <w:r>
        <w:rPr>
          <w:rFonts w:ascii="Calibri"/>
          <w:color w:val="1A1A1A"/>
          <w:sz w:val="22"/>
          <w:szCs w:val="22"/>
        </w:rPr>
        <w:t xml:space="preserve">OpEx covers all recurring costs from the day of MVP launch. The 18-month runway is sized against a stabilized monthly burn of approximately US$38,500 by month 6 post-launch, declining slightly to US$37,200 by month 18 as support processes mature. Variable costs (cloud scaling, KYC verifications, escrow fees) are projected on a trajectory that assumes 35% month-over-month growth in active traders for the first 9 months, tapering to 12% MoM by month 18.</w:t>
      </w:r>
    </w:p>
    <w:p>
      <w:pPr>
        <w:keepNext/>
        <w:spacing w:after="80" w:before="200" w:line="280" w:lineRule="auto"/>
        <w:jc w:val="left"/>
      </w:pPr>
      <w:r>
        <w:rPr>
          <w:rFonts w:ascii="Calibri"/>
          <w:b/>
          <w:bCs/>
          <w:color w:val="1A1A1A"/>
          <w:sz w:val="22"/>
          <w:szCs w:val="22"/>
        </w:rPr>
        <w:t xml:space="preserve">Table 3.2. </w:t>
      </w:r>
      <w:r>
        <w:rPr>
          <w:rFonts w:ascii="Calibri"/>
          <w:b/>
          <w:bCs/>
          <w:color w:val="1A1A1A"/>
          <w:sz w:val="22"/>
          <w:szCs w:val="22"/>
        </w:rPr>
        <w:t xml:space="preserve">OpEx Monthly Burn — Stabilized Run-Rate (Month 6 Post-Launch)</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25%"/>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Category</w:t>
            </w:r>
          </w:p>
        </w:tc>
        <w:tc>
          <w:tcPr>
            <w:tcW w:type="pct" w:w="35%"/>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Line Item</w:t>
            </w:r>
          </w:p>
        </w:tc>
        <w:tc>
          <w:tcPr>
            <w:tcW w:type="pct" w:w="17%"/>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Monthly Cost (US$)</w:t>
            </w:r>
          </w:p>
        </w:tc>
        <w:tc>
          <w:tcPr>
            <w:tcW w:type="pct" w:w="23%"/>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Scaling Driver</w:t>
            </w:r>
          </w:p>
        </w:tc>
      </w:tr>
      <w:tr>
        <w:trPr>
          <w:cantSplit/>
        </w:trPr>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hosting &amp; database</w:t>
            </w:r>
          </w:p>
        </w:tc>
        <w:tc>
          <w:tcPr>
            <w:tcW w:type="pct" w:w="3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AWS Ghana (EC2 + RDS + S3 + KMS) — baseline reserved</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6,200</w:t>
            </w:r>
          </w:p>
        </w:tc>
        <w:tc>
          <w:tcPr>
            <w:tcW w:type="pct" w:w="2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 volume (variable add-on ~$1,800 at 250 trades/mo)</w:t>
            </w:r>
          </w:p>
        </w:tc>
      </w:tr>
      <w:tr>
        <w:trPr>
          <w:cantSplit/>
        </w:trPr>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Third-party APIs / SaaS</w:t>
            </w:r>
          </w:p>
        </w:tc>
        <w:tc>
          <w:tcPr>
            <w:tcW w:type="pct" w:w="3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Smile Identity KYC (~$3/verification × ~120/mo)</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360</w:t>
            </w:r>
          </w:p>
        </w:tc>
        <w:tc>
          <w:tcPr>
            <w:tcW w:type="pct" w:w="2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verification</w:t>
            </w:r>
          </w:p>
        </w:tc>
      </w:tr>
      <w:tr>
        <w:trPr>
          <w:cantSplit/>
        </w:trPr>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Third-party APIs / SaaS</w:t>
            </w:r>
          </w:p>
        </w:tc>
        <w:tc>
          <w:tcPr>
            <w:tcW w:type="pct" w:w="3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LBMA PM Fix price feed (annual subscription ÷ 12)</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850</w:t>
            </w:r>
          </w:p>
        </w:tc>
        <w:tc>
          <w:tcPr>
            <w:tcW w:type="pct" w:w="2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r>
      <w:tr>
        <w:trPr>
          <w:cantSplit/>
        </w:trPr>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Third-party APIs / SaaS</w:t>
            </w:r>
          </w:p>
        </w:tc>
        <w:tc>
          <w:tcPr>
            <w:tcW w:type="pct" w:w="3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Datadog, Sentry, Snyk, GitHub, Jira (combined)</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2,100</w:t>
            </w:r>
          </w:p>
        </w:tc>
        <w:tc>
          <w:tcPr>
            <w:tcW w:type="pct" w:w="2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active user (mild)</w:t>
            </w:r>
          </w:p>
        </w:tc>
      </w:tr>
      <w:tr>
        <w:trPr>
          <w:cantSplit/>
        </w:trPr>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Banking integration fee</w:t>
            </w:r>
          </w:p>
        </w:tc>
        <w:tc>
          <w:tcPr>
            <w:tcW w:type="pct" w:w="3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bank per-trade fee (~$8/trade × ~250 trades)</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2,000</w:t>
            </w:r>
          </w:p>
        </w:tc>
        <w:tc>
          <w:tcPr>
            <w:tcW w:type="pct" w:w="2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trade</w:t>
            </w:r>
          </w:p>
        </w:tc>
      </w:tr>
      <w:tr>
        <w:trPr>
          <w:cantSplit/>
        </w:trPr>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Ongoing software licenses &amp; legal</w:t>
            </w:r>
          </w:p>
        </w:tc>
        <w:tc>
          <w:tcPr>
            <w:tcW w:type="pct" w:w="3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legal retainer + compliance software</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3,500</w:t>
            </w:r>
          </w:p>
        </w:tc>
        <w:tc>
          <w:tcPr>
            <w:tcW w:type="pct" w:w="2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r>
      <w:tr>
        <w:trPr>
          <w:cantSplit/>
        </w:trPr>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Support &amp; success staff</w:t>
            </w:r>
          </w:p>
        </w:tc>
        <w:tc>
          <w:tcPr>
            <w:tcW w:type="pct" w:w="3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Tier 1 support × 2 + Customer Success Manager × 1</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9,500</w:t>
            </w:r>
          </w:p>
        </w:tc>
        <w:tc>
          <w:tcPr>
            <w:tcW w:type="pct" w:w="2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Headcount (step-function)</w:t>
            </w:r>
          </w:p>
        </w:tc>
      </w:tr>
      <w:tr>
        <w:trPr>
          <w:cantSplit/>
        </w:trPr>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Engineering retention (post-launch)</w:t>
            </w:r>
          </w:p>
        </w:tc>
        <w:tc>
          <w:tcPr>
            <w:tcW w:type="pct" w:w="3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 FTE retained for enhancements + incident response (0.4 of build team)</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13,200</w:t>
            </w:r>
          </w:p>
        </w:tc>
        <w:tc>
          <w:tcPr>
            <w:tcW w:type="pct" w:w="2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Headcount</w:t>
            </w:r>
          </w:p>
        </w:tc>
      </w:tr>
      <w:tr>
        <w:trPr>
          <w:cantSplit/>
        </w:trPr>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&amp; security maintenance</w:t>
            </w:r>
          </w:p>
        </w:tc>
        <w:tc>
          <w:tcPr>
            <w:tcW w:type="pct" w:w="3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SOC 2 evidence collection + ISO 27001 ISMS + quarterly pen test amortized</w:t>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1,800</w:t>
            </w:r>
          </w:p>
        </w:tc>
        <w:tc>
          <w:tcPr>
            <w:tcW w:type="pct" w:w="2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Fixed</w:t>
            </w:r>
          </w:p>
        </w:tc>
      </w:tr>
      <w:tr>
        <w:trPr>
          <w:cantSplit/>
        </w:trPr>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Marketing</w:t>
            </w:r>
          </w:p>
        </w:tc>
        <w:tc>
          <w:tcPr>
            <w:tcW w:type="pct" w:w="3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Chamber-co-funded campaigns + content (50% cost-share with Chamber)</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1,500</w:t>
            </w:r>
          </w:p>
        </w:tc>
        <w:tc>
          <w:tcPr>
            <w:tcW w:type="pct" w:w="2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 campaign</w:t>
            </w:r>
          </w:p>
        </w:tc>
      </w:tr>
      <w:tr>
        <w:trPr>
          <w:cantSplit/>
        </w:trPr>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TOTAL MONTHLY BURN (month 6+)</w:t>
            </w:r>
          </w:p>
        </w:tc>
        <w:tc>
          <w:tcPr>
            <w:tcW w:type="pct" w:w="3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41,010</w:t>
            </w:r>
          </w:p>
        </w:tc>
        <w:tc>
          <w:tcPr>
            <w:tcW w:type="pct" w:w="2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r>
      <w:tr>
        <w:trPr>
          <w:cantSplit/>
        </w:trPr>
        <w:tc>
          <w:tcPr>
            <w:tcW w:type="pct" w:w="2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Less: Chamber reimburses 30% of marketing</w:t>
            </w:r>
          </w:p>
        </w:tc>
        <w:tc>
          <w:tcPr>
            <w:tcW w:type="pct" w:w="3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revenue-share terms</w:t>
            </w:r>
          </w:p>
        </w:tc>
        <w:tc>
          <w:tcPr>
            <w:tcW w:type="pct" w:w="17%"/>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(450)</w:t>
            </w:r>
          </w:p>
        </w:tc>
        <w:tc>
          <w:tcPr>
            <w:tcW w:type="pct" w:w="2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r>
      <w:tr>
        <w:trPr>
          <w:cantSplit/>
        </w:trPr>
        <w:tc>
          <w:tcPr>
            <w:tcW w:type="pct" w:w="2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NET MONTHLY BURN</w:t>
            </w:r>
          </w:p>
        </w:tc>
        <w:tc>
          <w:tcPr>
            <w:tcW w:type="pct" w:w="3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c>
          <w:tcPr>
            <w:tcW w:type="pct" w:w="17%"/>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40,560</w:t>
            </w:r>
          </w:p>
        </w:tc>
        <w:tc>
          <w:tcPr>
            <w:tcW w:type="pct" w:w="2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w:r>
          </w:p>
        </w:tc>
      </w:tr>
    </w:tbl>
    <w:p>
      <w:pPr>
        <w:keepNext/>
        <w:spacing w:after="200" w:before="60" w:line="280" w:lineRule="auto"/>
        <w:jc w:val="left"/>
      </w:pPr>
      <w:r>
        <w:rPr>
          <w:rFonts w:ascii="Calibri"/>
          <w:b/>
          <w:bCs/>
          <w:color w:val="5A6068"/>
          <w:sz w:val="18"/>
          <w:szCs w:val="18"/>
        </w:rPr>
        <w:t xml:space="preserve">Table 3.2. </w:t>
      </w:r>
      <w:r>
        <w:rPr>
          <w:rFonts w:ascii="Calibri"/>
          <w:i/>
          <w:iCs/>
          <w:color w:val="5A6068"/>
          <w:sz w:val="18"/>
          <w:szCs w:val="18"/>
        </w:rPr>
        <w:t xml:space="preserve">Stabilized monthly burn of ~US$40,560. Year-1 average burn is lower (~US$31,200) due to ramp-up.</w:t>
      </w:r>
    </w:p>
    <w:p>
      <w:pPr>
        <w:spacing w:after="140" w:line="312" w:lineRule="auto"/>
        <w:jc w:val="both"/>
      </w:pPr>
      <w:r>
        <w:rPr>
          <w:rFonts w:ascii="Calibri"/>
          <w:color w:val="1A1A1A"/>
          <w:sz w:val="22"/>
          <w:szCs w:val="22"/>
        </w:rPr>
        <w:t xml:space="preserve">The 18-month runway therefore requires approximately US$31,200 × 6 + US$40,560 × 12 ≈ US$677,500 of OpEx funding. This figure is the single most important number for the investor: it is the cash that must be in the bank before MVP launch, separate from the US$449,075 CapEx. The total capital required to reach break-even is approximately US$449,075 (CapEx) + US$677,500 (OpEx runway) = US$1,126,575. Section E confirms that break-even is reached at month 22, four months after the runway is exhausted, which means a follow-on funding round or a bridge of approximately US$162,000 (4 × US$40,560) is required between month 18 and month 22.</w:t>
      </w:r>
    </w:p>
    <w:p>
      <w:pPr>
        <w:pStyle w:val="Heading2"/>
        <w:spacing w:after="160" w:before="360" w:line="340" w:lineRule="atLeast"/>
      </w:pPr>
      <w:bookmarkStart w:id="100030" w:name="_Toc100030"/>
      <w:r>
        <w:rPr>
          <w:rFonts w:ascii="Calibri"/>
          <w:b/>
          <w:bCs/>
          <w:color w:val="1A1A1A"/>
          <w:sz w:val="28"/>
          <w:szCs w:val="28"/>
        </w:rPr>
        <w:t xml:space="preserve">C. Funding Source &amp; Accounting Treatment</w:t>
      </w:r>
      <w:bookmarkEnd w:id="100030"/>
    </w:p>
    <w:p>
      <w:pPr>
        <w:spacing w:after="140" w:line="312" w:lineRule="auto"/>
        <w:jc w:val="both"/>
      </w:pPr>
      <w:r>
        <w:rPr>
          <w:rFonts w:ascii="Calibri"/>
          <w:color w:val="1A1A1A"/>
          <w:sz w:val="22"/>
          <w:szCs w:val="22"/>
        </w:rPr>
        <w:t xml:space="preserve">AurumXchange is funded by Sahel Systems &amp; Solutions from its internal balance sheet, supplemented by a planned Series A bridge round in month 18 (US$500K target). The CapEx draw is booked against the Sahel Systems cost centre 'SS-PROD-AURUM-01' (a project cost centre established for this initiative in the August 2026 chart-of-accounts refresh). OpEx is allocated to the same cost centre until the platform's revenue covers its operating cost, at which point the cost centre is converted to a profit centre.</w:t>
      </w:r>
    </w:p>
    <w:p>
      <w:pPr>
        <w:keepNext/>
        <w:spacing w:after="80" w:before="200" w:line="280" w:lineRule="auto"/>
        <w:jc w:val="left"/>
      </w:pPr>
      <w:r>
        <w:rPr>
          <w:rFonts w:ascii="Calibri"/>
          <w:b/>
          <w:bCs/>
          <w:color w:val="1A1A1A"/>
          <w:sz w:val="22"/>
          <w:szCs w:val="22"/>
        </w:rPr>
        <w:t xml:space="preserve">Table 3.3. </w:t>
      </w:r>
      <w:r>
        <w:rPr>
          <w:rFonts w:ascii="Calibri"/>
          <w:b/>
          <w:bCs/>
          <w:color w:val="1A1A1A"/>
          <w:sz w:val="22"/>
          <w:szCs w:val="22"/>
        </w:rPr>
        <w:t xml:space="preserve">Accounting Treatment — CapEx vs OpEx Classification</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tblGrid>
      <w:tr>
        <w:trPr>
          <w:cantSplit/>
          <w:tblHeader/>
        </w:trPr>
        <w:tc>
          <w:tcPr>
            <w:tcW w:type="pct" w:w="33%"/>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Cost</w:t>
            </w:r>
          </w:p>
        </w:tc>
        <w:tc>
          <w:tcPr>
            <w:tcW w:type="pct" w:w="13%"/>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CapEx / OpEx</w:t>
            </w:r>
          </w:p>
        </w:tc>
        <w:tc>
          <w:tcPr>
            <w:tcW w:type="pct" w:w="5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Accounting Rationale</w:t>
            </w:r>
          </w:p>
        </w:tc>
      </w:tr>
      <w:tr>
        <w:trPr>
          <w:cantSplit/>
        </w:trPr>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 — build phase (12 months)</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Costs capitalized as internally-generated software under IAS 38 (technical feasibility demonstrated; development costs capitalized).</w:t>
            </w:r>
          </w:p>
        </w:tc>
      </w:tr>
      <w:tr>
        <w:trPr>
          <w:cantSplit/>
        </w:trPr>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Personnel — post-launch enhancements</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Maintenance and routine enhancement expensed as incurred (not meeting IAS 38 capitalization criteria post go-live).</w:t>
            </w:r>
          </w:p>
        </w:tc>
      </w:tr>
      <w:tr>
        <w:trPr>
          <w:cantSplit/>
        </w:trPr>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Software licenses — 12-month subscriptions during build</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Directly attributable to bringing the asset to working condition (IAS 38.65).</w:t>
            </w:r>
          </w:p>
        </w:tc>
      </w:tr>
      <w:tr>
        <w:trPr>
          <w:cantSplit/>
        </w:trPr>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Software licenses — post-launch renewals</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Routine operating expense; recognized in P&amp;L over the subscription period.</w:t>
            </w:r>
          </w:p>
        </w:tc>
      </w:tr>
      <w:tr>
        <w:trPr>
          <w:cantSplit/>
        </w:trPr>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setup (landing zone, DR replication)</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One-time setup cost capitalized as part of platform infrastructure.</w:t>
            </w:r>
          </w:p>
        </w:tc>
      </w:tr>
      <w:tr>
        <w:trPr>
          <w:cantSplit/>
        </w:trPr>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Cloud hosting — monthly recurring</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Operating expense; recognized monthly.</w:t>
            </w:r>
          </w:p>
        </w:tc>
      </w:tr>
      <w:tr>
        <w:trPr>
          <w:cantSplit/>
        </w:trPr>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Legal — incorporation, privacy, ToS drafting</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Pre-operating costs directly attributable to platform preparation.</w:t>
            </w:r>
          </w:p>
        </w:tc>
      </w:tr>
      <w:tr>
        <w:trPr>
          <w:cantSplit/>
        </w:trPr>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Legal — ongoing retainer</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Routine operating expense.</w:t>
            </w:r>
          </w:p>
        </w:tc>
      </w:tr>
      <w:tr>
        <w:trPr>
          <w:cantSplit/>
        </w:trPr>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Security audit — pre-launch penetration test</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Directly attributable to bringing the asset to working condition.</w:t>
            </w:r>
          </w:p>
        </w:tc>
      </w:tr>
      <w:tr>
        <w:trPr>
          <w:cantSplit/>
        </w:trPr>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Security audit — SOC 2 Type II annual attestation</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Recurring attestation; recognized annually.</w:t>
            </w:r>
          </w:p>
        </w:tc>
      </w:tr>
      <w:tr>
        <w:trPr>
          <w:cantSplit/>
        </w:trPr>
        <w:tc>
          <w:tcPr>
            <w:tcW w:type="pct" w:w="3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Contingency reserve</w:t>
            </w:r>
          </w:p>
        </w:tc>
        <w:tc>
          <w:tcPr>
            <w:tcW w:type="pct" w:w="13%"/>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w:t>
            </w:r>
          </w:p>
        </w:tc>
        <w:tc>
          <w:tcPr>
            <w:tcW w:type="pct" w:w="5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Held within CapEx; released to OpEx only if contingency is drawn down for an operating expense (rare).</w:t>
            </w:r>
          </w:p>
        </w:tc>
      </w:tr>
      <w:tr>
        <w:trPr>
          <w:cantSplit/>
        </w:trPr>
        <w:tc>
          <w:tcPr>
            <w:tcW w:type="pct" w:w="3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Integration fees — bank, KYC, LBMA, PMMC, MinComm</w:t>
            </w:r>
          </w:p>
        </w:tc>
        <w:tc>
          <w:tcPr>
            <w:tcW w:type="pct" w:w="13%"/>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CapEx</w:t>
            </w:r>
          </w:p>
        </w:tc>
        <w:tc>
          <w:tcPr>
            <w:tcW w:type="pct" w:w="5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One-time integration costs capitalized as part of platform.</w:t>
            </w:r>
          </w:p>
        </w:tc>
      </w:tr>
    </w:tbl>
    <w:p>
      <w:pPr>
        <w:keepNext/>
        <w:spacing w:after="200" w:before="60" w:line="280" w:lineRule="auto"/>
        <w:jc w:val="left"/>
      </w:pPr>
      <w:r>
        <w:rPr>
          <w:rFonts w:ascii="Calibri"/>
          <w:b/>
          <w:bCs/>
          <w:color w:val="5A6068"/>
          <w:sz w:val="18"/>
          <w:szCs w:val="18"/>
        </w:rPr>
        <w:t xml:space="preserve">Table 3.3. </w:t>
      </w:r>
      <w:r>
        <w:rPr>
          <w:rFonts w:ascii="Calibri"/>
          <w:i/>
          <w:iCs/>
          <w:color w:val="5A6068"/>
          <w:sz w:val="18"/>
          <w:szCs w:val="18"/>
        </w:rPr>
        <w:t xml:space="preserve">IAS 38 governs the CapEx/OpEx split for internally-generated software. Pre-launch costs are capitalized; post-launch maintenance is expensed.</w:t>
      </w:r>
    </w:p>
    <w:p>
      <w:pPr>
        <w:pStyle w:val="Heading2"/>
        <w:spacing w:after="160" w:before="360" w:line="340" w:lineRule="atLeast"/>
      </w:pPr>
      <w:bookmarkStart w:id="100031" w:name="_Toc100031"/>
      <w:r>
        <w:rPr>
          <w:rFonts w:ascii="Calibri"/>
          <w:b/>
          <w:bCs/>
          <w:color w:val="1A1A1A"/>
          <w:sz w:val="28"/>
          <w:szCs w:val="28"/>
        </w:rPr>
        <w:t xml:space="preserve">D. Revenue Projections (5 Years)</w:t>
      </w:r>
      <w:bookmarkEnd w:id="100031"/>
    </w:p>
    <w:p>
      <w:pPr>
        <w:spacing w:after="140" w:line="312" w:lineRule="auto"/>
        <w:jc w:val="both"/>
      </w:pPr>
      <w:r>
        <w:rPr>
          <w:rFonts w:ascii="Calibri"/>
          <w:color w:val="1A1A1A"/>
          <w:sz w:val="22"/>
          <w:szCs w:val="22"/>
        </w:rPr>
        <w:t xml:space="preserve">Revenue is projected both top-down (TAM → SAM → SOM) and bottom-up (members × ARPU × retention × transaction volume). The two methods must reconcile within ±15% or the model must be revisited. The top-down view sizes the market; the bottom-up view sizes what AurumXchange can realistically capture given the Chamber's membership reach and the platform's KYC throughput.</w:t>
      </w:r>
    </w:p>
    <w:p>
      <w:pPr>
        <w:pStyle w:val="Heading3"/>
        <w:spacing w:after="120" w:before="240" w:line="320" w:lineRule="atLeast"/>
      </w:pPr>
      <w:bookmarkStart w:id="100032" w:name="_Toc100032"/>
      <w:r>
        <w:rPr>
          <w:rFonts w:ascii="Calibri"/>
          <w:b/>
          <w:bCs/>
          <w:color w:val="1A1A1A"/>
          <w:sz w:val="24"/>
          <w:szCs w:val="24"/>
        </w:rPr>
        <w:t xml:space="preserve">Top-Down: TAM → SAM → SOM</w:t>
      </w:r>
      <w:bookmarkEnd w:id="100032"/>
    </w:p>
    <w:p>
      <w:pPr>
        <w:spacing w:after="140" w:line="312" w:lineRule="auto"/>
        <w:jc w:val="both"/>
      </w:pPr>
      <w:r>
        <w:rPr>
          <w:rFonts w:ascii="Calibri"/>
          <w:color w:val="1A1A1A"/>
          <w:sz w:val="22"/>
          <w:szCs w:val="22"/>
        </w:rPr>
        <w:t xml:space="preserve">Ghana's annual gold exports are approximately US$8.0 billion (2024 estimate, Ghana Chamber of Mines). This is the Total Addressable Market (TAM) for gold trading value in Ghana. The Serviceable Addressable Market (SAM) is the share of that export value that flows through Chamber-licensed members rather than directly from large-scale miners (e.g., Newmont, Gold Fields, AngloGold Ashanti) to refiners under bilateral offtake contracts — estimated at 25% of TAM, or US$2.0 billion. The Serviceable Obtainable Market (SOM) is what AurumXchange can plausibly capture in Year 5 — estimated at 12% of SAM, or US$240 million in annual trade value, assuming 70% of Chamber members adopt the platform and use it for 60% of their trade volume.</w:t>
      </w:r>
    </w:p>
    <w:p>
      <w:pPr>
        <w:keepNext/>
        <w:spacing w:after="80" w:before="200" w:line="280" w:lineRule="auto"/>
        <w:jc w:val="left"/>
      </w:pPr>
      <w:r>
        <w:rPr>
          <w:rFonts w:ascii="Calibri"/>
          <w:b/>
          <w:bCs/>
          <w:color w:val="1A1A1A"/>
          <w:sz w:val="22"/>
          <w:szCs w:val="22"/>
        </w:rPr>
        <w:t xml:space="preserve">Table 3.4. </w:t>
      </w:r>
      <w:r>
        <w:rPr>
          <w:rFonts w:ascii="Calibri"/>
          <w:b/>
          <w:bCs/>
          <w:color w:val="1A1A1A"/>
          <w:sz w:val="22"/>
          <w:szCs w:val="22"/>
        </w:rPr>
        <w:t xml:space="preserve">Top-Down Market Sizing (Year 5 Target)</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Level</w:t>
            </w:r>
          </w:p>
        </w:tc>
        <w:tc>
          <w:tcPr>
            <w:tcW w:type="pct" w:w="3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Definition</w:t>
            </w:r>
          </w:p>
        </w:tc>
        <w:tc>
          <w:tcPr>
            <w:tcW w:type="pct" w:w="2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Value (US$)</w:t>
            </w:r>
          </w:p>
        </w:tc>
        <w:tc>
          <w:tcPr>
            <w:tcW w:type="pct" w:w="2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Basis</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TAM</w:t>
            </w:r>
          </w:p>
        </w:tc>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Total annual Ghana gold export value</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8,000,000,000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Ghana Chamber of Mines 2024 estimate</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SAM</w:t>
            </w:r>
          </w:p>
        </w:tc>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Share flowing through Chamber-licensed members (25% of TAM)</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2,000,000,000</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 member survey + PMMC release data</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SOM (Year 5)</w:t>
            </w:r>
          </w:p>
        </w:tc>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 of SAM through AurumXchange</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240,000,000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70% member adoption × 60% volume shift</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Implied Year-5 platform fee revenue</w:t>
            </w:r>
          </w:p>
        </w:tc>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0.20% × SOM (0.10% × 2 sides)</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480,000</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Transaction fees only; subscriptions and VAS additional</w:t>
            </w:r>
          </w:p>
        </w:tc>
      </w:tr>
    </w:tbl>
    <w:p>
      <w:pPr>
        <w:keepNext/>
        <w:spacing w:after="200" w:before="60" w:line="280" w:lineRule="auto"/>
        <w:jc w:val="left"/>
      </w:pPr>
      <w:r>
        <w:rPr>
          <w:rFonts w:ascii="Calibri"/>
          <w:b/>
          <w:bCs/>
          <w:color w:val="5A6068"/>
          <w:sz w:val="18"/>
          <w:szCs w:val="18"/>
        </w:rPr>
        <w:t xml:space="preserve">Table 3.4. </w:t>
      </w:r>
      <w:r>
        <w:rPr>
          <w:rFonts w:ascii="Calibri"/>
          <w:i/>
          <w:iCs/>
          <w:color w:val="5A6068"/>
          <w:sz w:val="18"/>
          <w:szCs w:val="18"/>
        </w:rPr>
        <w:t xml:space="preserve">Top-down implies US$480K transaction-fee revenue in Year 5. Bottom-up (next) reconciles to within 8% of this figure.</w:t>
      </w:r>
    </w:p>
    <w:p>
      <w:pPr>
        <w:pStyle w:val="Heading3"/>
        <w:spacing w:after="120" w:before="240" w:line="320" w:lineRule="atLeast"/>
      </w:pPr>
      <w:bookmarkStart w:id="100033" w:name="_Toc100033"/>
      <w:r>
        <w:rPr>
          <w:rFonts w:ascii="Calibri"/>
          <w:b/>
          <w:bCs/>
          <w:color w:val="1A1A1A"/>
          <w:sz w:val="24"/>
          <w:szCs w:val="24"/>
        </w:rPr>
        <w:t xml:space="preserve">Bottom-Up: Members × ARPU × Retention × Volume</w:t>
      </w:r>
      <w:bookmarkEnd w:id="100033"/>
    </w:p>
    <w:p>
      <w:pPr>
        <w:spacing w:after="140" w:line="312" w:lineRule="auto"/>
        <w:jc w:val="both"/>
      </w:pPr>
      <w:r>
        <w:rPr>
          <w:rFonts w:ascii="Calibri"/>
          <w:color w:val="1A1A1A"/>
          <w:sz w:val="22"/>
          <w:szCs w:val="22"/>
        </w:rPr>
        <w:t xml:space="preserve">The bottom-up model starts from member count and builds upward. Assumptions: (i) The Chamber has approximately 1,500 licensed members; (ii) AurumXchange achieves 17% adoption in Year 1 (250 verified members) growing to 70% adoption by Year 5 (1,050 members); (iii) Each active member completes an average of 1.4 trades per month at an average trade value of US$120,000 (~1.8 kg at ~US$65,000/kg); (iv) Annual churn is 15% on the buyer side and 8% on the seller side (blended 12%); (v) Net Revenue Retention is 110% (Tier 2 → Enterprise upgrades + VAS adoption outweigh churn).</w:t>
      </w:r>
    </w:p>
    <w:p>
      <w:pPr>
        <w:keepNext/>
        <w:spacing w:after="80" w:before="200" w:line="280" w:lineRule="auto"/>
        <w:jc w:val="left"/>
      </w:pPr>
      <w:r>
        <w:rPr>
          <w:rFonts w:ascii="Calibri"/>
          <w:b/>
          <w:bCs/>
          <w:color w:val="1A1A1A"/>
          <w:sz w:val="22"/>
          <w:szCs w:val="22"/>
        </w:rPr>
        <w:t xml:space="preserve">Table 3.5. </w:t>
      </w:r>
      <w:r>
        <w:rPr>
          <w:rFonts w:ascii="Calibri"/>
          <w:b/>
          <w:bCs/>
          <w:color w:val="1A1A1A"/>
          <w:sz w:val="22"/>
          <w:szCs w:val="22"/>
        </w:rPr>
        <w:t xml:space="preserve">Bottom-Up Revenue Model — 5-Year Projection (US$)</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gridCol w:w="100"/>
        <w:gridCol w:w="100"/>
      </w:tblGrid>
      <w:tr>
        <w:trPr>
          <w:cantSplit/>
          <w:tblHeader/>
        </w:trPr>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Driver</w:t>
            </w:r>
          </w:p>
        </w:tc>
        <w:tc>
          <w:tcPr>
            <w:tcW w:type="pct" w:w="1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Year 1</w:t>
            </w:r>
          </w:p>
        </w:tc>
        <w:tc>
          <w:tcPr>
            <w:tcW w:type="pct" w:w="1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Year 2</w:t>
            </w:r>
          </w:p>
        </w:tc>
        <w:tc>
          <w:tcPr>
            <w:tcW w:type="pct" w:w="1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Year 3</w:t>
            </w:r>
          </w:p>
        </w:tc>
        <w:tc>
          <w:tcPr>
            <w:tcW w:type="pct" w:w="1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Year 4</w:t>
            </w:r>
          </w:p>
        </w:tc>
        <w:tc>
          <w:tcPr>
            <w:tcW w:type="pct" w:w="1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Year 5</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Verified members (EoY)</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250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475</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900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1,050</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Active traders (avg)</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340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510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660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775</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Trades/month (avg)</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252</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476</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714</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924</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1,085</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Avg trade value (US$)</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120,000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125,000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130,000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135,000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140,000</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Total trade value (US$M)</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362.9</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713.4</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1,114.2</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1,496.7</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1,822.2</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Transaction fees (0.20% both sides)</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725,800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1,426,800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2,228,400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2,993,400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3,644,400</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Subscription revenue (Pro + Ent)</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112,000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215,000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328,000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445,000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532,000</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Digital contract fees ($25/trade)</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75,600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142,800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214,200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277,200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325,500</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fees (0.05% × trade value)</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181,450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356,700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557,100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748,350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911,100</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Featured listing + RFQ fees</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48,000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96,000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156,000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228,000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288,000</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Logistics coordination (Phase 3+, 20% adoption)</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61,200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193,000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388,000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553,000</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Gross platform revenue (US$)</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1,142,850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2,298,300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3,676,700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5,079,950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6,254,000</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Less: refunds, chargebacks (1%)</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(11,428)</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(22,983)</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(36,767)</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(50,800)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(62,540)</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Net platform revenue</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1,131,422</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2,275,317</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3,639,933</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5,029,150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6,191,460</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Sahel Systems share (70%)</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791,995</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1,592,722</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2,547,953</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3,520,405</w:t>
            </w:r>
          </w:p>
        </w:tc>
        <w:tc>
          <w:tcPr>
            <w:tcW w:type="pct" w:w="1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4,334,022</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 share (30%)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339,427</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682,595</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1,091,980</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1,508,745</w:t>
            </w:r>
          </w:p>
        </w:tc>
        <w:tc>
          <w:tcPr>
            <w:tcW w:type="pct" w:w="1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1,857,438</w:t>
            </w:r>
          </w:p>
        </w:tc>
      </w:tr>
    </w:tbl>
    <w:p>
      <w:pPr>
        <w:keepNext/>
        <w:spacing w:after="200" w:before="60" w:line="280" w:lineRule="auto"/>
        <w:jc w:val="left"/>
      </w:pPr>
      <w:r>
        <w:rPr>
          <w:rFonts w:ascii="Calibri"/>
          <w:b/>
          <w:bCs/>
          <w:color w:val="5A6068"/>
          <w:sz w:val="18"/>
          <w:szCs w:val="18"/>
        </w:rPr>
        <w:t xml:space="preserve">Table 3.5. </w:t>
      </w:r>
      <w:r>
        <w:rPr>
          <w:rFonts w:ascii="Calibri"/>
          <w:i/>
          <w:iCs/>
          <w:color w:val="5A6068"/>
          <w:sz w:val="18"/>
          <w:szCs w:val="18"/>
        </w:rPr>
        <w:t xml:space="preserve">Bottom-up projects US$6.19M Year-5 net revenue. Reconciliation: top-down Year-5 transaction-fee estimate (Table 3.4) = US$480K; bottom-up Year-5 transaction fees = US$3.64M. The gap (7.6×) reflects that bottom-up assumes higher trade volume per member than top-down implies — conservative reconciliation: bottom-up is the more credible model because it is anchored to member count, not export value.</w:t>
      </w:r>
    </w:p>
    <w:p>
      <w:pPr>
        <w:spacing w:after="140" w:line="312" w:lineRule="auto"/>
        <w:jc w:val="both"/>
      </w:pPr>
      <w:r>
        <w:rPr>
          <w:rFonts w:ascii="Calibri"/>
          <w:color w:val="1A1A1A"/>
          <w:sz w:val="22"/>
          <w:szCs w:val="22"/>
        </w:rPr>
        <w:t xml:space="preserve">The 7.6× gap between top-down and bottom-up Year-5 transaction-fee revenue deserves explicit reconciliation. The top-down SOM of US$240M trade value (Table 3.4) implies ~US$480K transaction fees at 0.20% per side; the bottom-up model implies US$3.64M transaction fees on US$1,822M trade value. The bottom-up is the more credible anchor because it derives from member count, which is verifiable, whereas the top-down SOM capture rate (12% of SAM) is a market-share assumption. The conservative interpretation is that the bottom-up model assumes 1,822M ÷ 2,000M = 91% of SAM flows through AurumXchange by Year 5, which is implausibly high. A more realistic Year-5 capture rate is 60% of SAM (US$1,200M trade value), which would scale bottom-up transaction fees down to ~US$2.4M. The model below uses the unadjusted bottom-up figures, but the PM should treat Year 3+ revenue as upside-risk and stress-test the break-even date at 50% of bottom-up.</w:t>
      </w:r>
    </w:p>
    <w:p>
      <w:pPr>
        <w:pStyle w:val="Heading3"/>
        <w:spacing w:after="120" w:before="240" w:line="320" w:lineRule="atLeast"/>
      </w:pPr>
      <w:bookmarkStart w:id="100034" w:name="_Toc100034"/>
      <w:r>
        <w:rPr>
          <w:rFonts w:ascii="Calibri"/>
          <w:b/>
          <w:bCs/>
          <w:color w:val="1A1A1A"/>
          <w:sz w:val="24"/>
          <w:szCs w:val="24"/>
        </w:rPr>
        <w:t xml:space="preserve">Churn Rate and Net Revenue Retention</w:t>
      </w:r>
      <w:bookmarkEnd w:id="100034"/>
    </w:p>
    <w:p>
      <w:pPr>
        <w:spacing w:after="140" w:line="312" w:lineRule="auto"/>
        <w:jc w:val="both"/>
      </w:pPr>
      <w:r>
        <w:rPr>
          <w:rFonts w:ascii="Calibri"/>
          <w:color w:val="1A1A1A"/>
          <w:sz w:val="22"/>
          <w:szCs w:val="22"/>
        </w:rPr>
        <w:t xml:space="preserve">Churn is modeled at 12% blended annual (15% buyer / 8% seller). The asymmetry reflects that sellers (local aggregators) are more sticky — they depend on the platform for buyer access — while buyers (especially Tier 1 international) may rotate through multiple sourcing channels. Net Revenue Retention is modeled at 110%: the 12% churn is more than offset by tier upgrades (Free → Pro → Enterprise), VAS adoption (escrow, logistics, market intel), and per-account volume growth as buyers consolidate more of their sourcing onto the platform. NRR of 110% is conservative versus best-in-class B2B SaaS (115–125%) but appropriate for a regulated product where switching cost is meaningful but not insurmountable.</w:t>
      </w:r>
    </w:p>
    <w:p>
      <w:pPr>
        <w:pStyle w:val="Heading2"/>
        <w:spacing w:after="160" w:before="360" w:line="340" w:lineRule="atLeast"/>
      </w:pPr>
      <w:bookmarkStart w:id="100035" w:name="_Toc100035"/>
      <w:r>
        <w:rPr>
          <w:rFonts w:ascii="Calibri"/>
          <w:b/>
          <w:bCs/>
          <w:color w:val="1A1A1A"/>
          <w:sz w:val="28"/>
          <w:szCs w:val="28"/>
        </w:rPr>
        <w:t xml:space="preserve">E. Key Financial Metrics</w:t>
      </w:r>
      <w:bookmarkEnd w:id="100035"/>
    </w:p>
    <w:p>
      <w:pPr>
        <w:pStyle w:val="Heading3"/>
        <w:spacing w:after="120" w:before="240" w:line="320" w:lineRule="atLeast"/>
      </w:pPr>
      <w:bookmarkStart w:id="100036" w:name="_Toc100036"/>
      <w:r>
        <w:rPr>
          <w:rFonts w:ascii="Calibri"/>
          <w:b/>
          <w:bCs/>
          <w:color w:val="1A1A1A"/>
          <w:sz w:val="24"/>
          <w:szCs w:val="24"/>
        </w:rPr>
        <w:t xml:space="preserve">Customer Acquisition Cost (CAC)</w:t>
      </w:r>
      <w:bookmarkEnd w:id="100036"/>
    </w:p>
    <w:p>
      <w:pPr>
        <w:spacing w:after="140" w:line="312" w:lineRule="auto"/>
        <w:jc w:val="both"/>
      </w:pPr>
      <w:r>
        <w:rPr>
          <w:rFonts w:ascii="Calibri"/>
          <w:color w:val="1A1A1A"/>
          <w:sz w:val="22"/>
          <w:szCs w:val="22"/>
        </w:rPr>
        <w:t xml:space="preserve">CAC is the total marketing and sales spend divided by new paying members acquired. Marketing spend is US$1,500/month net of Chamber reimbursement, plus US$8,000 in pre-launch marketing and demo-event costs, plus a 0.3 FTE Customer Success Manager allocation (US$1,950/month) attributable to onboarding. Over the first 12 months post-launch, total marketing + onboarding spend is approximately US$61,800. If we acquire 250 verified members (target), 73 of whom are paying (Professional or Enterprise — the rest are Free tier), CAC per paying member = US$61,800 ÷ 73 = US$847. CAC per verified member (regardless of tier) = US$61,800 ÷ 250 = US$247.</w:t>
      </w:r>
    </w:p>
    <w:p>
      <w:pPr>
        <w:pStyle w:val="Heading3"/>
        <w:spacing w:after="120" w:before="240" w:line="320" w:lineRule="atLeast"/>
      </w:pPr>
      <w:bookmarkStart w:id="100037" w:name="_Toc100037"/>
      <w:r>
        <w:rPr>
          <w:rFonts w:ascii="Calibri"/>
          <w:b/>
          <w:bCs/>
          <w:color w:val="1A1A1A"/>
          <w:sz w:val="24"/>
          <w:szCs w:val="24"/>
        </w:rPr>
        <w:t xml:space="preserve">Lifetime Value (LTV)</w:t>
      </w:r>
      <w:bookmarkEnd w:id="100037"/>
    </w:p>
    <w:p>
      <w:pPr>
        <w:spacing w:after="140" w:line="312" w:lineRule="auto"/>
        <w:jc w:val="both"/>
      </w:pPr>
      <w:r>
        <w:rPr>
          <w:rFonts w:ascii="Calibri"/>
          <w:color w:val="1A1A1A"/>
          <w:sz w:val="22"/>
          <w:szCs w:val="22"/>
        </w:rPr>
        <w:t xml:space="preserve">LTV is calculated on a cohort basis. For a Professional-tier Tier 2 buyer with the median profile (1.4 trades/month × US$120,000 avg × 0.20% transaction fee = US$336/month transaction fees + US$100/month subscription + US$35/month escrow + US$35/month contract fees = US$506/month gross revenue), at a 12% annual churn rate, lifetime is 1 ÷ 0.12 = 8.33 years. Discounted lifetime revenue (10% discount rate) = US$506 × 12 × 6.14 (PV annuity factor for 8.33 years at 10%) = US$37,310. Net of platform variable cost per customer (~US$85/month × 12 × 6.14 = US$6,263), LTV = US$37,310 − US$6,263 = US$31,047 per median Professional-tier buyer. Blended across all tiers (Free → Enterprise), cohort-weighted LTV = US$12,400.</w:t>
      </w:r>
    </w:p>
    <w:p>
      <w:pPr>
        <w:pStyle w:val="Heading3"/>
        <w:spacing w:after="120" w:before="240" w:line="320" w:lineRule="atLeast"/>
      </w:pPr>
      <w:bookmarkStart w:id="100038" w:name="_Toc100038"/>
      <w:r>
        <w:rPr>
          <w:rFonts w:ascii="Calibri"/>
          <w:b/>
          <w:bCs/>
          <w:color w:val="1A1A1A"/>
          <w:sz w:val="24"/>
          <w:szCs w:val="24"/>
        </w:rPr>
        <w:t xml:space="preserve">LTV:CAC Ratio</w:t>
      </w:r>
      <w:bookmarkEnd w:id="100038"/>
    </w:p>
    <w:p>
      <w:pPr>
        <w:spacing w:after="140" w:line="312" w:lineRule="auto"/>
        <w:jc w:val="both"/>
      </w:pPr>
      <w:r>
        <w:rPr>
          <w:rFonts w:ascii="Calibri"/>
          <w:color w:val="1A1A1A"/>
          <w:sz w:val="22"/>
          <w:szCs w:val="22"/>
        </w:rPr>
        <w:t xml:space="preserve">Using blended LTV of US$12,400 against CAC of US$847 per paying member, LTV:CAC = 14.6:1. This is well above the 3:1 minimum threshold an investor expects. The ratio is, however, sensitive to the churn assumption: at 20% churn (vs 12% modeled), LTV drops to US$7,440 and LTV:CAC falls to 8.8:1 — still healthy but no longer best-in-class. The PM should treat any sustained increase in observed churn above 18% as a red-flag trigger for a customer-success intervention.</w:t>
      </w:r>
    </w:p>
    <w:p>
      <w:pPr>
        <w:keepNext/>
        <w:spacing w:after="80" w:before="200" w:line="280" w:lineRule="auto"/>
        <w:jc w:val="left"/>
      </w:pPr>
      <w:r>
        <w:rPr>
          <w:rFonts w:ascii="Calibri"/>
          <w:b/>
          <w:bCs/>
          <w:color w:val="1A1A1A"/>
          <w:sz w:val="22"/>
          <w:szCs w:val="22"/>
        </w:rPr>
        <w:t xml:space="preserve">Table 3.6. </w:t>
      </w:r>
      <w:r>
        <w:rPr>
          <w:rFonts w:ascii="Calibri"/>
          <w:b/>
          <w:bCs/>
          <w:color w:val="1A1A1A"/>
          <w:sz w:val="22"/>
          <w:szCs w:val="22"/>
        </w:rPr>
        <w:t xml:space="preserve">Key Financial Metrics — Summary</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Metric</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Value</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Target / Benchmark</w:t>
            </w:r>
          </w:p>
        </w:tc>
        <w:tc>
          <w:tcPr>
            <w:tcW w:type="pct" w:w="1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Status</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CAC (per paying member)</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US$847</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LTV (blended cohort)</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US$12,400</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LTV:CAC ratio</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14.6 : 1</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3 : 1</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Pass</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CAC payback period</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8.2 months</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12 months</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Pass</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Annual churn (blended)</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15%</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Pass</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Net Revenue Retention</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110%</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100%</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bCs/>
                <w:color w:val="1A1A1A"/>
                <w:sz w:val="20"/>
                <w:szCs w:val="20"/>
              </w:rPr>
              <w:t xml:space="preserve">Pass</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Break-even month</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22 (Q4 2028)</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Month 24</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Pass</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5-year cumulative net revenue</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US$8.7M</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5-year cumulative OpEx</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US$4.2M</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r>
      <w:tr>
        <w:trPr>
          <w:cantSplit/>
        </w:trPr>
        <w:tc>
          <w:tcPr>
            <w:tcW w:type="pct" w:w="3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5-year cumulative CapEx + OpEx</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US$4.65M</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r>
      <w:tr>
        <w:trPr>
          <w:cantSplit/>
        </w:trPr>
        <w:tc>
          <w:tcPr>
            <w:tcW w:type="pct" w:w="3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5-year net contribution (Sahel Systems share)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US$4.05M</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t>
            </w:r>
          </w:p>
        </w:tc>
      </w:tr>
    </w:tbl>
    <w:p>
      <w:pPr>
        <w:keepNext/>
        <w:spacing w:after="200" w:before="60" w:line="280" w:lineRule="auto"/>
        <w:jc w:val="left"/>
      </w:pPr>
      <w:r>
        <w:rPr>
          <w:rFonts w:ascii="Calibri"/>
          <w:b/>
          <w:bCs/>
          <w:color w:val="5A6068"/>
          <w:sz w:val="18"/>
          <w:szCs w:val="18"/>
        </w:rPr>
        <w:t xml:space="preserve">Table 3.6. </w:t>
      </w:r>
      <w:r>
        <w:rPr>
          <w:rFonts w:ascii="Calibri"/>
          <w:i/>
          <w:iCs/>
          <w:color w:val="5A6068"/>
          <w:sz w:val="18"/>
          <w:szCs w:val="18"/>
        </w:rPr>
        <w:t xml:space="preserve">All four primary investor metrics (LTV:CAC, CAC payback, churn, NRR) pass threshold. Break-even at month 22 leaves a 2-month buffer to the 24-month target.</w:t>
      </w:r>
    </w:p>
    <w:p>
      <w:pPr>
        <w:pStyle w:val="Heading3"/>
        <w:spacing w:after="120" w:before="240" w:line="320" w:lineRule="atLeast"/>
      </w:pPr>
      <w:bookmarkStart w:id="100039" w:name="_Toc100039"/>
      <w:r>
        <w:rPr>
          <w:rFonts w:ascii="Calibri"/>
          <w:b/>
          <w:bCs/>
          <w:color w:val="1A1A1A"/>
          <w:sz w:val="24"/>
          <w:szCs w:val="24"/>
        </w:rPr>
        <w:t xml:space="preserve">CAC Payback Period</w:t>
      </w:r>
      <w:bookmarkEnd w:id="100039"/>
    </w:p>
    <w:p>
      <w:pPr>
        <w:spacing w:after="140" w:line="312" w:lineRule="auto"/>
        <w:jc w:val="both"/>
      </w:pPr>
      <w:r>
        <w:rPr>
          <w:rFonts w:ascii="Calibri"/>
          <w:color w:val="1A1A1A"/>
          <w:sz w:val="22"/>
          <w:szCs w:val="22"/>
        </w:rPr>
        <w:t xml:space="preserve">CAC payback = CAC ÷ (monthly gross profit per customer). Monthly gross profit per paying member = US$506 (revenue) − US$85 (variable cost) = US$421. CAC payback = US$847 ÷ US$421 = 2.0 months per paying member, or 8.2 months on a blended-across-all-tiers basis (because Free-tier members incur support cost without contributing revenue). The 8.2-month blended payback is the figure that matters because the model assumes ~29% of members are paying (73 of 250 in Year 1).</w:t>
      </w:r>
    </w:p>
    <w:p>
      <w:pPr>
        <w:pStyle w:val="Heading3"/>
        <w:spacing w:after="120" w:before="240" w:line="320" w:lineRule="atLeast"/>
      </w:pPr>
      <w:bookmarkStart w:id="100040" w:name="_Toc100040"/>
      <w:r>
        <w:rPr>
          <w:rFonts w:ascii="Calibri"/>
          <w:b/>
          <w:bCs/>
          <w:color w:val="1A1A1A"/>
          <w:sz w:val="24"/>
          <w:szCs w:val="24"/>
        </w:rPr>
        <w:t xml:space="preserve">Break-Even Analysis</w:t>
      </w:r>
      <w:bookmarkEnd w:id="100040"/>
    </w:p>
    <w:p>
      <w:pPr>
        <w:spacing w:after="140" w:line="312" w:lineRule="auto"/>
        <w:jc w:val="both"/>
      </w:pPr>
      <w:r>
        <w:rPr>
          <w:rFonts w:ascii="Calibri"/>
          <w:color w:val="1A1A1A"/>
          <w:sz w:val="22"/>
          <w:szCs w:val="22"/>
        </w:rPr>
        <w:t xml:space="preserve">Break-even is reached when monthly revenue equals monthly OpEx. Month 6 post-launch stabilized OpEx is US$40,560. Monthly revenue reaches US$40,560 at approximately month 22 (Q4 2028), driven by the trade-volume ramp in Table 3.5. The 18-month OpEx runway is therefore insufficient by approximately 4 months; a US$162,000 bridge (4 × US$40,560) is required between month 18 and month 22. This bridge is the explicit subject of the planned Series A round in month 18.</w:t>
      </w:r>
    </w:p>
    <w:p>
      <w:pPr>
        <w:keepNext/>
        <w:spacing w:after="80" w:before="200" w:line="280" w:lineRule="auto"/>
        <w:jc w:val="left"/>
      </w:pPr>
      <w:r>
        <w:rPr>
          <w:rFonts w:ascii="Calibri"/>
          <w:b/>
          <w:bCs/>
          <w:color w:val="1A1A1A"/>
          <w:sz w:val="22"/>
          <w:szCs w:val="22"/>
        </w:rPr>
        <w:t xml:space="preserve">Table 3.7. </w:t>
      </w:r>
      <w:r>
        <w:rPr>
          <w:rFonts w:ascii="Calibri"/>
          <w:b/>
          <w:bCs/>
          <w:color w:val="1A1A1A"/>
          <w:sz w:val="22"/>
          <w:szCs w:val="22"/>
        </w:rPr>
        <w:t xml:space="preserve">Break-Even Trajectory (Monthly)</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gridCol w:w="100"/>
      </w:tblGrid>
      <w:tr>
        <w:trPr>
          <w:cantSplit/>
          <w:tblHeader/>
        </w:trPr>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Month Post-Launch</w:t>
            </w:r>
          </w:p>
        </w:tc>
        <w:tc>
          <w:tcPr>
            <w:tcW w:type="pct" w:w="2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Monthly Net Revenue (US$)</w:t>
            </w:r>
          </w:p>
        </w:tc>
        <w:tc>
          <w:tcPr>
            <w:tcW w:type="pct" w:w="2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Monthly OpEx (US$)</w:t>
            </w:r>
          </w:p>
        </w:tc>
        <w:tc>
          <w:tcPr>
            <w:tcW w:type="pct" w:w="1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Net Monthly (US$)</w:t>
            </w:r>
          </w:p>
        </w:tc>
        <w:tc>
          <w:tcPr>
            <w:tcW w:type="pct" w:w="2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Cumulative (US$)</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3</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12,400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31,200</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(18,800)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(56,400)</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6</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28,900</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40,560</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(11,660)</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(91,380)</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9</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44,200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41,800</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2,400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(78,180)</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12 (Y1 end)</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61,500</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43,200</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18,300</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(59,880)</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15</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82,400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44,800</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37,600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(22,280)</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18 (runway end)</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108,300</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46,400</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61,900</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39,620</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Month 22 — BREAK-EVEN</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162,800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47,200</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115,600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0 (cumulative = 0)</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24 (Y2 end)</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189,600</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48,000</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141,600</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278,400</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36 (Y3 end)</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305,600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52,000</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253,600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1,820,400</w:t>
            </w:r>
          </w:p>
        </w:tc>
      </w:tr>
      <w:tr>
        <w:trPr>
          <w:cantSplit/>
        </w:trPr>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48 (Y4 end)</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423,300</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58,000</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365,300</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5,935,200</w:t>
            </w:r>
          </w:p>
        </w:tc>
      </w:tr>
      <w:tr>
        <w:trPr>
          <w:cantSplit/>
        </w:trPr>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60 (Y5 end)</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515,950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65,000</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450,950</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11,647,800</w:t>
            </w:r>
          </w:p>
        </w:tc>
      </w:tr>
    </w:tbl>
    <w:p>
      <w:pPr>
        <w:keepNext/>
        <w:spacing w:after="200" w:before="60" w:line="280" w:lineRule="auto"/>
        <w:jc w:val="left"/>
      </w:pPr>
      <w:r>
        <w:rPr>
          <w:rFonts w:ascii="Calibri"/>
          <w:b/>
          <w:bCs/>
          <w:color w:val="5A6068"/>
          <w:sz w:val="18"/>
          <w:szCs w:val="18"/>
        </w:rPr>
        <w:t xml:space="preserve">Table 3.7. </w:t>
      </w:r>
      <w:r>
        <w:rPr>
          <w:rFonts w:ascii="Calibri"/>
          <w:i/>
          <w:iCs/>
          <w:color w:val="5A6068"/>
          <w:sz w:val="18"/>
          <w:szCs w:val="18"/>
        </w:rPr>
        <w:t xml:space="preserve">Break-even at month 22. Cumulative cash position turns positive at month 18 and reaches US$11.6M by end of Year 5.</w:t>
      </w:r>
    </w:p>
    <w:p>
      <w:pPr>
        <w:pStyle w:val="Heading3"/>
        <w:spacing w:after="120" w:before="240" w:line="320" w:lineRule="atLeast"/>
      </w:pPr>
      <w:bookmarkStart w:id="100041" w:name="_Toc100041"/>
      <w:r>
        <w:rPr>
          <w:rFonts w:ascii="Calibri"/>
          <w:b/>
          <w:bCs/>
          <w:color w:val="1A1A1A"/>
          <w:sz w:val="24"/>
          <w:szCs w:val="24"/>
        </w:rPr>
        <w:t xml:space="preserve">Cost of Doing Nothing</w:t>
      </w:r>
      <w:bookmarkEnd w:id="100041"/>
    </w:p>
    <w:p>
      <w:pPr>
        <w:spacing w:after="140" w:line="312" w:lineRule="auto"/>
        <w:jc w:val="both"/>
      </w:pPr>
      <w:r>
        <w:rPr>
          <w:rFonts w:ascii="Calibri"/>
          <w:color w:val="1A1A1A"/>
          <w:sz w:val="22"/>
          <w:szCs w:val="22"/>
        </w:rPr>
        <w:t xml:space="preserve">The Cost of Doing Nothing is the opportunity cost and competitive risk of not building AurumXchange. Three components: (i) the Chamber's lost 30% revenue share — at the modeled Year-5 net revenue of US$6.19M, the Chamber would forgo US$1.86M in Year 5 alone and approximately US$5.4M cumulatively over 5 years; (ii) continued overpayment by Tier 2 buyers due to price opacity — at the modeled 1-in-4 trades overpaying by an average of US$2,500/kg, and at the Year-5 trade volume of 1,085 trades/month averaging 1.8 kg per trade, the buyer community forgoes approximately US$1.8M per month in overpayment, or US$21.6M annually; (iii) regulatory and reputational risk of Ghana being seen as a non-transparent gold origin, which could trigger LBMA responsible-sourcing downgrades and reduce FDI in the sector by an estimated US$50–100M annually. The conservative 5-year Cost of Doing Nothing is therefore approximately US$30–50M, dwarfing the US$4.65M total CapEx + OpEx investment required to build AurumXchange.</w:t>
      </w:r>
    </w:p>
    <w:p>
      <w:pPr>
        <w:pStyle w:val="Heading2"/>
        <w:spacing w:after="160" w:before="360" w:line="340" w:lineRule="atLeast"/>
      </w:pPr>
      <w:bookmarkStart w:id="100042" w:name="_Toc100042"/>
      <w:r>
        <w:rPr>
          <w:rFonts w:ascii="Calibri"/>
          <w:b/>
          <w:bCs/>
          <w:color w:val="1A1A1A"/>
          <w:sz w:val="28"/>
          <w:szCs w:val="28"/>
        </w:rPr>
        <w:t xml:space="preserve">F. Budget Tracking &amp; Governance</w:t>
      </w:r>
      <w:bookmarkEnd w:id="100042"/>
    </w:p>
    <w:p>
      <w:pPr>
        <w:spacing w:after="140" w:line="312" w:lineRule="auto"/>
        <w:jc w:val="both"/>
      </w:pPr>
      <w:r>
        <w:rPr>
          <w:rFonts w:ascii="Calibri"/>
          <w:color w:val="1A1A1A"/>
          <w:sz w:val="22"/>
          <w:szCs w:val="22"/>
        </w:rPr>
        <w:t xml:space="preserve">Budget governance is the mechanism that prevents the CapEx and OpEx numbers in this document from becoming aspirational rather than actual. Three layers of control are required: planned-vs-actual tracking at the line-item level, burn-rate-against-timeline tracking at the project level, and a change-control threshold that requires sponsor re-approval when variance exceeds 10%.</w:t>
      </w:r>
    </w:p>
    <w:p>
      <w:pPr>
        <w:keepNext/>
        <w:spacing w:after="80" w:before="200" w:line="280" w:lineRule="auto"/>
        <w:jc w:val="left"/>
      </w:pPr>
      <w:r>
        <w:rPr>
          <w:rFonts w:ascii="Calibri"/>
          <w:b/>
          <w:bCs/>
          <w:color w:val="1A1A1A"/>
          <w:sz w:val="22"/>
          <w:szCs w:val="22"/>
        </w:rPr>
        <w:t xml:space="preserve">Table 3.8. </w:t>
      </w:r>
      <w:r>
        <w:rPr>
          <w:rFonts w:ascii="Calibri"/>
          <w:b/>
          <w:bCs/>
          <w:color w:val="1A1A1A"/>
          <w:sz w:val="22"/>
          <w:szCs w:val="22"/>
        </w:rPr>
        <w:t xml:space="preserve">Budget Tracking &amp; Governance Mechanism</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Mechanism</w:t>
            </w:r>
          </w:p>
        </w:tc>
        <w:tc>
          <w:tcPr>
            <w:tcW w:type="pct" w:w="1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Cadence</w:t>
            </w:r>
          </w:p>
        </w:tc>
        <w:tc>
          <w:tcPr>
            <w:tcW w:type="pct" w:w="24%"/>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Owner</w:t>
            </w:r>
          </w:p>
        </w:tc>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Action Threshold</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Planned vs actual spend (per CapEx line item)</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w:t>
            </w:r>
          </w:p>
        </w:tc>
        <w:tc>
          <w:tcPr>
            <w:tcW w:type="pct" w:w="2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 + Finance Controller</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Variance &gt; 10% → PM flags; &gt; 20% → sponsor re-approval</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Burn rate vs timeline (cumulative CapEx)</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 steering committee</w:t>
            </w:r>
          </w:p>
        </w:tc>
        <w:tc>
          <w:tcPr>
            <w:tcW w:type="pct" w:w="2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 + Sponsor</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If cumulative burn &gt; 110% of plan at any milestone → scope review</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OpEx variance (post-launch)</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w:t>
            </w:r>
          </w:p>
        </w:tc>
        <w:tc>
          <w:tcPr>
            <w:tcW w:type="pct" w:w="2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 + Finance</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Variance &gt; 15% for 2 consecutive months → sponsor notification</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Change control — scope addition</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request</w:t>
            </w:r>
          </w:p>
        </w:tc>
        <w:tc>
          <w:tcPr>
            <w:tcW w:type="pct" w:w="2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Sponsor + PM</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Any scope addition &gt; US$10K CapEx → sponsor sign-off required</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Change control — date slip</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request</w:t>
            </w:r>
          </w:p>
        </w:tc>
        <w:tc>
          <w:tcPr>
            <w:tcW w:type="pct" w:w="2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Sponsor + PM</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Any milestone slip &gt; 2 weeks → sponsor sign-off + revised Financial Doc</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Contingency drawdown</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request</w:t>
            </w:r>
          </w:p>
        </w:tc>
        <w:tc>
          <w:tcPr>
            <w:tcW w:type="pct" w:w="2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 only</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 may draw up to US$20K without sponsor approval; above US$20K requires sponsor</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Revenue model refresh</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w:t>
            </w:r>
          </w:p>
        </w:tc>
        <w:tc>
          <w:tcPr>
            <w:tcW w:type="pct" w:w="24%"/>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 + Finance</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If actual members &gt; 20% below projection → re-run break-even model</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incident</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Immediate</w:t>
            </w:r>
          </w:p>
        </w:tc>
        <w:tc>
          <w:tcPr>
            <w:tcW w:type="pct" w:w="24%"/>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 + Sponsor</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Any SOC 2 / ISO 27001 / data-protection incident → 24-hour sponsor notification</w:t>
            </w:r>
          </w:p>
        </w:tc>
      </w:tr>
    </w:tbl>
    <w:p>
      <w:pPr>
        <w:keepNext/>
        <w:spacing w:after="200" w:before="60" w:line="280" w:lineRule="auto"/>
        <w:jc w:val="left"/>
      </w:pPr>
      <w:r>
        <w:rPr>
          <w:rFonts w:ascii="Calibri"/>
          <w:b/>
          <w:bCs/>
          <w:color w:val="5A6068"/>
          <w:sz w:val="18"/>
          <w:szCs w:val="18"/>
        </w:rPr>
        <w:t xml:space="preserve">Table 3.8. </w:t>
      </w:r>
      <w:r>
        <w:rPr>
          <w:rFonts w:ascii="Calibri"/>
          <w:i/>
          <w:iCs/>
          <w:color w:val="5A6068"/>
          <w:sz w:val="18"/>
          <w:szCs w:val="18"/>
        </w:rPr>
        <w:t xml:space="preserve">Eight control mechanisms. The 10% variance threshold is the single most important — it is the trigger that converts a budgeting exercise into a governance discipline.</w:t>
      </w:r>
    </w:p>
    <w:p>
      <w:pPr>
        <w:spacing w:after="140" w:line="312" w:lineRule="auto"/>
        <w:jc w:val="both"/>
      </w:pPr>
      <w:r>
        <w:rPr>
          <w:rFonts w:ascii="Calibri"/>
          <w:color w:val="1A1A1A"/>
          <w:sz w:val="22"/>
          <w:szCs w:val="22"/>
        </w:rPr>
        <w:t xml:space="preserve">The practical workflow is as follows: at the end of each calendar month, the Finance Controller produces a planned-vs-actual variance report at the line-item level (Table 3.1 categories) and at the OpEx category level (Table 3.2 categories). The PM reviews variances against the 10% threshold and produces a one-page variance commentary. Any variance above 10% triggers a root-cause analysis and, if structural rather than one-off, a change-control request to the Sponsor. The Sponsor has authority to approve changes up to US$50K cumulative variance without escalating to the Steering Committee; changes above US$50K require Steering Committee approval. This governance model is the same model used in the Project Charter's Authorization section.</w:t>
      </w:r>
    </w:p>
    <w:p>
      <w:r>
        <w:br w:type="page"/>
      </w:r>
    </w:p>
    <w:p>
      <w:pPr>
        <w:pStyle w:val="Heading1"/>
        <w:spacing w:after="200" w:before="480" w:line="360" w:lineRule="atLeast"/>
      </w:pPr>
      <w:bookmarkStart w:id="100043" w:name="_Toc100043"/>
      <w:r>
        <w:rPr>
          <w:rFonts w:ascii="Calibri"/>
          <w:b/>
          <w:bCs/>
          <w:color w:val="1A1A1A"/>
          <w:sz w:val="32"/>
          <w:szCs w:val="32"/>
        </w:rPr>
        <w:t xml:space="preserve">Document 4 — Project Charter</w:t>
      </w:r>
      <w:bookmarkEnd w:id="100043"/>
    </w:p>
    <w:p>
      <w:pPr>
        <w:spacing w:after="140" w:line="312" w:lineRule="auto"/>
        <w:jc w:val="both"/>
      </w:pPr>
      <w:r>
        <w:rPr>
          <w:rFonts w:ascii="Calibri"/>
          <w:color w:val="1A1A1A"/>
          <w:sz w:val="22"/>
          <w:szCs w:val="22"/>
        </w:rPr>
        <w:t xml:space="preserve">This Project Charter formally authorizes the AurumXchange initiative, defines its execution boundaries, and grants the Project Manager authority to expend resources within the scope and budget defined herein. It is the document the Sponsor signs to release the CapEx funding; without a signed Charter, no personnel costs in Table 3.1 may be incurred. The Charter draws its business case from the BMC and its budget envelope from the Financial Documentation — every section below is traceable to one of those two documents, and the Golden Thread Validation section at the end of this business case confirms the traceability.</w:t>
      </w:r>
    </w:p>
    <w:p>
      <w:pPr>
        <w:pStyle w:val="Heading2"/>
        <w:spacing w:after="160" w:before="360" w:line="340" w:lineRule="atLeast"/>
      </w:pPr>
      <w:bookmarkStart w:id="100044" w:name="_Toc100044"/>
      <w:r>
        <w:rPr>
          <w:rFonts w:ascii="Calibri"/>
          <w:b/>
          <w:bCs/>
          <w:color w:val="1A1A1A"/>
          <w:sz w:val="28"/>
          <w:szCs w:val="28"/>
        </w:rPr>
        <w:t xml:space="preserve">1. Project Title &amp; Description</w:t>
      </w:r>
      <w:bookmarkEnd w:id="100044"/>
    </w:p>
    <w:p>
      <w:pPr>
        <w:spacing w:after="140" w:line="312" w:lineRule="auto"/>
        <w:jc w:val="both"/>
      </w:pPr>
      <w:r>
        <w:rPr>
          <w:rFonts w:ascii="Calibri"/>
          <w:color w:val="1A1A1A"/>
          <w:sz w:val="22"/>
          <w:szCs w:val="22"/>
        </w:rPr>
        <w:t xml:space="preserve">Project title: AurumXchange — A Regulated Digital Gold Trading Infrastructure for the Ghana Chamber of Gold Buyers. AurumXchange is a B2B SaaS platform that combines a member-verification portal, an RFQ-driven trading engine, partner-bank escrow, and an immutable compliance audit trail into a single regulated exchange. It will be built, hosted, and operated by Sahel Systems &amp; Solutions under a 5-year exclusive revenue-sharing agreement with the Ghana Chamber of Gold Buyers, with the Chamber owning member relationships and governance and Sahel Systems owning the technology. The MVP scope (Phase 1 Digital Member Portal + Phase 2 Trading Platform) launches in Q1 2027; Phase 3 (Value-Added Services) and Phase 4 (Analytics) follow in 2027–2028.</w:t>
      </w:r>
    </w:p>
    <w:p>
      <w:pPr>
        <w:pStyle w:val="Heading2"/>
        <w:spacing w:after="160" w:before="360" w:line="340" w:lineRule="atLeast"/>
      </w:pPr>
      <w:bookmarkStart w:id="100045" w:name="_Toc100045"/>
      <w:r>
        <w:rPr>
          <w:rFonts w:ascii="Calibri"/>
          <w:b/>
          <w:bCs/>
          <w:color w:val="1A1A1A"/>
          <w:sz w:val="28"/>
          <w:szCs w:val="28"/>
        </w:rPr>
        <w:t xml:space="preserve">2. Business Case Summary</w:t>
      </w:r>
      <w:bookmarkEnd w:id="100045"/>
    </w:p>
    <w:p>
      <w:pPr>
        <w:spacing w:after="140" w:line="312" w:lineRule="auto"/>
        <w:jc w:val="both"/>
      </w:pPr>
      <w:r>
        <w:rPr>
          <w:rFonts w:ascii="Calibri"/>
          <w:color w:val="1A1A1A"/>
          <w:sz w:val="22"/>
          <w:szCs w:val="22"/>
        </w:rPr>
        <w:t xml:space="preserve">This project operationalizes the VPC Fit Statement ('For licensed gold buyers and sellers in Ghana who must trade under strict compliance without exposing themselves to price opacity, counterparty risk, or funds-at-risk windows, AurumXchange is a regulated B2B gold trading infrastructure...'). The BMC confirms the commercial viability of that fit: hybrid SaaS monetization (0.10% transaction fees per side + tiered subscriptions + VAS) at a 70/30 Sahel Systems / Chamber revenue split. The Financial Documentation confirms the economic viability: CapEx of US$449,075 against a US$450,000 ceiling, break-even at month 22, and 5-year cumulative net contribution of US$4.05M to Sahel Systems. The Charter authorizes the work, fixes scope, and assigns governance so that the financial projections in Document 3 can be executed rather than aspirational.</w:t>
      </w:r>
    </w:p>
    <w:p>
      <w:pPr>
        <w:pStyle w:val="Heading2"/>
        <w:spacing w:after="160" w:before="360" w:line="340" w:lineRule="atLeast"/>
      </w:pPr>
      <w:bookmarkStart w:id="100046" w:name="_Toc100046"/>
      <w:r>
        <w:rPr>
          <w:rFonts w:ascii="Calibri"/>
          <w:b/>
          <w:bCs/>
          <w:color w:val="1A1A1A"/>
          <w:sz w:val="28"/>
          <w:szCs w:val="28"/>
        </w:rPr>
        <w:t xml:space="preserve">3. Objectives (SMART)</w:t>
      </w:r>
      <w:bookmarkEnd w:id="100046"/>
    </w:p>
    <w:p>
      <w:pPr>
        <w:spacing w:after="140" w:line="312" w:lineRule="auto"/>
        <w:jc w:val="both"/>
      </w:pPr>
      <w:r>
        <w:rPr>
          <w:rFonts w:ascii="Calibri"/>
          <w:color w:val="1A1A1A"/>
          <w:sz w:val="22"/>
          <w:szCs w:val="22"/>
        </w:rPr>
        <w:t xml:space="preserve">Objectives are written in SMART form — Specific, Measurable, Achievable, Relevant, Time-bound. They are the criteria against which the Charter's success will be judged at the post-launch 90-day review.</w:t>
      </w:r>
    </w:p>
    <w:p>
      <w:pPr>
        <w:keepNext/>
        <w:spacing w:after="80" w:before="200" w:line="280" w:lineRule="auto"/>
        <w:jc w:val="left"/>
      </w:pPr>
      <w:r>
        <w:rPr>
          <w:rFonts w:ascii="Calibri"/>
          <w:b/>
          <w:bCs/>
          <w:color w:val="1A1A1A"/>
          <w:sz w:val="22"/>
          <w:szCs w:val="22"/>
        </w:rPr>
        <w:t xml:space="preserve">Table 4.1. </w:t>
      </w:r>
      <w:r>
        <w:rPr>
          <w:rFonts w:ascii="Calibri"/>
          <w:b/>
          <w:bCs/>
          <w:color w:val="1A1A1A"/>
          <w:sz w:val="22"/>
          <w:szCs w:val="22"/>
        </w:rPr>
        <w:t xml:space="preserve">SMART Objectives</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gridCol w:w="100"/>
      </w:tblGrid>
      <w:tr>
        <w:trPr>
          <w:cantSplit/>
          <w:tblHeader/>
        </w:trPr>
        <w:tc>
          <w:tcPr>
            <w:tcW w:type="pct" w:w="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w:t>
            </w:r>
          </w:p>
        </w:tc>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Objective</w:t>
            </w:r>
          </w:p>
        </w:tc>
        <w:tc>
          <w:tcPr>
            <w:tcW w:type="pct" w:w="2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Measurement</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Target</w:t>
            </w:r>
          </w:p>
        </w:tc>
        <w:tc>
          <w:tcPr>
            <w:tcW w:type="pct" w:w="1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Deadline</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O1</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MVP live and serving verified members</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Production deployment + first real trade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 real gold trade settled via escrow</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31 January 2027</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O2</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Verified member adoption</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Verified members onboarded</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250 verified members</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31 December 2027 (Y1 end)</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O3</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 volume through platform</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Cumulative Year-1 trade value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US$350M</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31 December 2027</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O4</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System reliability</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Uptime (monthly)</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99.9% (≤ 43 min downtime/month)</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Continuous, from launch</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O5</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Performance</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P95 API response time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&lt; 500ms for all critical endpoints</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Continuous, from launch</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O6</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Security posture</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Critical-severity findings at launch</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 critical, ≤ 2 high (with remediation plan)</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Pre-launch penetration test</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O7</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certifications</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SOC 2 Type II attestation</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Report issued by auditor</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31 December 2027</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O8</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Customer satisfaction</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NPS (Net Promoter Score)</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40</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 from launch</w:t>
            </w:r>
          </w:p>
        </w:tc>
      </w:tr>
      <w:tr>
        <w:trPr>
          <w:cantSplit/>
        </w:trPr>
        <w:tc>
          <w:tcPr>
            <w:tcW w:type="pct" w:w="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O9</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Unit economics</w:t>
            </w:r>
          </w:p>
        </w:tc>
        <w:tc>
          <w:tcPr>
            <w:tcW w:type="pct" w:w="2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LTV:CAC ratio</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3:1 (target 5:1)</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Measured at month 12</w:t>
            </w:r>
          </w:p>
        </w:tc>
      </w:tr>
      <w:tr>
        <w:trPr>
          <w:cantSplit/>
        </w:trPr>
        <w:tc>
          <w:tcPr>
            <w:tcW w:type="pct" w:w="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O10</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Financial break-even</w:t>
            </w:r>
          </w:p>
        </w:tc>
        <w:tc>
          <w:tcPr>
            <w:tcW w:type="pct" w:w="2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Cumulative cash position = 0</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22 (Q4 2028)</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31 October 2028</w:t>
            </w:r>
          </w:p>
        </w:tc>
      </w:tr>
    </w:tbl>
    <w:p>
      <w:pPr>
        <w:keepNext/>
        <w:spacing w:after="200" w:before="60" w:line="280" w:lineRule="auto"/>
        <w:jc w:val="left"/>
      </w:pPr>
      <w:r>
        <w:rPr>
          <w:rFonts w:ascii="Calibri"/>
          <w:b/>
          <w:bCs/>
          <w:color w:val="5A6068"/>
          <w:sz w:val="18"/>
          <w:szCs w:val="18"/>
        </w:rPr>
        <w:t xml:space="preserve">Table 4.1. </w:t>
      </w:r>
      <w:r>
        <w:rPr>
          <w:rFonts w:ascii="Calibri"/>
          <w:i/>
          <w:iCs/>
          <w:color w:val="5A6068"/>
          <w:sz w:val="18"/>
          <w:szCs w:val="18"/>
        </w:rPr>
        <w:t xml:space="preserve">Ten SMART objectives spanning adoption, reliability, security, compliance, satisfaction, unit economics, and financial break-even.</w:t>
      </w:r>
    </w:p>
    <w:p>
      <w:pPr>
        <w:pStyle w:val="Heading2"/>
        <w:spacing w:after="160" w:before="360" w:line="340" w:lineRule="atLeast"/>
      </w:pPr>
      <w:bookmarkStart w:id="100047" w:name="_Toc100047"/>
      <w:r>
        <w:rPr>
          <w:rFonts w:ascii="Calibri"/>
          <w:b/>
          <w:bCs/>
          <w:color w:val="1A1A1A"/>
          <w:sz w:val="28"/>
          <w:szCs w:val="28"/>
        </w:rPr>
        <w:t xml:space="preserve">4. Scope</w:t>
      </w:r>
      <w:bookmarkEnd w:id="100047"/>
    </w:p>
    <w:p>
      <w:pPr>
        <w:spacing w:after="140" w:line="312" w:lineRule="auto"/>
        <w:jc w:val="both"/>
      </w:pPr>
      <w:r>
        <w:rPr>
          <w:rFonts w:ascii="Calibri"/>
          <w:color w:val="1A1A1A"/>
          <w:sz w:val="22"/>
          <w:szCs w:val="22"/>
        </w:rPr>
        <w:t xml:space="preserve">Scope is the most important section of any Charter because it is the section that prevents scope creep. The In-Scope list below is the authoritative MVP feature inventory; any feature not listed here is Out-of-Scope and must not be built without a change-control request. The Out-of-Scope list is not exhaustive but enumerates the most likely sources of creep and explicitly defers them.</w:t>
      </w:r>
    </w:p>
    <w:p>
      <w:pPr>
        <w:pStyle w:val="Heading3"/>
        <w:spacing w:after="120" w:before="240" w:line="320" w:lineRule="atLeast"/>
      </w:pPr>
      <w:bookmarkStart w:id="100048" w:name="_Toc100048"/>
      <w:r>
        <w:rPr>
          <w:rFonts w:ascii="Calibri"/>
          <w:b/>
          <w:bCs/>
          <w:color w:val="1A1A1A"/>
          <w:sz w:val="24"/>
          <w:szCs w:val="24"/>
        </w:rPr>
        <w:t xml:space="preserve">4.1 In-Scope (MVP — Phase 1 + Phase 2)</w:t>
      </w:r>
      <w:bookmarkEnd w:id="100048"/>
    </w:p>
    <w:p>
      <w:pPr>
        <w:pStyle w:val="ListParagraph"/>
        <w:numPr>
          <w:ilvl w:val="0"/>
          <w:numId w:val="1"/>
        </w:numPr>
        <w:spacing w:after="80" w:line="300" w:lineRule="auto"/>
        <w:jc w:val="left"/>
      </w:pPr>
      <w:r>
        <w:rPr>
          <w:rFonts w:ascii="Calibri"/>
          <w:b/>
          <w:bCs/>
          <w:color w:val="1A1A1A"/>
          <w:sz w:val="22"/>
          <w:szCs w:val="22"/>
        </w:rPr>
        <w:t xml:space="preserve">Digital Member Portal (Phase 1): </w:t>
      </w:r>
      <w:r>
        <w:rPr>
          <w:rFonts w:ascii="Calibri"/>
          <w:color w:val="1A1A1A"/>
          <w:sz w:val="22"/>
          <w:szCs w:val="22"/>
        </w:rPr>
        <w:t xml:space="preserve">Member registration; KYC/AML verification via Smile Identity; Minerals Commission licence upload and verification; digital member profile; document repository; in-app messaging; notification centre; role-based access (buyer, seller, Chamber approver, administrator).</w:t>
      </w:r>
    </w:p>
    <w:p>
      <w:pPr>
        <w:pStyle w:val="ListParagraph"/>
        <w:numPr>
          <w:ilvl w:val="0"/>
          <w:numId w:val="1"/>
        </w:numPr>
        <w:spacing w:after="80" w:line="300" w:lineRule="auto"/>
        <w:jc w:val="left"/>
      </w:pPr>
      <w:r>
        <w:rPr>
          <w:rFonts w:ascii="Calibri"/>
          <w:b/>
          <w:bCs/>
          <w:color w:val="1A1A1A"/>
          <w:sz w:val="22"/>
          <w:szCs w:val="22"/>
        </w:rPr>
        <w:t xml:space="preserve">Trading Platform (Phase 2): </w:t>
      </w:r>
      <w:r>
        <w:rPr>
          <w:rFonts w:ascii="Calibri"/>
          <w:color w:val="1A1A1A"/>
          <w:sz w:val="22"/>
          <w:szCs w:val="22"/>
        </w:rPr>
        <w:t xml:space="preserve">Gold lot creation (weight, purity, serial numbers, photos, assay certificate upload); RFQ submission and response; bid comparison dashboard; negotiation and counter-offer thread; Chamber trade-approval workflow; digital contract generation and e-signature; escrow integration with partner bank; delivery tracking against PMMC release.</w:t>
      </w:r>
    </w:p>
    <w:p>
      <w:pPr>
        <w:pStyle w:val="ListParagraph"/>
        <w:numPr>
          <w:ilvl w:val="0"/>
          <w:numId w:val="1"/>
        </w:numPr>
        <w:spacing w:after="80" w:line="300" w:lineRule="auto"/>
        <w:jc w:val="left"/>
      </w:pPr>
      <w:r>
        <w:rPr>
          <w:rFonts w:ascii="Calibri"/>
          <w:b/>
          <w:bCs/>
          <w:color w:val="1A1A1A"/>
          <w:sz w:val="22"/>
          <w:szCs w:val="22"/>
        </w:rPr>
        <w:t xml:space="preserve">Compliance Core (cross-cutting Phase 1+2): </w:t>
      </w:r>
      <w:r>
        <w:rPr>
          <w:rFonts w:ascii="Calibri"/>
          <w:color w:val="1A1A1A"/>
          <w:sz w:val="22"/>
          <w:szCs w:val="22"/>
        </w:rPr>
        <w:t xml:space="preserve">Immutable append-only audit log for every trade state change; PII handling per Ghana Data Protection Act 2012 (Act 843); SOC 2-aligned access controls; audit-package export for Minerals Commission, PMMC, GRA, and LBMA-aligned refiner review.</w:t>
      </w:r>
    </w:p>
    <w:p>
      <w:pPr>
        <w:pStyle w:val="ListParagraph"/>
        <w:numPr>
          <w:ilvl w:val="0"/>
          <w:numId w:val="1"/>
        </w:numPr>
        <w:spacing w:after="80" w:line="300" w:lineRule="auto"/>
        <w:jc w:val="left"/>
      </w:pPr>
      <w:r>
        <w:rPr>
          <w:rFonts w:ascii="Calibri"/>
          <w:b/>
          <w:bCs/>
          <w:color w:val="1A1A1A"/>
          <w:sz w:val="22"/>
          <w:szCs w:val="22"/>
        </w:rPr>
        <w:t xml:space="preserve">Infrastructure &amp; DevOps: </w:t>
      </w:r>
      <w:r>
        <w:rPr>
          <w:rFonts w:ascii="Calibri"/>
          <w:color w:val="1A1A1A"/>
          <w:sz w:val="22"/>
          <w:szCs w:val="22"/>
        </w:rPr>
        <w:t xml:space="preserve">AWS Ghana region primary deployment; disaster recovery to South Africa North; CI/CD pipeline; observability (Datadog, Sentry); on-call rotation with 30-minute P1 acknowledgement SLA.</w:t>
      </w:r>
    </w:p>
    <w:p>
      <w:pPr>
        <w:pStyle w:val="Heading3"/>
        <w:spacing w:after="120" w:before="240" w:line="320" w:lineRule="atLeast"/>
      </w:pPr>
      <w:bookmarkStart w:id="100049" w:name="_Toc100049"/>
      <w:r>
        <w:rPr>
          <w:rFonts w:ascii="Calibri"/>
          <w:b/>
          <w:bCs/>
          <w:color w:val="1A1A1A"/>
          <w:sz w:val="24"/>
          <w:szCs w:val="24"/>
        </w:rPr>
        <w:t xml:space="preserve">4.2 Out-of-Scope (Deferred to Future Phases)</w:t>
      </w:r>
      <w:bookmarkEnd w:id="100049"/>
    </w:p>
    <w:p>
      <w:pPr>
        <w:pStyle w:val="ListParagraph"/>
        <w:numPr>
          <w:ilvl w:val="0"/>
          <w:numId w:val="1"/>
        </w:numPr>
        <w:spacing w:after="80" w:line="300" w:lineRule="auto"/>
        <w:jc w:val="left"/>
      </w:pPr>
      <w:r>
        <w:rPr>
          <w:rFonts w:ascii="Calibri"/>
          <w:b/>
          <w:bCs/>
          <w:color w:val="1A1A1A"/>
          <w:sz w:val="22"/>
          <w:szCs w:val="22"/>
        </w:rPr>
        <w:t xml:space="preserve">Auction module (timed, reverse, sealed-bid): </w:t>
      </w:r>
      <w:r>
        <w:rPr>
          <w:rFonts w:ascii="Calibri"/>
          <w:color w:val="1A1A1A"/>
          <w:sz w:val="22"/>
          <w:szCs w:val="22"/>
        </w:rPr>
        <w:t xml:space="preserve">Deferred to Phase 3. Corresponds to VPC Gain G5 (sale-timing optimization for high-demand lots) and is explicitly noted in the Golden Thread as a deferred gain.</w:t>
      </w:r>
    </w:p>
    <w:p>
      <w:pPr>
        <w:pStyle w:val="ListParagraph"/>
        <w:numPr>
          <w:ilvl w:val="0"/>
          <w:numId w:val="1"/>
        </w:numPr>
        <w:spacing w:after="80" w:line="300" w:lineRule="auto"/>
        <w:jc w:val="left"/>
      </w:pPr>
      <w:r>
        <w:rPr>
          <w:rFonts w:ascii="Calibri"/>
          <w:b/>
          <w:bCs/>
          <w:color w:val="1A1A1A"/>
          <w:sz w:val="22"/>
          <w:szCs w:val="22"/>
        </w:rPr>
        <w:t xml:space="preserve">Native mobile apps (iOS / Android): </w:t>
      </w:r>
      <w:r>
        <w:rPr>
          <w:rFonts w:ascii="Calibri"/>
          <w:color w:val="1A1A1A"/>
          <w:sz w:val="22"/>
          <w:szCs w:val="22"/>
        </w:rPr>
        <w:t xml:space="preserve">Deferred to a post-launch Phase 5. The MVP is web-only (responsive, mobile-friendly).</w:t>
      </w:r>
    </w:p>
    <w:p>
      <w:pPr>
        <w:pStyle w:val="ListParagraph"/>
        <w:numPr>
          <w:ilvl w:val="0"/>
          <w:numId w:val="1"/>
        </w:numPr>
        <w:spacing w:after="80" w:line="300" w:lineRule="auto"/>
        <w:jc w:val="left"/>
      </w:pPr>
      <w:r>
        <w:rPr>
          <w:rFonts w:ascii="Calibri"/>
          <w:b/>
          <w:bCs/>
          <w:color w:val="1A1A1A"/>
          <w:sz w:val="22"/>
          <w:szCs w:val="22"/>
        </w:rPr>
        <w:t xml:space="preserve">Assay service coordination, armored transport booking, vault management, insurance referral: </w:t>
      </w:r>
      <w:r>
        <w:rPr>
          <w:rFonts w:ascii="Calibri"/>
          <w:color w:val="1A1A1A"/>
          <w:sz w:val="22"/>
          <w:szCs w:val="22"/>
        </w:rPr>
        <w:t xml:space="preserve">Deferred to Phase 3 Value-Added Services. The MVP supports upload of externally-produced assay certificates but does not itself request or coordinate assays.</w:t>
      </w:r>
    </w:p>
    <w:p>
      <w:pPr>
        <w:pStyle w:val="ListParagraph"/>
        <w:numPr>
          <w:ilvl w:val="0"/>
          <w:numId w:val="1"/>
        </w:numPr>
        <w:spacing w:after="80" w:line="300" w:lineRule="auto"/>
        <w:jc w:val="left"/>
      </w:pPr>
      <w:r>
        <w:rPr>
          <w:rFonts w:ascii="Calibri"/>
          <w:b/>
          <w:bCs/>
          <w:color w:val="1A1A1A"/>
          <w:sz w:val="22"/>
          <w:szCs w:val="22"/>
        </w:rPr>
        <w:t xml:space="preserve">Market intelligence dashboard, AI price prediction, fraud/collusion detection, regional demand forecasting, sale-timing recommendations: </w:t>
      </w:r>
      <w:r>
        <w:rPr>
          <w:rFonts w:ascii="Calibri"/>
          <w:color w:val="1A1A1A"/>
          <w:sz w:val="22"/>
          <w:szCs w:val="22"/>
        </w:rPr>
        <w:t xml:space="preserve">Deferred to Phase 4 Analytics. The MVP data model is designed to support these, but the features themselves are not built.</w:t>
      </w:r>
    </w:p>
    <w:p>
      <w:pPr>
        <w:pStyle w:val="ListParagraph"/>
        <w:numPr>
          <w:ilvl w:val="0"/>
          <w:numId w:val="1"/>
        </w:numPr>
        <w:spacing w:after="80" w:line="300" w:lineRule="auto"/>
        <w:jc w:val="left"/>
      </w:pPr>
      <w:r>
        <w:rPr>
          <w:rFonts w:ascii="Calibri"/>
          <w:b/>
          <w:bCs/>
          <w:color w:val="1A1A1A"/>
          <w:sz w:val="22"/>
          <w:szCs w:val="22"/>
        </w:rPr>
        <w:t xml:space="preserve">White-label versions for other commodity associations (cocoa, timber, diamonds): </w:t>
      </w:r>
      <w:r>
        <w:rPr>
          <w:rFonts w:ascii="Calibri"/>
          <w:color w:val="1A1A1A"/>
          <w:sz w:val="22"/>
          <w:szCs w:val="22"/>
        </w:rPr>
        <w:t xml:space="preserve">Deferred to a future strategic expansion; not budgeted in this Charter.</w:t>
      </w:r>
    </w:p>
    <w:p>
      <w:pPr>
        <w:pStyle w:val="ListParagraph"/>
        <w:numPr>
          <w:ilvl w:val="0"/>
          <w:numId w:val="1"/>
        </w:numPr>
        <w:spacing w:after="80" w:line="300" w:lineRule="auto"/>
        <w:jc w:val="left"/>
      </w:pPr>
      <w:r>
        <w:rPr>
          <w:rFonts w:ascii="Calibri"/>
          <w:b/>
          <w:bCs/>
          <w:color w:val="1A1A1A"/>
          <w:sz w:val="22"/>
          <w:szCs w:val="22"/>
        </w:rPr>
        <w:t xml:space="preserve">ERP integrations (SAP, Oracle, NetSuite) and bank API marketplaces: </w:t>
      </w:r>
      <w:r>
        <w:rPr>
          <w:rFonts w:ascii="Calibri"/>
          <w:color w:val="1A1A1A"/>
          <w:sz w:val="22"/>
          <w:szCs w:val="22"/>
        </w:rPr>
        <w:t xml:space="preserve">Out-of-Scope. The MVP exposes no public API; Tier 1 Enterprise buyers receive API access only at the Enterprise subscription tier (post-launch).</w:t>
      </w:r>
    </w:p>
    <w:p>
      <w:pPr>
        <w:pStyle w:val="ListParagraph"/>
        <w:numPr>
          <w:ilvl w:val="0"/>
          <w:numId w:val="1"/>
        </w:numPr>
        <w:spacing w:after="80" w:line="300" w:lineRule="auto"/>
        <w:jc w:val="left"/>
      </w:pPr>
      <w:r>
        <w:rPr>
          <w:rFonts w:ascii="Calibri"/>
          <w:b/>
          <w:bCs/>
          <w:color w:val="1A1A1A"/>
          <w:sz w:val="22"/>
          <w:szCs w:val="22"/>
        </w:rPr>
        <w:t xml:space="preserve">Offline desktop support and offline-first web: </w:t>
      </w:r>
      <w:r>
        <w:rPr>
          <w:rFonts w:ascii="Calibri"/>
          <w:color w:val="1A1A1A"/>
          <w:sz w:val="22"/>
          <w:szCs w:val="22"/>
        </w:rPr>
        <w:t xml:space="preserve">Out-of-Scope. The MVP requires internet connectivity; the regulatory workflow assumes real-time Chamber approval.</w:t>
      </w:r>
    </w:p>
    <w:p>
      <w:pPr>
        <w:pStyle w:val="Heading3"/>
        <w:spacing w:after="120" w:before="240" w:line="320" w:lineRule="atLeast"/>
      </w:pPr>
      <w:bookmarkStart w:id="100050" w:name="_Toc100050"/>
      <w:r>
        <w:rPr>
          <w:rFonts w:ascii="Calibri"/>
          <w:b/>
          <w:bCs/>
          <w:color w:val="1A1A1A"/>
          <w:sz w:val="24"/>
          <w:szCs w:val="24"/>
        </w:rPr>
        <w:t xml:space="preserve">4.3 Key Deliverables</w:t>
      </w:r>
      <w:bookmarkEnd w:id="100050"/>
    </w:p>
    <w:p>
      <w:pPr>
        <w:keepNext/>
        <w:spacing w:after="80" w:before="200" w:line="280" w:lineRule="auto"/>
        <w:jc w:val="left"/>
      </w:pPr>
      <w:r>
        <w:rPr>
          <w:rFonts w:ascii="Calibri"/>
          <w:b/>
          <w:bCs/>
          <w:color w:val="1A1A1A"/>
          <w:sz w:val="22"/>
          <w:szCs w:val="22"/>
        </w:rPr>
        <w:t xml:space="preserve">Table 4.2. </w:t>
      </w:r>
      <w:r>
        <w:rPr>
          <w:rFonts w:ascii="Calibri"/>
          <w:b/>
          <w:bCs/>
          <w:color w:val="1A1A1A"/>
          <w:sz w:val="22"/>
          <w:szCs w:val="22"/>
        </w:rPr>
        <w:t xml:space="preserve">Key Deliverables</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Deliverable</w:t>
            </w:r>
          </w:p>
        </w:tc>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Format</w:t>
            </w:r>
          </w:p>
        </w:tc>
        <w:tc>
          <w:tcPr>
            <w:tcW w:type="pct" w:w="1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Owner</w:t>
            </w:r>
          </w:p>
        </w:tc>
        <w:tc>
          <w:tcPr>
            <w:tcW w:type="pct" w:w="2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Acceptance Criterion</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Working MVP software</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Production deployment on AWS Ghana</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O1–O6 objectives met</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Technical documentation</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README + architecture decision records + runbooks</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Reviewed and signed off by Lead Engineer</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Member onboarding documentation</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PDF + in-app help centre</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Reviewed by Chamber + 3 pilot members</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certification package</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SOC 2 Type II report (year 1)</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auditor</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Report issued by 31 Dec 2027 (O7)</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Training materials</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Video walkthroughs + live training sessions ×3 (Accra, Kumasi, Tarkwa)</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80% pilot members complete onboarding within 14 days</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Source code repository</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GitHub Enterprise, with CI/CD</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All code reviewed; security scan clean</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Audit-log design document</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Architecture decision record</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Lead Backend Engineer</w:t>
            </w:r>
          </w:p>
        </w:tc>
        <w:tc>
          <w:tcPr>
            <w:tcW w:type="pct" w:w="2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Reviewed by external security auditor</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 partnership contract</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Signed 5-year revenue-share agreement</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Sahel Systems CEO + Chamber President</w:t>
            </w:r>
          </w:p>
        </w:tc>
        <w:tc>
          <w:tcPr>
            <w:tcW w:type="pct" w:w="2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Signed before MVP launch</w:t>
            </w:r>
          </w:p>
        </w:tc>
      </w:tr>
    </w:tbl>
    <w:p>
      <w:pPr>
        <w:keepNext/>
        <w:spacing w:after="200" w:before="60" w:line="280" w:lineRule="auto"/>
        <w:jc w:val="left"/>
      </w:pPr>
      <w:r>
        <w:rPr>
          <w:rFonts w:ascii="Calibri"/>
          <w:b/>
          <w:bCs/>
          <w:color w:val="5A6068"/>
          <w:sz w:val="18"/>
          <w:szCs w:val="18"/>
        </w:rPr>
        <w:t xml:space="preserve">Table 4.2. </w:t>
      </w:r>
      <w:r>
        <w:rPr>
          <w:rFonts w:ascii="Calibri"/>
          <w:i/>
          <w:iCs/>
          <w:color w:val="5A6068"/>
          <w:sz w:val="18"/>
          <w:szCs w:val="18"/>
        </w:rPr>
        <w:t xml:space="preserve">Eight deliverables. The Charter is not complete until each deliverable has met its acceptance criterion.</w:t>
      </w:r>
    </w:p>
    <w:p>
      <w:pPr>
        <w:pStyle w:val="Heading2"/>
        <w:spacing w:after="160" w:before="360" w:line="340" w:lineRule="atLeast"/>
      </w:pPr>
      <w:bookmarkStart w:id="100051" w:name="_Toc100051"/>
      <w:r>
        <w:rPr>
          <w:rFonts w:ascii="Calibri"/>
          <w:b/>
          <w:bCs/>
          <w:color w:val="1A1A1A"/>
          <w:sz w:val="28"/>
          <w:szCs w:val="28"/>
        </w:rPr>
        <w:t xml:space="preserve">5. Stakeholders &amp; Governance</w:t>
      </w:r>
      <w:bookmarkEnd w:id="100051"/>
    </w:p>
    <w:p>
      <w:pPr>
        <w:spacing w:after="140" w:line="312" w:lineRule="auto"/>
        <w:jc w:val="both"/>
      </w:pPr>
      <w:r>
        <w:rPr>
          <w:rFonts w:ascii="Calibri"/>
          <w:color w:val="1A1A1A"/>
          <w:sz w:val="22"/>
          <w:szCs w:val="22"/>
        </w:rPr>
        <w:t xml:space="preserve">Governance is the structure that converts a Charter from a planning document into a decision-making authority. The Sponsor is the single point of accountability for budget and scope; the PM is the single point of accountability for delivery. The Steering Committee meets monthly and is the escalation path for any decision above the PM's authority level.</w:t>
      </w:r>
    </w:p>
    <w:p>
      <w:pPr>
        <w:pStyle w:val="Heading3"/>
        <w:spacing w:after="120" w:before="240" w:line="320" w:lineRule="atLeast"/>
      </w:pPr>
      <w:bookmarkStart w:id="100052" w:name="_Toc100052"/>
      <w:r>
        <w:rPr>
          <w:rFonts w:ascii="Calibri"/>
          <w:b/>
          <w:bCs/>
          <w:color w:val="1A1A1A"/>
          <w:sz w:val="24"/>
          <w:szCs w:val="24"/>
        </w:rPr>
        <w:t xml:space="preserve">5.1 Sponsor</w:t>
      </w:r>
      <w:bookmarkEnd w:id="100052"/>
    </w:p>
    <w:p>
      <w:pPr>
        <w:pStyle w:val="ListParagraph"/>
        <w:numPr>
          <w:ilvl w:val="0"/>
          <w:numId w:val="1"/>
        </w:numPr>
        <w:spacing w:after="80" w:line="300" w:lineRule="auto"/>
        <w:jc w:val="left"/>
      </w:pPr>
      <w:r>
        <w:rPr>
          <w:rFonts w:ascii="Calibri"/>
          <w:b/>
          <w:bCs/>
          <w:color w:val="1A1A1A"/>
          <w:sz w:val="22"/>
          <w:szCs w:val="22"/>
        </w:rPr>
        <w:t xml:space="preserve">Name: </w:t>
      </w:r>
      <w:r>
        <w:rPr>
          <w:rFonts w:ascii="Calibri"/>
          <w:color w:val="1A1A1A"/>
          <w:sz w:val="22"/>
          <w:szCs w:val="22"/>
        </w:rPr>
        <w:t xml:space="preserve">【Sponsor name — to be filled in before sign-off】</w:t>
      </w:r>
    </w:p>
    <w:p>
      <w:pPr>
        <w:pStyle w:val="ListParagraph"/>
        <w:numPr>
          <w:ilvl w:val="0"/>
          <w:numId w:val="1"/>
        </w:numPr>
        <w:spacing w:after="80" w:line="300" w:lineRule="auto"/>
        <w:jc w:val="left"/>
      </w:pPr>
      <w:r>
        <w:rPr>
          <w:rFonts w:ascii="Calibri"/>
          <w:b/>
          <w:bCs/>
          <w:color w:val="1A1A1A"/>
          <w:sz w:val="22"/>
          <w:szCs w:val="22"/>
        </w:rPr>
        <w:t xml:space="preserve">Title: </w:t>
      </w:r>
      <w:r>
        <w:rPr>
          <w:rFonts w:ascii="Calibri"/>
          <w:color w:val="1A1A1A"/>
          <w:sz w:val="22"/>
          <w:szCs w:val="22"/>
        </w:rPr>
        <w:t xml:space="preserve">Chief Executive Officer, Sahel Systems &amp; Solutions</w:t>
      </w:r>
    </w:p>
    <w:p>
      <w:pPr>
        <w:pStyle w:val="ListParagraph"/>
        <w:numPr>
          <w:ilvl w:val="0"/>
          <w:numId w:val="1"/>
        </w:numPr>
        <w:spacing w:after="80" w:line="300" w:lineRule="auto"/>
        <w:jc w:val="left"/>
      </w:pPr>
      <w:r>
        <w:rPr>
          <w:rFonts w:ascii="Calibri"/>
          <w:b/>
          <w:bCs/>
          <w:color w:val="1A1A1A"/>
          <w:sz w:val="22"/>
          <w:szCs w:val="22"/>
        </w:rPr>
        <w:t xml:space="preserve">Budget authority: </w:t>
      </w:r>
      <w:r>
        <w:rPr>
          <w:rFonts w:ascii="Calibri"/>
          <w:color w:val="1A1A1A"/>
          <w:sz w:val="22"/>
          <w:szCs w:val="22"/>
        </w:rPr>
        <w:t xml:space="preserve">Full authority over the US$450,000 CapEx ceiling and the 18-month OpEx runway; authority to approve changes up to US$50K cumulative variance without Steering Committee escalation.</w:t>
      </w:r>
    </w:p>
    <w:p>
      <w:pPr>
        <w:pStyle w:val="Heading3"/>
        <w:spacing w:after="120" w:before="240" w:line="320" w:lineRule="atLeast"/>
      </w:pPr>
      <w:bookmarkStart w:id="100053" w:name="_Toc100053"/>
      <w:r>
        <w:rPr>
          <w:rFonts w:ascii="Calibri"/>
          <w:b/>
          <w:bCs/>
          <w:color w:val="1A1A1A"/>
          <w:sz w:val="24"/>
          <w:szCs w:val="24"/>
        </w:rPr>
        <w:t xml:space="preserve">5.2 Project Manager / Lead</w:t>
      </w:r>
      <w:bookmarkEnd w:id="100053"/>
    </w:p>
    <w:p>
      <w:pPr>
        <w:pStyle w:val="ListParagraph"/>
        <w:numPr>
          <w:ilvl w:val="0"/>
          <w:numId w:val="1"/>
        </w:numPr>
        <w:spacing w:after="80" w:line="300" w:lineRule="auto"/>
        <w:jc w:val="left"/>
      </w:pPr>
      <w:r>
        <w:rPr>
          <w:rFonts w:ascii="Calibri"/>
          <w:b/>
          <w:bCs/>
          <w:color w:val="1A1A1A"/>
          <w:sz w:val="22"/>
          <w:szCs w:val="22"/>
        </w:rPr>
        <w:t xml:space="preserve">Name: </w:t>
      </w:r>
      <w:r>
        <w:rPr>
          <w:rFonts w:ascii="Calibri"/>
          <w:color w:val="1A1A1A"/>
          <w:sz w:val="22"/>
          <w:szCs w:val="22"/>
        </w:rPr>
        <w:t xml:space="preserve">【PM name — to be filled in before sign-off】</w:t>
      </w:r>
    </w:p>
    <w:p>
      <w:pPr>
        <w:pStyle w:val="ListParagraph"/>
        <w:numPr>
          <w:ilvl w:val="0"/>
          <w:numId w:val="1"/>
        </w:numPr>
        <w:spacing w:after="80" w:line="300" w:lineRule="auto"/>
        <w:jc w:val="left"/>
      </w:pPr>
      <w:r>
        <w:rPr>
          <w:rFonts w:ascii="Calibri"/>
          <w:b/>
          <w:bCs/>
          <w:color w:val="1A1A1A"/>
          <w:sz w:val="22"/>
          <w:szCs w:val="22"/>
        </w:rPr>
        <w:t xml:space="preserve">Title: </w:t>
      </w:r>
      <w:r>
        <w:rPr>
          <w:rFonts w:ascii="Calibri"/>
          <w:color w:val="1A1A1A"/>
          <w:sz w:val="22"/>
          <w:szCs w:val="22"/>
        </w:rPr>
        <w:t xml:space="preserve">Project Manager, AurumXchange Initiative</w:t>
      </w:r>
    </w:p>
    <w:p>
      <w:pPr>
        <w:pStyle w:val="ListParagraph"/>
        <w:numPr>
          <w:ilvl w:val="0"/>
          <w:numId w:val="1"/>
        </w:numPr>
        <w:spacing w:after="80" w:line="300" w:lineRule="auto"/>
        <w:jc w:val="left"/>
      </w:pPr>
      <w:r>
        <w:rPr>
          <w:rFonts w:ascii="Calibri"/>
          <w:b/>
          <w:bCs/>
          <w:color w:val="1A1A1A"/>
          <w:sz w:val="22"/>
          <w:szCs w:val="22"/>
        </w:rPr>
        <w:t xml:space="preserve">Authority level: </w:t>
      </w:r>
      <w:r>
        <w:rPr>
          <w:rFonts w:ascii="Calibri"/>
          <w:color w:val="1A1A1A"/>
          <w:sz w:val="22"/>
          <w:szCs w:val="22"/>
        </w:rPr>
        <w:t xml:space="preserve">Authority to expend resources within the US$450K CapEx ceiling; authority to draw down contingency up to US$20K without Sponsor approval; authority to make day-to-day scope and prioritization decisions; no authority to approve changes &gt; US$10K CapEx or &gt; 2 weeks schedule slip.</w:t>
      </w:r>
    </w:p>
    <w:p>
      <w:pPr>
        <w:pStyle w:val="Heading3"/>
        <w:spacing w:after="120" w:before="240" w:line="320" w:lineRule="atLeast"/>
      </w:pPr>
      <w:bookmarkStart w:id="100054" w:name="_Toc100054"/>
      <w:r>
        <w:rPr>
          <w:rFonts w:ascii="Calibri"/>
          <w:b/>
          <w:bCs/>
          <w:color w:val="1A1A1A"/>
          <w:sz w:val="24"/>
          <w:szCs w:val="24"/>
        </w:rPr>
        <w:t xml:space="preserve">5.3 Key Stakeholders &amp; Roles</w:t>
      </w:r>
      <w:bookmarkEnd w:id="100054"/>
    </w:p>
    <w:p>
      <w:pPr>
        <w:keepNext/>
        <w:spacing w:after="80" w:before="200" w:line="280" w:lineRule="auto"/>
        <w:jc w:val="left"/>
      </w:pPr>
      <w:r>
        <w:rPr>
          <w:rFonts w:ascii="Calibri"/>
          <w:b/>
          <w:bCs/>
          <w:color w:val="1A1A1A"/>
          <w:sz w:val="22"/>
          <w:szCs w:val="22"/>
        </w:rPr>
        <w:t xml:space="preserve">Table 4.3. </w:t>
      </w:r>
      <w:r>
        <w:rPr>
          <w:rFonts w:ascii="Calibri"/>
          <w:b/>
          <w:bCs/>
          <w:color w:val="1A1A1A"/>
          <w:sz w:val="22"/>
          <w:szCs w:val="22"/>
        </w:rPr>
        <w:t xml:space="preserve">Key Stakeholders — RACI Summary</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2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Role</w:t>
            </w:r>
          </w:p>
        </w:tc>
        <w:tc>
          <w:tcPr>
            <w:tcW w:type="pct" w:w="1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Name</w:t>
            </w:r>
          </w:p>
        </w:tc>
        <w:tc>
          <w:tcPr>
            <w:tcW w:type="pct" w:w="3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Responsibility</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RACI on Major Decisions</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Sponsor (CEO, Sahel Systems)</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【Sponsor name】</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Budget authority; ultimate accountability</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Accountable for budget, scope, Charter sign-off</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Project Manager</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 name】</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Delivery; day-to-day scope &amp; prioritization</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Responsible for execution; Consulted on scope changes</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Product Owner / Head of Product</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【PO name】</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Roadmap; requirements; Chamber liaison</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Responsible for backlog; Accountable for acceptance</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Scrum Master (0.5 FTE)</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【SM name】</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Sprint process; impediment removal</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Responsible for sprint cadence</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Lead Engineer / Tech Lead</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【LE name】</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Architecture; code quality; technical risk</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Consulted on all technical decisions</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QA Lead</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【QA name】</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Test strategy; quality gate enforcement</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Responsible for go/no-go on each release</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 name】</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Technical authority; vendor selection</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Accountable for architecture &amp; security</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 Representative (Steering Committee)</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Nana Chairperson or delegate</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 rules; member verification; trade approval policy</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Consulted on Chamber-affecting decisions</w:t>
            </w:r>
          </w:p>
        </w:tc>
      </w:tr>
      <w:tr>
        <w:trPr>
          <w:cantSplit/>
        </w:trPr>
        <w:tc>
          <w:tcPr>
            <w:tcW w:type="pct" w:w="2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End-User Representatives (3 pilot members)</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Abena Owusu, Kofi Mensah, + 1 Tier 1</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Pilot feedback; UAT</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Informed + Consulted on UX decisions</w:t>
            </w:r>
          </w:p>
        </w:tc>
      </w:tr>
      <w:tr>
        <w:trPr>
          <w:cantSplit/>
        </w:trPr>
        <w:tc>
          <w:tcPr>
            <w:tcW w:type="pct" w:w="2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Finance Controller</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【FC name】</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Variance reporting; accounting treatment</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Responsible for monthly variance report</w:t>
            </w:r>
          </w:p>
        </w:tc>
      </w:tr>
    </w:tbl>
    <w:p>
      <w:pPr>
        <w:keepNext/>
        <w:spacing w:after="200" w:before="60" w:line="280" w:lineRule="auto"/>
        <w:jc w:val="left"/>
      </w:pPr>
      <w:r>
        <w:rPr>
          <w:rFonts w:ascii="Calibri"/>
          <w:b/>
          <w:bCs/>
          <w:color w:val="5A6068"/>
          <w:sz w:val="18"/>
          <w:szCs w:val="18"/>
        </w:rPr>
        <w:t xml:space="preserve">Table 4.3. </w:t>
      </w:r>
      <w:r>
        <w:rPr>
          <w:rFonts w:ascii="Calibri"/>
          <w:i/>
          <w:iCs/>
          <w:color w:val="5A6068"/>
          <w:sz w:val="18"/>
          <w:szCs w:val="18"/>
        </w:rPr>
        <w:t xml:space="preserve">Ten stakeholders. RACI is summarized here; the full RACI matrix for each major decision (scope change, release go/no-go, vendor selection, compliance incident) is maintained in the project wiki.</w:t>
      </w:r>
    </w:p>
    <w:p>
      <w:pPr>
        <w:pStyle w:val="Heading3"/>
        <w:spacing w:after="120" w:before="240" w:line="320" w:lineRule="atLeast"/>
      </w:pPr>
      <w:bookmarkStart w:id="100055" w:name="_Toc100055"/>
      <w:r>
        <w:rPr>
          <w:rFonts w:ascii="Calibri"/>
          <w:b/>
          <w:bCs/>
          <w:color w:val="1A1A1A"/>
          <w:sz w:val="24"/>
          <w:szCs w:val="24"/>
        </w:rPr>
        <w:t xml:space="preserve">5.4 Decision-Making Structure</w:t>
      </w:r>
      <w:bookmarkEnd w:id="100055"/>
    </w:p>
    <w:p>
      <w:pPr>
        <w:pStyle w:val="ListParagraph"/>
        <w:numPr>
          <w:ilvl w:val="0"/>
          <w:numId w:val="1"/>
        </w:numPr>
        <w:spacing w:after="80" w:line="300" w:lineRule="auto"/>
        <w:jc w:val="left"/>
      </w:pPr>
      <w:r>
        <w:rPr>
          <w:rFonts w:ascii="Calibri"/>
          <w:b/>
          <w:bCs/>
          <w:color w:val="1A1A1A"/>
          <w:sz w:val="22"/>
          <w:szCs w:val="22"/>
        </w:rPr>
        <w:t xml:space="preserve">Steering Committee cadence: </w:t>
      </w:r>
      <w:r>
        <w:rPr>
          <w:rFonts w:ascii="Calibri"/>
          <w:color w:val="1A1A1A"/>
          <w:sz w:val="22"/>
          <w:szCs w:val="22"/>
        </w:rPr>
        <w:t xml:space="preserve">Monthly, 90 minutes, first Tuesday of each month. Attendees: Sponsor, PM, CTO, Head of Product, Chamber Representative, Finance Controller.</w:t>
      </w:r>
    </w:p>
    <w:p>
      <w:pPr>
        <w:pStyle w:val="ListParagraph"/>
        <w:numPr>
          <w:ilvl w:val="0"/>
          <w:numId w:val="1"/>
        </w:numPr>
        <w:spacing w:after="80" w:line="300" w:lineRule="auto"/>
        <w:jc w:val="left"/>
      </w:pPr>
      <w:r>
        <w:rPr>
          <w:rFonts w:ascii="Calibri"/>
          <w:b/>
          <w:bCs/>
          <w:color w:val="1A1A1A"/>
          <w:sz w:val="22"/>
          <w:szCs w:val="22"/>
        </w:rPr>
        <w:t xml:space="preserve">Sprint cadence: </w:t>
      </w:r>
      <w:r>
        <w:rPr>
          <w:rFonts w:ascii="Calibri"/>
          <w:color w:val="1A1A1A"/>
          <w:sz w:val="22"/>
          <w:szCs w:val="22"/>
        </w:rPr>
        <w:t xml:space="preserve">Two-week sprints; sprint review on the second Friday; sprint retrospective on the same Friday; backlog grooming on the Wednesday before sprint planning.</w:t>
      </w:r>
    </w:p>
    <w:p>
      <w:pPr>
        <w:pStyle w:val="ListParagraph"/>
        <w:numPr>
          <w:ilvl w:val="0"/>
          <w:numId w:val="1"/>
        </w:numPr>
        <w:spacing w:after="80" w:line="300" w:lineRule="auto"/>
        <w:jc w:val="left"/>
      </w:pPr>
      <w:r>
        <w:rPr>
          <w:rFonts w:ascii="Calibri"/>
          <w:b/>
          <w:bCs/>
          <w:color w:val="1A1A1A"/>
          <w:sz w:val="22"/>
          <w:szCs w:val="22"/>
        </w:rPr>
        <w:t xml:space="preserve">Escalation path: </w:t>
      </w:r>
      <w:r>
        <w:rPr>
          <w:rFonts w:ascii="Calibri"/>
          <w:color w:val="1A1A1A"/>
          <w:sz w:val="22"/>
          <w:szCs w:val="22"/>
        </w:rPr>
        <w:t xml:space="preserve">Team member → PM (same day) → Sponsor (within 24 hours if budget/scope) → Steering Committee (within 5 business days if &gt; US$50K or &gt; 2 weeks slip).</w:t>
      </w:r>
    </w:p>
    <w:p>
      <w:pPr>
        <w:pStyle w:val="ListParagraph"/>
        <w:numPr>
          <w:ilvl w:val="0"/>
          <w:numId w:val="1"/>
        </w:numPr>
        <w:spacing w:after="80" w:line="300" w:lineRule="auto"/>
        <w:jc w:val="left"/>
      </w:pPr>
      <w:r>
        <w:rPr>
          <w:rFonts w:ascii="Calibri"/>
          <w:b/>
          <w:bCs/>
          <w:color w:val="1A1A1A"/>
          <w:sz w:val="22"/>
          <w:szCs w:val="22"/>
        </w:rPr>
        <w:t xml:space="preserve">Chamber trade-approval policy: </w:t>
      </w:r>
      <w:r>
        <w:rPr>
          <w:rFonts w:ascii="Calibri"/>
          <w:color w:val="1A1A1A"/>
          <w:sz w:val="22"/>
          <w:szCs w:val="22"/>
        </w:rPr>
        <w:t xml:space="preserve">Chamber has authority to approve or reject each trade above the platform's auto-approval threshold (initially US$50,000); the Chamber's trade-approval workflow is integrated into the platform but the approval decision itself is the Chamber's, not Sahel Systems'.</w:t>
      </w:r>
    </w:p>
    <w:p>
      <w:pPr>
        <w:pStyle w:val="Heading2"/>
        <w:spacing w:after="160" w:before="360" w:line="340" w:lineRule="atLeast"/>
      </w:pPr>
      <w:bookmarkStart w:id="100056" w:name="_Toc100056"/>
      <w:r>
        <w:rPr>
          <w:rFonts w:ascii="Calibri"/>
          <w:b/>
          <w:bCs/>
          <w:color w:val="1A1A1A"/>
          <w:sz w:val="28"/>
          <w:szCs w:val="28"/>
        </w:rPr>
        <w:t xml:space="preserve">6. High-Level Timeline &amp; Milestones</w:t>
      </w:r>
      <w:bookmarkEnd w:id="100056"/>
    </w:p>
    <w:p>
      <w:pPr>
        <w:spacing w:after="140" w:line="312" w:lineRule="auto"/>
        <w:jc w:val="both"/>
      </w:pPr>
      <w:r>
        <w:rPr>
          <w:rFonts w:ascii="Calibri"/>
          <w:color w:val="1A1A1A"/>
          <w:sz w:val="22"/>
          <w:szCs w:val="22"/>
        </w:rPr>
        <w:t xml:space="preserve">The 12-month build is structured in six phases: Discovery, Design, Development, QA, UAT, and Launch. The sprint cycle is two weeks. Each phase has a single accountable owner and an exit criterion that must be met before the next phase begins; missing a phase exit criterion is a Steering Committee escalation, not a re-planning exercise.</w:t>
      </w:r>
    </w:p>
    <w:p>
      <w:pPr>
        <w:keepNext/>
        <w:spacing w:after="80" w:before="200" w:line="280" w:lineRule="auto"/>
        <w:jc w:val="left"/>
      </w:pPr>
      <w:r>
        <w:rPr>
          <w:rFonts w:ascii="Calibri"/>
          <w:b/>
          <w:bCs/>
          <w:color w:val="1A1A1A"/>
          <w:sz w:val="22"/>
          <w:szCs w:val="22"/>
        </w:rPr>
        <w:t xml:space="preserve">Table 4.4. </w:t>
      </w:r>
      <w:r>
        <w:rPr>
          <w:rFonts w:ascii="Calibri"/>
          <w:b/>
          <w:bCs/>
          <w:color w:val="1A1A1A"/>
          <w:sz w:val="22"/>
          <w:szCs w:val="22"/>
        </w:rPr>
        <w:t xml:space="preserve">Phase Milestones</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Phase</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Window</w:t>
            </w:r>
          </w:p>
        </w:tc>
        <w:tc>
          <w:tcPr>
            <w:tcW w:type="pct" w:w="3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Exit Criterion</w:t>
            </w:r>
          </w:p>
        </w:tc>
        <w:tc>
          <w:tcPr>
            <w:tcW w:type="pct" w:w="1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Owner</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M0 — Charter sign-off</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By 15 Aug 2026</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Signed Charter + CapEx released</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Sponsor</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M1 — Discovery</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15 Aug – 30 Sep 2026</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Requirements backlog + technical spike results + Smile Identity KYC integration proof-of-concept</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M2 — Design</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 Oct – 15 Nov 2026</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UX wireframes + audit-log architecture decision record + Chamber sign-off on trade-approval workflow</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 + CTO</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M3 — Development</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 Dec 2026 – 30 Jun 2027</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Phase 1 + Phase 2 features complete; CI/CD green; sandbox bank escrow integration verified</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CTO</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M4 — QA</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 Jul – 15 Aug 2027</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Regression suite passing; pre-launch penetration test complete; 0 critical findings</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QA Lead</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M5 — UAT</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16 Aug – 15 Sep 2027</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 pilot members complete ≥ 1 trade end-to-end; NPS from pilot ≥ 30</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Head of Product</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M6 — Launch (Q1 2027 definition: late)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31 January 2027 → revised to 30 Sep 2027 (see note below)</w:t>
            </w:r>
          </w:p>
        </w:tc>
        <w:tc>
          <w:tcPr>
            <w:tcW w:type="pct" w:w="3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MVP live in production; first real gold trade settled via escrow</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 + CTO</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M7 — SOC 2 Type II issued</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By 31 Dec 2027</w:t>
            </w:r>
          </w:p>
        </w:tc>
        <w:tc>
          <w:tcPr>
            <w:tcW w:type="pct" w:w="3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Auditor report issued</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External auditor + CTO</w:t>
            </w:r>
          </w:p>
        </w:tc>
      </w:tr>
    </w:tbl>
    <w:p>
      <w:pPr>
        <w:keepNext/>
        <w:spacing w:after="200" w:before="60" w:line="280" w:lineRule="auto"/>
        <w:jc w:val="left"/>
      </w:pPr>
      <w:r>
        <w:rPr>
          <w:rFonts w:ascii="Calibri"/>
          <w:b/>
          <w:bCs/>
          <w:color w:val="5A6068"/>
          <w:sz w:val="18"/>
          <w:szCs w:val="18"/>
        </w:rPr>
        <w:t xml:space="preserve">Table 4.4. </w:t>
      </w:r>
      <w:r>
        <w:rPr>
          <w:rFonts w:ascii="Calibri"/>
          <w:i/>
          <w:iCs/>
          <w:color w:val="5A6068"/>
          <w:sz w:val="18"/>
          <w:szCs w:val="18"/>
        </w:rPr>
        <w:t xml:space="preserve">Eight milestones. M6 Launch is the focal date; M7 SOC 2 closes out Year 1.</w:t>
      </w:r>
    </w:p>
    <w:p>
      <w:pPr>
        <w:spacing w:after="140" w:line="312" w:lineRule="auto"/>
        <w:jc w:val="both"/>
      </w:pPr>
      <w:r>
        <w:rPr>
          <w:rFonts w:ascii="Calibri"/>
          <w:color w:val="1A1A1A"/>
          <w:sz w:val="22"/>
          <w:szCs w:val="22"/>
        </w:rPr>
        <w:t xml:space="preserve">Date reconciliation note: the locked assumption was 'MVP launch Q1 2027.' On a 12-month build from an August 2026 Charter sign-off, the realistic launch window is Q3 2027 (30 September 2027). The original Q1 2027 target would have required an aggressive 6-month build, which is incompatible with the regulated nature of the platform (extended KYC integration, escrow bank onboarding, and SOC 2 readiness all require calendar time, not just engineering effort). The Charter therefore adopts Q3 2027 (30 September 2027) as the contractual launch date; the Financial Documentation's break-even at month 22 shifts accordingly to Q4 2029, not Q4 2028 as stated in Table 3.7. This is the single reconciliation the Golden Thread must absorb — see the Golden Thread Validation section for the explicit reconciliation narrative.</w:t>
      </w:r>
    </w:p>
    <w:p>
      <w:pPr>
        <w:pStyle w:val="Heading2"/>
        <w:spacing w:after="160" w:before="360" w:line="340" w:lineRule="atLeast"/>
      </w:pPr>
      <w:bookmarkStart w:id="100057" w:name="_Toc100057"/>
      <w:r>
        <w:rPr>
          <w:rFonts w:ascii="Calibri"/>
          <w:b/>
          <w:bCs/>
          <w:color w:val="1A1A1A"/>
          <w:sz w:val="28"/>
          <w:szCs w:val="28"/>
        </w:rPr>
        <w:t xml:space="preserve">7. Resources</w:t>
      </w:r>
      <w:bookmarkEnd w:id="100057"/>
    </w:p>
    <w:p>
      <w:pPr>
        <w:pStyle w:val="Heading3"/>
        <w:spacing w:after="120" w:before="240" w:line="320" w:lineRule="atLeast"/>
      </w:pPr>
      <w:bookmarkStart w:id="100058" w:name="_Toc100058"/>
      <w:r>
        <w:rPr>
          <w:rFonts w:ascii="Calibri"/>
          <w:b/>
          <w:bCs/>
          <w:color w:val="1A1A1A"/>
          <w:sz w:val="24"/>
          <w:szCs w:val="24"/>
        </w:rPr>
        <w:t xml:space="preserve">7.1 Team Composition</w:t>
      </w:r>
      <w:bookmarkEnd w:id="100058"/>
    </w:p>
    <w:p>
      <w:pPr>
        <w:pStyle w:val="ListParagraph"/>
        <w:numPr>
          <w:ilvl w:val="0"/>
          <w:numId w:val="1"/>
        </w:numPr>
        <w:spacing w:after="80" w:line="300" w:lineRule="auto"/>
        <w:jc w:val="left"/>
      </w:pPr>
      <w:r>
        <w:rPr>
          <w:rFonts w:ascii="Calibri"/>
          <w:b/>
          <w:bCs/>
          <w:color w:val="1A1A1A"/>
          <w:sz w:val="22"/>
          <w:szCs w:val="22"/>
        </w:rPr>
        <w:t xml:space="preserve">12 FTE at peak build (December 2026 – June 2027): </w:t>
      </w:r>
      <w:r>
        <w:rPr>
          <w:rFonts w:ascii="Calibri"/>
          <w:color w:val="1A1A1A"/>
          <w:sz w:val="22"/>
          <w:szCs w:val="22"/>
        </w:rPr>
        <w:t xml:space="preserve">1 CTO (0.5 FTE), 1 Head of Product (1.0 FTE), 4 senior backend engineers (2.0 FTE during peak, 1.0 FTE earlier), 2 senior frontend engineers, 1 DevOps/SRE, 1 QA Lead (joined month 7), 1 UI/UX Designer (0.5 FTE × 6 months), 1 PM (0.5 FTE).</w:t>
      </w:r>
    </w:p>
    <w:p>
      <w:pPr>
        <w:pStyle w:val="ListParagraph"/>
        <w:numPr>
          <w:ilvl w:val="0"/>
          <w:numId w:val="1"/>
        </w:numPr>
        <w:spacing w:after="80" w:line="300" w:lineRule="auto"/>
        <w:jc w:val="left"/>
      </w:pPr>
      <w:r>
        <w:rPr>
          <w:rFonts w:ascii="Calibri"/>
          <w:b/>
          <w:bCs/>
          <w:color w:val="1A1A1A"/>
          <w:sz w:val="22"/>
          <w:szCs w:val="22"/>
        </w:rPr>
        <w:t xml:space="preserve">Post-launch (from October 2027): </w:t>
      </w:r>
      <w:r>
        <w:rPr>
          <w:rFonts w:ascii="Calibri"/>
          <w:color w:val="1A1A1A"/>
          <w:sz w:val="22"/>
          <w:szCs w:val="22"/>
        </w:rPr>
        <w:t xml:space="preserve">Retain 3 FTE for enhancements and incident response (1 backend, 1 frontend, 1 DevOps); add 2 Tier 1 support + 1 Customer Success Manager for a total of 6 FTE in steady-state operations. Engineering team scales back up to 8 FTE for Phase 3 build (Q1 2028).</w:t>
      </w:r>
    </w:p>
    <w:p>
      <w:pPr>
        <w:pStyle w:val="Heading3"/>
        <w:spacing w:after="120" w:before="240" w:line="320" w:lineRule="atLeast"/>
      </w:pPr>
      <w:bookmarkStart w:id="100059" w:name="_Toc100059"/>
      <w:r>
        <w:rPr>
          <w:rFonts w:ascii="Calibri"/>
          <w:b/>
          <w:bCs/>
          <w:color w:val="1A1A1A"/>
          <w:sz w:val="24"/>
          <w:szCs w:val="24"/>
        </w:rPr>
        <w:t xml:space="preserve">7.2 Estimated Budget Summary</w:t>
      </w:r>
      <w:bookmarkEnd w:id="100059"/>
    </w:p>
    <w:p>
      <w:pPr>
        <w:pStyle w:val="ListParagraph"/>
        <w:numPr>
          <w:ilvl w:val="0"/>
          <w:numId w:val="1"/>
        </w:numPr>
        <w:spacing w:after="80" w:line="300" w:lineRule="auto"/>
        <w:jc w:val="left"/>
      </w:pPr>
      <w:r>
        <w:rPr>
          <w:rFonts w:ascii="Calibri"/>
          <w:b/>
          <w:bCs/>
          <w:color w:val="1A1A1A"/>
          <w:sz w:val="22"/>
          <w:szCs w:val="22"/>
        </w:rPr>
        <w:t xml:space="preserve">CapEx (build, 12 months): </w:t>
      </w:r>
      <w:r>
        <w:rPr>
          <w:rFonts w:ascii="Calibri"/>
          <w:color w:val="1A1A1A"/>
          <w:sz w:val="22"/>
          <w:szCs w:val="22"/>
        </w:rPr>
        <w:t xml:space="preserve">US$449,075 (per Table 3.1).</w:t>
      </w:r>
    </w:p>
    <w:p>
      <w:pPr>
        <w:pStyle w:val="ListParagraph"/>
        <w:numPr>
          <w:ilvl w:val="0"/>
          <w:numId w:val="1"/>
        </w:numPr>
        <w:spacing w:after="80" w:line="300" w:lineRule="auto"/>
        <w:jc w:val="left"/>
      </w:pPr>
      <w:r>
        <w:rPr>
          <w:rFonts w:ascii="Calibri"/>
          <w:b/>
          <w:bCs/>
          <w:color w:val="1A1A1A"/>
          <w:sz w:val="22"/>
          <w:szCs w:val="22"/>
        </w:rPr>
        <w:t xml:space="preserve">OpEx runway (18 months post-launch): </w:t>
      </w:r>
      <w:r>
        <w:rPr>
          <w:rFonts w:ascii="Calibri"/>
          <w:color w:val="1A1A1A"/>
          <w:sz w:val="22"/>
          <w:szCs w:val="22"/>
        </w:rPr>
        <w:t xml:space="preserve">Approximately US$677,500 (per Financial Doc Section B).</w:t>
      </w:r>
    </w:p>
    <w:p>
      <w:pPr>
        <w:pStyle w:val="ListParagraph"/>
        <w:numPr>
          <w:ilvl w:val="0"/>
          <w:numId w:val="1"/>
        </w:numPr>
        <w:spacing w:after="80" w:line="300" w:lineRule="auto"/>
        <w:jc w:val="left"/>
      </w:pPr>
      <w:r>
        <w:rPr>
          <w:rFonts w:ascii="Calibri"/>
          <w:b/>
          <w:bCs/>
          <w:color w:val="1A1A1A"/>
          <w:sz w:val="22"/>
          <w:szCs w:val="22"/>
        </w:rPr>
        <w:t xml:space="preserve">Total capital required to break-even: </w:t>
      </w:r>
      <w:r>
        <w:rPr>
          <w:rFonts w:ascii="Calibri"/>
          <w:color w:val="1A1A1A"/>
          <w:sz w:val="22"/>
          <w:szCs w:val="22"/>
        </w:rPr>
        <w:t xml:space="preserve">Approximately US$1,126,575, plus a US$162,000 bridge between month 18 (runway end) and month 22 (break-even) — to be covered by a Series A round in month 18.</w:t>
      </w:r>
    </w:p>
    <w:p>
      <w:pPr>
        <w:pStyle w:val="Heading3"/>
        <w:spacing w:after="120" w:before="240" w:line="320" w:lineRule="atLeast"/>
      </w:pPr>
      <w:bookmarkStart w:id="100060" w:name="_Toc100060"/>
      <w:r>
        <w:rPr>
          <w:rFonts w:ascii="Calibri"/>
          <w:b/>
          <w:bCs/>
          <w:color w:val="1A1A1A"/>
          <w:sz w:val="24"/>
          <w:szCs w:val="24"/>
        </w:rPr>
        <w:t xml:space="preserve">7.3 Tools, Infrastructure &amp; Third-Party Dependencies</w:t>
      </w:r>
      <w:bookmarkEnd w:id="100060"/>
    </w:p>
    <w:p>
      <w:pPr>
        <w:pStyle w:val="ListParagraph"/>
        <w:numPr>
          <w:ilvl w:val="0"/>
          <w:numId w:val="1"/>
        </w:numPr>
        <w:spacing w:after="80" w:line="300" w:lineRule="auto"/>
        <w:jc w:val="left"/>
      </w:pPr>
      <w:r>
        <w:rPr>
          <w:rFonts w:ascii="Calibri"/>
          <w:color w:val="1A1A1A"/>
          <w:sz w:val="22"/>
          <w:szCs w:val="22"/>
        </w:rPr>
        <w:t xml:space="preserve">Source control &amp; CI/CD: GitHub Enterprise, GitHub Actions; deployment via ArgoCD or AWS CodePipeline.</w:t>
      </w:r>
    </w:p>
    <w:p>
      <w:pPr>
        <w:pStyle w:val="ListParagraph"/>
        <w:numPr>
          <w:ilvl w:val="0"/>
          <w:numId w:val="1"/>
        </w:numPr>
        <w:spacing w:after="80" w:line="300" w:lineRule="auto"/>
        <w:jc w:val="left"/>
      </w:pPr>
      <w:r>
        <w:rPr>
          <w:rFonts w:ascii="Calibri"/>
          <w:color w:val="1A1A1A"/>
          <w:sz w:val="22"/>
          <w:szCs w:val="22"/>
        </w:rPr>
        <w:t xml:space="preserve">Project management: Jira + Confluence; sprint board, retros, and decision records all in Confluence.</w:t>
      </w:r>
    </w:p>
    <w:p>
      <w:pPr>
        <w:pStyle w:val="ListParagraph"/>
        <w:numPr>
          <w:ilvl w:val="0"/>
          <w:numId w:val="1"/>
        </w:numPr>
        <w:spacing w:after="80" w:line="300" w:lineRule="auto"/>
        <w:jc w:val="left"/>
      </w:pPr>
      <w:r>
        <w:rPr>
          <w:rFonts w:ascii="Calibri"/>
          <w:color w:val="1A1A1A"/>
          <w:sz w:val="22"/>
          <w:szCs w:val="22"/>
        </w:rPr>
        <w:t xml:space="preserve">Observability: Datadog (APM, logs, dashboards), Sentry (error tracking), Snyk (dependency security), GitHub Dependabot.</w:t>
      </w:r>
    </w:p>
    <w:p>
      <w:pPr>
        <w:pStyle w:val="ListParagraph"/>
        <w:numPr>
          <w:ilvl w:val="0"/>
          <w:numId w:val="1"/>
        </w:numPr>
        <w:spacing w:after="80" w:line="300" w:lineRule="auto"/>
        <w:jc w:val="left"/>
      </w:pPr>
      <w:r>
        <w:rPr>
          <w:rFonts w:ascii="Calibri"/>
          <w:color w:val="1A1A1A"/>
          <w:sz w:val="22"/>
          <w:szCs w:val="22"/>
        </w:rPr>
        <w:t xml:space="preserve">Cloud: AWS Ghana region (ap-west-2 if available, else af-south-1 Cape Town with Ghana data residency contractual terms); DR to af-south-1.</w:t>
      </w:r>
    </w:p>
    <w:p>
      <w:pPr>
        <w:pStyle w:val="ListParagraph"/>
        <w:numPr>
          <w:ilvl w:val="0"/>
          <w:numId w:val="1"/>
        </w:numPr>
        <w:spacing w:after="80" w:line="300" w:lineRule="auto"/>
        <w:jc w:val="left"/>
      </w:pPr>
      <w:r>
        <w:rPr>
          <w:rFonts w:ascii="Calibri"/>
          <w:color w:val="1A1A1A"/>
          <w:sz w:val="22"/>
          <w:szCs w:val="22"/>
        </w:rPr>
        <w:t xml:space="preserve">Identity &amp; KYC: Smile Identity (preferred) or Youverify (fallback) for KYC/AML at onboarding and ongoing.</w:t>
      </w:r>
    </w:p>
    <w:p>
      <w:pPr>
        <w:pStyle w:val="ListParagraph"/>
        <w:numPr>
          <w:ilvl w:val="0"/>
          <w:numId w:val="1"/>
        </w:numPr>
        <w:spacing w:after="80" w:line="300" w:lineRule="auto"/>
        <w:jc w:val="left"/>
      </w:pPr>
      <w:r>
        <w:rPr>
          <w:rFonts w:ascii="Calibri"/>
          <w:color w:val="1A1A1A"/>
          <w:sz w:val="22"/>
          <w:szCs w:val="22"/>
        </w:rPr>
        <w:t xml:space="preserve">Escrow banking: Stanbic Bank Ghana or Ecobank Ghana (selection completed during M1 Discovery); partner must be LBMA-aligned.</w:t>
      </w:r>
    </w:p>
    <w:p>
      <w:pPr>
        <w:pStyle w:val="ListParagraph"/>
        <w:numPr>
          <w:ilvl w:val="0"/>
          <w:numId w:val="1"/>
        </w:numPr>
        <w:spacing w:after="80" w:line="300" w:lineRule="auto"/>
        <w:jc w:val="left"/>
      </w:pPr>
      <w:r>
        <w:rPr>
          <w:rFonts w:ascii="Calibri"/>
          <w:color w:val="1A1A1A"/>
          <w:sz w:val="22"/>
          <w:szCs w:val="22"/>
        </w:rPr>
        <w:t xml:space="preserve">LBMA price feed: LBMA PM Fix via authorized data vendor (FastMarkets or Refinitiv).</w:t>
      </w:r>
    </w:p>
    <w:p>
      <w:pPr>
        <w:pStyle w:val="ListParagraph"/>
        <w:numPr>
          <w:ilvl w:val="0"/>
          <w:numId w:val="1"/>
        </w:numPr>
        <w:spacing w:after="80" w:line="300" w:lineRule="auto"/>
        <w:jc w:val="left"/>
      </w:pPr>
      <w:r>
        <w:rPr>
          <w:rFonts w:ascii="Calibri"/>
          <w:color w:val="1A1A1A"/>
          <w:sz w:val="22"/>
          <w:szCs w:val="22"/>
        </w:rPr>
        <w:t xml:space="preserve">PMMC and Minerals Commission: integration via API where available, manual workflow where not (Phase 3 closes the loop).</w:t>
      </w:r>
    </w:p>
    <w:p>
      <w:pPr>
        <w:pStyle w:val="ListParagraph"/>
        <w:numPr>
          <w:ilvl w:val="0"/>
          <w:numId w:val="1"/>
        </w:numPr>
        <w:spacing w:after="80" w:line="300" w:lineRule="auto"/>
        <w:jc w:val="left"/>
      </w:pPr>
      <w:r>
        <w:rPr>
          <w:rFonts w:ascii="Calibri"/>
          <w:color w:val="1A1A1A"/>
          <w:sz w:val="22"/>
          <w:szCs w:val="22"/>
        </w:rPr>
        <w:t xml:space="preserve">External auditor for SOC 2 Type II: Selection completed during M1 Discovery; contract signed before M3 begins.</w:t>
      </w:r>
    </w:p>
    <w:p>
      <w:pPr>
        <w:pStyle w:val="Heading2"/>
        <w:spacing w:after="160" w:before="360" w:line="340" w:lineRule="atLeast"/>
      </w:pPr>
      <w:bookmarkStart w:id="100061" w:name="_Toc100061"/>
      <w:r>
        <w:rPr>
          <w:rFonts w:ascii="Calibri"/>
          <w:b/>
          <w:bCs/>
          <w:color w:val="1A1A1A"/>
          <w:sz w:val="28"/>
          <w:szCs w:val="28"/>
        </w:rPr>
        <w:t xml:space="preserve">8. Risks, Assumptions, Constraints &amp; Mitigations</w:t>
      </w:r>
      <w:bookmarkEnd w:id="100061"/>
    </w:p>
    <w:p>
      <w:pPr>
        <w:pStyle w:val="Heading3"/>
        <w:spacing w:after="120" w:before="240" w:line="320" w:lineRule="atLeast"/>
      </w:pPr>
      <w:bookmarkStart w:id="100062" w:name="_Toc100062"/>
      <w:r>
        <w:rPr>
          <w:rFonts w:ascii="Calibri"/>
          <w:b/>
          <w:bCs/>
          <w:color w:val="1A1A1A"/>
          <w:sz w:val="24"/>
          <w:szCs w:val="24"/>
        </w:rPr>
        <w:t xml:space="preserve">8.1 Known Risks &amp; Mitigations</w:t>
      </w:r>
      <w:bookmarkEnd w:id="100062"/>
    </w:p>
    <w:p>
      <w:pPr>
        <w:keepNext/>
        <w:spacing w:after="80" w:before="200" w:line="280" w:lineRule="auto"/>
        <w:jc w:val="left"/>
      </w:pPr>
      <w:r>
        <w:rPr>
          <w:rFonts w:ascii="Calibri"/>
          <w:b/>
          <w:bCs/>
          <w:color w:val="1A1A1A"/>
          <w:sz w:val="22"/>
          <w:szCs w:val="22"/>
        </w:rPr>
        <w:t xml:space="preserve">Table 4.5. </w:t>
      </w:r>
      <w:r>
        <w:rPr>
          <w:rFonts w:ascii="Calibri"/>
          <w:b/>
          <w:bCs/>
          <w:color w:val="1A1A1A"/>
          <w:sz w:val="22"/>
          <w:szCs w:val="22"/>
        </w:rPr>
        <w:t xml:space="preserve">Risk Register (Top 10)</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gridCol w:w="100"/>
        <w:gridCol w:w="100"/>
      </w:tblGrid>
      <w:tr>
        <w:trPr>
          <w:cantSplit/>
          <w:tblHeader/>
        </w:trPr>
        <w:tc>
          <w:tcPr>
            <w:tcW w:type="pct" w:w="5%"/>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w:t>
            </w:r>
          </w:p>
        </w:tc>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Risk</w:t>
            </w:r>
          </w:p>
        </w:tc>
        <w:tc>
          <w:tcPr>
            <w:tcW w:type="pct" w:w="1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Category</w:t>
            </w:r>
          </w:p>
        </w:tc>
        <w:tc>
          <w:tcPr>
            <w:tcW w:type="pct" w:w="11%"/>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Likelihood</w:t>
            </w:r>
          </w:p>
        </w:tc>
        <w:tc>
          <w:tcPr>
            <w:tcW w:type="pct" w:w="1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Impact</w:t>
            </w:r>
          </w:p>
        </w:tc>
        <w:tc>
          <w:tcPr>
            <w:tcW w:type="pct" w:w="3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Mitigation</w:t>
            </w:r>
          </w:p>
        </w:tc>
      </w:tr>
      <w:tr>
        <w:trPr>
          <w:cantSplit/>
        </w:trPr>
        <w:tc>
          <w:tcPr>
            <w:tcW w:type="pct" w:w="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R1</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KYC/AML API latency or downtime during onboarding</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Technical</w:t>
            </w:r>
          </w:p>
        </w:tc>
        <w:tc>
          <w:tcPr>
            <w:tcW w:type="pct" w:w="11%"/>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1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High</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Fallback to Youverify; queue onboarding if both fail; SLA of 30s p95 with Smile Identity in contract.</w:t>
            </w:r>
          </w:p>
        </w:tc>
      </w:tr>
      <w:tr>
        <w:trPr>
          <w:cantSplit/>
        </w:trPr>
        <w:tc>
          <w:tcPr>
            <w:tcW w:type="pct" w:w="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R2</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bank onboarding takes &gt; 90 days</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Operational</w:t>
            </w:r>
          </w:p>
        </w:tc>
        <w:tc>
          <w:tcPr>
            <w:tcW w:type="pct" w:w="11%"/>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1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High</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Begin bank selection during M1 Discovery (Aug–Sep 2026); pre-negotiate with 2 candidate banks; fallback to a manual escrow workflow in MVP.</w:t>
            </w:r>
          </w:p>
        </w:tc>
      </w:tr>
      <w:tr>
        <w:trPr>
          <w:cantSplit/>
        </w:trPr>
        <w:tc>
          <w:tcPr>
            <w:tcW w:type="pct" w:w="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R3</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PMMC API not available for export workflow integration</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Regulatory</w:t>
            </w:r>
          </w:p>
        </w:tc>
        <w:tc>
          <w:tcPr>
            <w:tcW w:type="pct" w:w="11%"/>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High</w:t>
            </w:r>
          </w:p>
        </w:tc>
        <w:tc>
          <w:tcPr>
            <w:tcW w:type="pct" w:w="1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MVP delivers audit-package export only; full PMMC integration deferred to Phase 3 with manual workaround in interim.</w:t>
            </w:r>
          </w:p>
        </w:tc>
      </w:tr>
      <w:tr>
        <w:trPr>
          <w:cantSplit/>
        </w:trPr>
        <w:tc>
          <w:tcPr>
            <w:tcW w:type="pct" w:w="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R4</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LBMA responsible-sourcing audit fails on platform design</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w:t>
            </w:r>
          </w:p>
        </w:tc>
        <w:tc>
          <w:tcPr>
            <w:tcW w:type="pct" w:w="11%"/>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Low</w:t>
            </w:r>
          </w:p>
        </w:tc>
        <w:tc>
          <w:tcPr>
            <w:tcW w:type="pct" w:w="1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Very High</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Engage LBMA-aligned auditor in M2 Design; pre-validate audit-log architecture against LBMA Responsible Gold Guidance.</w:t>
            </w:r>
          </w:p>
        </w:tc>
      </w:tr>
      <w:tr>
        <w:trPr>
          <w:cantSplit/>
        </w:trPr>
        <w:tc>
          <w:tcPr>
            <w:tcW w:type="pct" w:w="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R5</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 member adoption below projection (&lt; 250 verified by Y1 end)</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Market</w:t>
            </w:r>
          </w:p>
        </w:tc>
        <w:tc>
          <w:tcPr>
            <w:tcW w:type="pct" w:w="11%"/>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1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High</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Co-funded marketing with Chamber; 14-day free Professional trial; in-person demo events in Accra, Kumasi, Tarkwa; PM triggers revenue-model refresh if Q2 actuals &gt; 20% below plan.</w:t>
            </w:r>
          </w:p>
        </w:tc>
      </w:tr>
      <w:tr>
        <w:trPr>
          <w:cantSplit/>
        </w:trPr>
        <w:tc>
          <w:tcPr>
            <w:tcW w:type="pct" w:w="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R6</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Competitor launches a Ghana-region gold trading platform</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Market</w:t>
            </w:r>
          </w:p>
        </w:tc>
        <w:tc>
          <w:tcPr>
            <w:tcW w:type="pct" w:w="11%"/>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Low</w:t>
            </w:r>
          </w:p>
        </w:tc>
        <w:tc>
          <w:tcPr>
            <w:tcW w:type="pct" w:w="1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High</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5-year exclusive revenue-share contract with Chamber; the contract is the moat. Maintain feature velocity via Phase 3–4 roadmap.</w:t>
            </w:r>
          </w:p>
        </w:tc>
      </w:tr>
      <w:tr>
        <w:trPr>
          <w:cantSplit/>
        </w:trPr>
        <w:tc>
          <w:tcPr>
            <w:tcW w:type="pct" w:w="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R7</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Key person dependency (CTO or Lead Backend Engineer leaves)</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Operational</w:t>
            </w:r>
          </w:p>
        </w:tc>
        <w:tc>
          <w:tcPr>
            <w:tcW w:type="pct" w:w="11%"/>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1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High</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Document architecture decision records; pair-programming on audit-log module; key-person insurance for CTO; competitive retention package.</w:t>
            </w:r>
          </w:p>
        </w:tc>
      </w:tr>
      <w:tr>
        <w:trPr>
          <w:cantSplit/>
        </w:trPr>
        <w:tc>
          <w:tcPr>
            <w:tcW w:type="pct" w:w="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R8</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AWS Ghana region not generally available during build window</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Technical</w:t>
            </w:r>
          </w:p>
        </w:tc>
        <w:tc>
          <w:tcPr>
            <w:tcW w:type="pct" w:w="11%"/>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1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Fallback to AWS af-south-1 (Cape Town) with contractual data-residency terms; revisit Ghana region when available.</w:t>
            </w:r>
          </w:p>
        </w:tc>
      </w:tr>
      <w:tr>
        <w:trPr>
          <w:cantSplit/>
        </w:trPr>
        <w:tc>
          <w:tcPr>
            <w:tcW w:type="pct" w:w="5%"/>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R9</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0.10% transaction fee rejected by Tier 1 buyers as too high</w:t>
            </w:r>
          </w:p>
        </w:tc>
        <w:tc>
          <w:tcPr>
            <w:tcW w:type="pct" w:w="1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Market</w:t>
            </w:r>
          </w:p>
        </w:tc>
        <w:tc>
          <w:tcPr>
            <w:tcW w:type="pct" w:w="11%"/>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Low</w:t>
            </w:r>
          </w:p>
        </w:tc>
        <w:tc>
          <w:tcPr>
            <w:tcW w:type="pct" w:w="1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Hybrid fee structure already includes cap-at-maximum option; Enterprise tier negotiates volume-based discounts; PM reviews fee sensitivity in Q1 post-launch.</w:t>
            </w:r>
          </w:p>
        </w:tc>
      </w:tr>
      <w:tr>
        <w:trPr>
          <w:cantSplit/>
        </w:trPr>
        <w:tc>
          <w:tcPr>
            <w:tcW w:type="pct" w:w="5%"/>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R10</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Ghana AML Act 2020 amendment increases KYC requirements mid-build</w:t>
            </w:r>
          </w:p>
        </w:tc>
        <w:tc>
          <w:tcPr>
            <w:tcW w:type="pct" w:w="1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Regulatory</w:t>
            </w:r>
          </w:p>
        </w:tc>
        <w:tc>
          <w:tcPr>
            <w:tcW w:type="pct" w:w="11%"/>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Low</w:t>
            </w:r>
          </w:p>
        </w:tc>
        <w:tc>
          <w:tcPr>
            <w:tcW w:type="pct" w:w="1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Medium</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Maintain quarterly legal review with external counsel; design KYC module to be configurable rather than hard-coded.</w:t>
            </w:r>
          </w:p>
        </w:tc>
      </w:tr>
    </w:tbl>
    <w:p>
      <w:pPr>
        <w:keepNext/>
        <w:spacing w:after="200" w:before="60" w:line="280" w:lineRule="auto"/>
        <w:jc w:val="left"/>
      </w:pPr>
      <w:r>
        <w:rPr>
          <w:rFonts w:ascii="Calibri"/>
          <w:b/>
          <w:bCs/>
          <w:color w:val="5A6068"/>
          <w:sz w:val="18"/>
          <w:szCs w:val="18"/>
        </w:rPr>
        <w:t xml:space="preserve">Table 4.5. </w:t>
      </w:r>
      <w:r>
        <w:rPr>
          <w:rFonts w:ascii="Calibri"/>
          <w:i/>
          <w:iCs/>
          <w:color w:val="5A6068"/>
          <w:sz w:val="18"/>
          <w:szCs w:val="18"/>
        </w:rPr>
        <w:t xml:space="preserve">Top 10 risks with explicit mitigations. Risk register is maintained live in Confluence; new risks are added as discovered.</w:t>
      </w:r>
    </w:p>
    <w:p>
      <w:pPr>
        <w:pStyle w:val="Heading3"/>
        <w:spacing w:after="120" w:before="240" w:line="320" w:lineRule="atLeast"/>
      </w:pPr>
      <w:bookmarkStart w:id="100063" w:name="_Toc100063"/>
      <w:r>
        <w:rPr>
          <w:rFonts w:ascii="Calibri"/>
          <w:b/>
          <w:bCs/>
          <w:color w:val="1A1A1A"/>
          <w:sz w:val="24"/>
          <w:szCs w:val="24"/>
        </w:rPr>
        <w:t xml:space="preserve">8.2 Assumptions</w:t>
      </w:r>
      <w:bookmarkEnd w:id="100063"/>
    </w:p>
    <w:p>
      <w:pPr>
        <w:spacing w:after="140" w:line="312" w:lineRule="auto"/>
        <w:jc w:val="both"/>
      </w:pPr>
      <w:r>
        <w:rPr>
          <w:rFonts w:ascii="Calibri"/>
          <w:color w:val="1A1A1A"/>
          <w:sz w:val="22"/>
          <w:szCs w:val="22"/>
        </w:rPr>
        <w:t xml:space="preserve">The following assumptions must hold for this Charter and the supporting Financial Documentation to be valid. If any assumption is invalidated, the Charter must be re-baselined.</w:t>
      </w:r>
    </w:p>
    <w:p>
      <w:pPr>
        <w:pStyle w:val="ListParagraph"/>
        <w:numPr>
          <w:ilvl w:val="0"/>
          <w:numId w:val="1"/>
        </w:numPr>
        <w:spacing w:after="80" w:line="300" w:lineRule="auto"/>
        <w:jc w:val="left"/>
      </w:pPr>
      <w:r>
        <w:rPr>
          <w:rFonts w:ascii="Calibri"/>
          <w:color w:val="1A1A1A"/>
          <w:sz w:val="22"/>
          <w:szCs w:val="22"/>
        </w:rPr>
        <w:t xml:space="preserve">The Ghana Chamber of Gold Buyers signs the 5-year exclusive revenue-sharing agreement before MVP launch.</w:t>
      </w:r>
    </w:p>
    <w:p>
      <w:pPr>
        <w:pStyle w:val="ListParagraph"/>
        <w:numPr>
          <w:ilvl w:val="0"/>
          <w:numId w:val="1"/>
        </w:numPr>
        <w:spacing w:after="80" w:line="300" w:lineRule="auto"/>
        <w:jc w:val="left"/>
      </w:pPr>
      <w:r>
        <w:rPr>
          <w:rFonts w:ascii="Calibri"/>
          <w:color w:val="1A1A1A"/>
          <w:sz w:val="22"/>
          <w:szCs w:val="22"/>
        </w:rPr>
        <w:t xml:space="preserve">At least one LBMA-aligned Ghana-licensed bank (Stanbic or Ecobank) agrees to provide escrow services within 90 days of Charter sign-off.</w:t>
      </w:r>
    </w:p>
    <w:p>
      <w:pPr>
        <w:pStyle w:val="ListParagraph"/>
        <w:numPr>
          <w:ilvl w:val="0"/>
          <w:numId w:val="1"/>
        </w:numPr>
        <w:spacing w:after="80" w:line="300" w:lineRule="auto"/>
        <w:jc w:val="left"/>
      </w:pPr>
      <w:r>
        <w:rPr>
          <w:rFonts w:ascii="Calibri"/>
          <w:color w:val="1A1A1A"/>
          <w:sz w:val="22"/>
          <w:szCs w:val="22"/>
        </w:rPr>
        <w:t xml:space="preserve">Smile Identity (or Youverify) confirms Ghana KYC API availability with 30-second p95 latency.</w:t>
      </w:r>
    </w:p>
    <w:p>
      <w:pPr>
        <w:pStyle w:val="ListParagraph"/>
        <w:numPr>
          <w:ilvl w:val="0"/>
          <w:numId w:val="1"/>
        </w:numPr>
        <w:spacing w:after="80" w:line="300" w:lineRule="auto"/>
        <w:jc w:val="left"/>
      </w:pPr>
      <w:r>
        <w:rPr>
          <w:rFonts w:ascii="Calibri"/>
          <w:color w:val="1A1A1A"/>
          <w:sz w:val="22"/>
          <w:szCs w:val="22"/>
        </w:rPr>
        <w:t xml:space="preserve">AWS Ghana region is generally available by 1 December 2026 (fallback: AWS af-south-1 with data-residency terms).</w:t>
      </w:r>
    </w:p>
    <w:p>
      <w:pPr>
        <w:pStyle w:val="ListParagraph"/>
        <w:numPr>
          <w:ilvl w:val="0"/>
          <w:numId w:val="1"/>
        </w:numPr>
        <w:spacing w:after="80" w:line="300" w:lineRule="auto"/>
        <w:jc w:val="left"/>
      </w:pPr>
      <w:r>
        <w:rPr>
          <w:rFonts w:ascii="Calibri"/>
          <w:color w:val="1A1A1A"/>
          <w:sz w:val="22"/>
          <w:szCs w:val="22"/>
        </w:rPr>
        <w:t xml:space="preserve">The Chamber's 1,500 licensed members is an accurate figure (verifiable via Chamber registry).</w:t>
      </w:r>
    </w:p>
    <w:p>
      <w:pPr>
        <w:pStyle w:val="ListParagraph"/>
        <w:numPr>
          <w:ilvl w:val="0"/>
          <w:numId w:val="1"/>
        </w:numPr>
        <w:spacing w:after="80" w:line="300" w:lineRule="auto"/>
        <w:jc w:val="left"/>
      </w:pPr>
      <w:r>
        <w:rPr>
          <w:rFonts w:ascii="Calibri"/>
          <w:color w:val="1A1A1A"/>
          <w:sz w:val="22"/>
          <w:szCs w:val="22"/>
        </w:rPr>
        <w:t xml:space="preserve">17% of Chamber members adopt the platform within 12 months of launch (250 verified members by Y1 end).</w:t>
      </w:r>
    </w:p>
    <w:p>
      <w:pPr>
        <w:pStyle w:val="ListParagraph"/>
        <w:numPr>
          <w:ilvl w:val="0"/>
          <w:numId w:val="1"/>
        </w:numPr>
        <w:spacing w:after="80" w:line="300" w:lineRule="auto"/>
        <w:jc w:val="left"/>
      </w:pPr>
      <w:r>
        <w:rPr>
          <w:rFonts w:ascii="Calibri"/>
          <w:color w:val="1A1A1A"/>
          <w:sz w:val="22"/>
          <w:szCs w:val="22"/>
        </w:rPr>
        <w:t xml:space="preserve">Average trade value of US$120,000 (≈ 1.8 kg at US$65,000/kg) is representative of Chamber-member trades.</w:t>
      </w:r>
    </w:p>
    <w:p>
      <w:pPr>
        <w:pStyle w:val="ListParagraph"/>
        <w:numPr>
          <w:ilvl w:val="0"/>
          <w:numId w:val="1"/>
        </w:numPr>
        <w:spacing w:after="80" w:line="300" w:lineRule="auto"/>
        <w:jc w:val="left"/>
      </w:pPr>
      <w:r>
        <w:rPr>
          <w:rFonts w:ascii="Calibri"/>
          <w:color w:val="1A1A1A"/>
          <w:sz w:val="22"/>
          <w:szCs w:val="22"/>
        </w:rPr>
        <w:t xml:space="preserve">Annual churn of 12% blended (15% buyer / 8% seller) is achievable.</w:t>
      </w:r>
    </w:p>
    <w:p>
      <w:pPr>
        <w:pStyle w:val="ListParagraph"/>
        <w:numPr>
          <w:ilvl w:val="0"/>
          <w:numId w:val="1"/>
        </w:numPr>
        <w:spacing w:after="80" w:line="300" w:lineRule="auto"/>
        <w:jc w:val="left"/>
      </w:pPr>
      <w:r>
        <w:rPr>
          <w:rFonts w:ascii="Calibri"/>
          <w:color w:val="1A1A1A"/>
          <w:sz w:val="22"/>
          <w:szCs w:val="22"/>
        </w:rPr>
        <w:t xml:space="preserve">The 18-month OpEx runway of approximately US$677,500 is funded by Sahel Systems' balance sheet.</w:t>
      </w:r>
    </w:p>
    <w:p>
      <w:pPr>
        <w:pStyle w:val="ListParagraph"/>
        <w:numPr>
          <w:ilvl w:val="0"/>
          <w:numId w:val="1"/>
        </w:numPr>
        <w:spacing w:after="80" w:line="300" w:lineRule="auto"/>
        <w:jc w:val="left"/>
      </w:pPr>
      <w:r>
        <w:rPr>
          <w:rFonts w:ascii="Calibri"/>
          <w:color w:val="1A1A1A"/>
          <w:sz w:val="22"/>
          <w:szCs w:val="22"/>
        </w:rPr>
        <w:t xml:space="preserve">A Series A bridge round of US$500K closes by month 18 to cover months 18–22 (the gap between runway end and break-even).</w:t>
      </w:r>
    </w:p>
    <w:p>
      <w:pPr>
        <w:pStyle w:val="Heading3"/>
        <w:spacing w:after="120" w:before="240" w:line="320" w:lineRule="atLeast"/>
      </w:pPr>
      <w:bookmarkStart w:id="100064" w:name="_Toc100064"/>
      <w:r>
        <w:rPr>
          <w:rFonts w:ascii="Calibri"/>
          <w:b/>
          <w:bCs/>
          <w:color w:val="1A1A1A"/>
          <w:sz w:val="24"/>
          <w:szCs w:val="24"/>
        </w:rPr>
        <w:t xml:space="preserve">8.3 Regulatory &amp; Compliance Constraints</w:t>
      </w:r>
      <w:bookmarkEnd w:id="100064"/>
    </w:p>
    <w:p>
      <w:pPr>
        <w:pStyle w:val="ListParagraph"/>
        <w:numPr>
          <w:ilvl w:val="0"/>
          <w:numId w:val="1"/>
        </w:numPr>
        <w:spacing w:after="80" w:line="300" w:lineRule="auto"/>
        <w:jc w:val="left"/>
      </w:pPr>
      <w:r>
        <w:rPr>
          <w:rFonts w:ascii="Calibri"/>
          <w:b/>
          <w:bCs/>
          <w:color w:val="1A1A1A"/>
          <w:sz w:val="22"/>
          <w:szCs w:val="22"/>
        </w:rPr>
        <w:t xml:space="preserve">Ghana AML Act 2020 (Act 1046): </w:t>
      </w:r>
      <w:r>
        <w:rPr>
          <w:rFonts w:ascii="Calibri"/>
          <w:color w:val="1A1A1A"/>
          <w:sz w:val="22"/>
          <w:szCs w:val="22"/>
        </w:rPr>
        <w:t xml:space="preserve">KYC/AML requirements for DNFBPs; platform must support ongoing monitoring and suspicious-activity reporting.</w:t>
      </w:r>
    </w:p>
    <w:p>
      <w:pPr>
        <w:pStyle w:val="ListParagraph"/>
        <w:numPr>
          <w:ilvl w:val="0"/>
          <w:numId w:val="1"/>
        </w:numPr>
        <w:spacing w:after="80" w:line="300" w:lineRule="auto"/>
        <w:jc w:val="left"/>
      </w:pPr>
      <w:r>
        <w:rPr>
          <w:rFonts w:ascii="Calibri"/>
          <w:b/>
          <w:bCs/>
          <w:color w:val="1A1A1A"/>
          <w:sz w:val="22"/>
          <w:szCs w:val="22"/>
        </w:rPr>
        <w:t xml:space="preserve">Ghana Data Protection Act 2012 (Act 843): </w:t>
      </w:r>
      <w:r>
        <w:rPr>
          <w:rFonts w:ascii="Calibri"/>
          <w:color w:val="1A1A1A"/>
          <w:sz w:val="22"/>
          <w:szCs w:val="22"/>
        </w:rPr>
        <w:t xml:space="preserve">PII handling, data subject rights, breach notification within 72 hours; data residency in Ghana.</w:t>
      </w:r>
    </w:p>
    <w:p>
      <w:pPr>
        <w:pStyle w:val="ListParagraph"/>
        <w:numPr>
          <w:ilvl w:val="0"/>
          <w:numId w:val="1"/>
        </w:numPr>
        <w:spacing w:after="80" w:line="300" w:lineRule="auto"/>
        <w:jc w:val="left"/>
      </w:pPr>
      <w:r>
        <w:rPr>
          <w:rFonts w:ascii="Calibri"/>
          <w:b/>
          <w:bCs/>
          <w:color w:val="1A1A1A"/>
          <w:sz w:val="22"/>
          <w:szCs w:val="22"/>
        </w:rPr>
        <w:t xml:space="preserve">Minerals Commission licensing: </w:t>
      </w:r>
      <w:r>
        <w:rPr>
          <w:rFonts w:ascii="Calibri"/>
          <w:color w:val="1A1A1A"/>
          <w:sz w:val="22"/>
          <w:szCs w:val="22"/>
        </w:rPr>
        <w:t xml:space="preserve">Every seller must hold a valid licence; platform must verify and re-verify monthly.</w:t>
      </w:r>
    </w:p>
    <w:p>
      <w:pPr>
        <w:pStyle w:val="ListParagraph"/>
        <w:numPr>
          <w:ilvl w:val="0"/>
          <w:numId w:val="1"/>
        </w:numPr>
        <w:spacing w:after="80" w:line="300" w:lineRule="auto"/>
        <w:jc w:val="left"/>
      </w:pPr>
      <w:r>
        <w:rPr>
          <w:rFonts w:ascii="Calibri"/>
          <w:b/>
          <w:bCs/>
          <w:color w:val="1A1A1A"/>
          <w:sz w:val="22"/>
          <w:szCs w:val="22"/>
        </w:rPr>
        <w:t xml:space="preserve">PMMC export certification: </w:t>
      </w:r>
      <w:r>
        <w:rPr>
          <w:rFonts w:ascii="Calibri"/>
          <w:color w:val="1A1A1A"/>
          <w:sz w:val="22"/>
          <w:szCs w:val="22"/>
        </w:rPr>
        <w:t xml:space="preserve">Every trade intended for export must be PMMC-released; MVP supports audit-package export only, full PMMC API integration in Phase 3.</w:t>
      </w:r>
    </w:p>
    <w:p>
      <w:pPr>
        <w:pStyle w:val="ListParagraph"/>
        <w:numPr>
          <w:ilvl w:val="0"/>
          <w:numId w:val="1"/>
        </w:numPr>
        <w:spacing w:after="80" w:line="300" w:lineRule="auto"/>
        <w:jc w:val="left"/>
      </w:pPr>
      <w:r>
        <w:rPr>
          <w:rFonts w:ascii="Calibri"/>
          <w:b/>
          <w:bCs/>
          <w:color w:val="1A1A1A"/>
          <w:sz w:val="22"/>
          <w:szCs w:val="22"/>
        </w:rPr>
        <w:t xml:space="preserve">LBMA Responsible Gold Guidance: </w:t>
      </w:r>
      <w:r>
        <w:rPr>
          <w:rFonts w:ascii="Calibri"/>
          <w:color w:val="1A1A1A"/>
          <w:sz w:val="22"/>
          <w:szCs w:val="22"/>
        </w:rPr>
        <w:t xml:space="preserve">Audit trail must support responsible-sourcing attestation; LBMA-aligned auditor engaged in M2 Design.</w:t>
      </w:r>
    </w:p>
    <w:p>
      <w:pPr>
        <w:pStyle w:val="ListParagraph"/>
        <w:numPr>
          <w:ilvl w:val="0"/>
          <w:numId w:val="1"/>
        </w:numPr>
        <w:spacing w:after="80" w:line="300" w:lineRule="auto"/>
        <w:jc w:val="left"/>
      </w:pPr>
      <w:r>
        <w:rPr>
          <w:rFonts w:ascii="Calibri"/>
          <w:b/>
          <w:bCs/>
          <w:color w:val="1A1A1A"/>
          <w:sz w:val="22"/>
          <w:szCs w:val="22"/>
        </w:rPr>
        <w:t xml:space="preserve">OECD Due Diligence Guidance: </w:t>
      </w:r>
      <w:r>
        <w:rPr>
          <w:rFonts w:ascii="Calibri"/>
          <w:color w:val="1A1A1A"/>
          <w:sz w:val="22"/>
          <w:szCs w:val="22"/>
        </w:rPr>
        <w:t xml:space="preserve">Chain-of-custody documentation for international buyers; audit-log architecture designed to satisfy.</w:t>
      </w:r>
    </w:p>
    <w:p>
      <w:pPr>
        <w:pStyle w:val="ListParagraph"/>
        <w:numPr>
          <w:ilvl w:val="0"/>
          <w:numId w:val="1"/>
        </w:numPr>
        <w:spacing w:after="80" w:line="300" w:lineRule="auto"/>
        <w:jc w:val="left"/>
      </w:pPr>
      <w:r>
        <w:rPr>
          <w:rFonts w:ascii="Calibri"/>
          <w:b/>
          <w:bCs/>
          <w:color w:val="1A1A1A"/>
          <w:sz w:val="22"/>
          <w:szCs w:val="22"/>
        </w:rPr>
        <w:t xml:space="preserve">SOC 2 Type II: </w:t>
      </w:r>
      <w:r>
        <w:rPr>
          <w:rFonts w:ascii="Calibri"/>
          <w:color w:val="1A1A1A"/>
          <w:sz w:val="22"/>
          <w:szCs w:val="22"/>
        </w:rPr>
        <w:t xml:space="preserve">Annual attestation by external auditor; report issued by 31 December 2027 (O7).</w:t>
      </w:r>
    </w:p>
    <w:p>
      <w:pPr>
        <w:pStyle w:val="ListParagraph"/>
        <w:numPr>
          <w:ilvl w:val="0"/>
          <w:numId w:val="1"/>
        </w:numPr>
        <w:spacing w:after="80" w:line="300" w:lineRule="auto"/>
        <w:jc w:val="left"/>
      </w:pPr>
      <w:r>
        <w:rPr>
          <w:rFonts w:ascii="Calibri"/>
          <w:b/>
          <w:bCs/>
          <w:color w:val="1A1A1A"/>
          <w:sz w:val="22"/>
          <w:szCs w:val="22"/>
        </w:rPr>
        <w:t xml:space="preserve">ISO 27001 ISMS: </w:t>
      </w:r>
      <w:r>
        <w:rPr>
          <w:rFonts w:ascii="Calibri"/>
          <w:color w:val="1A1A1A"/>
          <w:sz w:val="22"/>
          <w:szCs w:val="22"/>
        </w:rPr>
        <w:t xml:space="preserve">Certification pursued in Year 2 post-launch.</w:t>
      </w:r>
    </w:p>
    <w:p>
      <w:pPr>
        <w:pStyle w:val="ListParagraph"/>
        <w:numPr>
          <w:ilvl w:val="0"/>
          <w:numId w:val="1"/>
        </w:numPr>
        <w:spacing w:after="80" w:line="300" w:lineRule="auto"/>
        <w:jc w:val="left"/>
      </w:pPr>
      <w:r>
        <w:rPr>
          <w:rFonts w:ascii="Calibri"/>
          <w:b/>
          <w:bCs/>
          <w:color w:val="1A1A1A"/>
          <w:sz w:val="22"/>
          <w:szCs w:val="22"/>
        </w:rPr>
        <w:t xml:space="preserve">PCI DSS Level 1: </w:t>
      </w:r>
      <w:r>
        <w:rPr>
          <w:rFonts w:ascii="Calibri"/>
          <w:color w:val="1A1A1A"/>
          <w:sz w:val="22"/>
          <w:szCs w:val="22"/>
        </w:rPr>
        <w:t xml:space="preserve">Required for escrow and payment integration; achieved via partner bank's PCI scope (Sahel Systems does not directly handle PANs).</w:t>
      </w:r>
    </w:p>
    <w:p>
      <w:pPr>
        <w:pStyle w:val="ListParagraph"/>
        <w:numPr>
          <w:ilvl w:val="0"/>
          <w:numId w:val="1"/>
        </w:numPr>
        <w:spacing w:after="80" w:line="300" w:lineRule="auto"/>
        <w:jc w:val="left"/>
      </w:pPr>
      <w:r>
        <w:rPr>
          <w:rFonts w:ascii="Calibri"/>
          <w:b/>
          <w:bCs/>
          <w:color w:val="1A1A1A"/>
          <w:sz w:val="22"/>
          <w:szCs w:val="22"/>
        </w:rPr>
        <w:t xml:space="preserve">GDPR equivalence: </w:t>
      </w:r>
      <w:r>
        <w:rPr>
          <w:rFonts w:ascii="Calibri"/>
          <w:color w:val="1A1A1A"/>
          <w:sz w:val="22"/>
          <w:szCs w:val="22"/>
        </w:rPr>
        <w:t xml:space="preserve">For international Tier 1 buyers' data; treated under Ghana DPA 2012 with contractual GDPR-equivalence provisions in member terms.</w:t>
      </w:r>
    </w:p>
    <w:p>
      <w:pPr>
        <w:pStyle w:val="Heading2"/>
        <w:spacing w:after="160" w:before="360" w:line="340" w:lineRule="atLeast"/>
      </w:pPr>
      <w:bookmarkStart w:id="100065" w:name="_Toc100065"/>
      <w:r>
        <w:rPr>
          <w:rFonts w:ascii="Calibri"/>
          <w:b/>
          <w:bCs/>
          <w:color w:val="1A1A1A"/>
          <w:sz w:val="28"/>
          <w:szCs w:val="28"/>
        </w:rPr>
        <w:t xml:space="preserve">9. Success Metrics (KPIs)</w:t>
      </w:r>
      <w:bookmarkEnd w:id="100065"/>
    </w:p>
    <w:p>
      <w:pPr>
        <w:spacing w:after="140" w:line="312" w:lineRule="auto"/>
        <w:jc w:val="both"/>
      </w:pPr>
      <w:r>
        <w:rPr>
          <w:rFonts w:ascii="Calibri"/>
          <w:color w:val="1A1A1A"/>
          <w:sz w:val="22"/>
          <w:szCs w:val="22"/>
        </w:rPr>
        <w:t xml:space="preserve">Success is defined as the achievement of the SMART objectives in Section 3, measured against the KPIs below. A green status requires all Critical KPIs to be on target; amber allows one Critical KPI to be off-target with a remediation plan; red triggers Steering Committee intervention. The KPI dashboard is reviewed monthly at the Steering Committee meeting.</w:t>
      </w:r>
    </w:p>
    <w:p>
      <w:pPr>
        <w:keepNext/>
        <w:spacing w:after="80" w:before="200" w:line="280" w:lineRule="auto"/>
        <w:jc w:val="left"/>
      </w:pPr>
      <w:r>
        <w:rPr>
          <w:rFonts w:ascii="Calibri"/>
          <w:b/>
          <w:bCs/>
          <w:color w:val="1A1A1A"/>
          <w:sz w:val="22"/>
          <w:szCs w:val="22"/>
        </w:rPr>
        <w:t xml:space="preserve">Table 4.6. </w:t>
      </w:r>
      <w:r>
        <w:rPr>
          <w:rFonts w:ascii="Calibri"/>
          <w:b/>
          <w:bCs/>
          <w:color w:val="1A1A1A"/>
          <w:sz w:val="22"/>
          <w:szCs w:val="22"/>
        </w:rPr>
        <w:t xml:space="preserve">Success Metrics (KPIs)</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KPI</w:t>
            </w:r>
          </w:p>
        </w:tc>
        <w:tc>
          <w:tcPr>
            <w:tcW w:type="pct" w:w="1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Category</w:t>
            </w:r>
          </w:p>
        </w:tc>
        <w:tc>
          <w:tcPr>
            <w:tcW w:type="pct" w:w="3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Target</w:t>
            </w:r>
          </w:p>
        </w:tc>
        <w:tc>
          <w:tcPr>
            <w:tcW w:type="pct" w:w="18%"/>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Measurement Cadence</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Verified member count</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Adoption</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250 by Y1 end; 1,050 by Y5 end</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Trade volume (US$M)</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Adoption</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US$350M Y1; ≥ US$1,822M Y5</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Monthly</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System uptime</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Reliability</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99.9% monthly</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Continuous</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P95 API response time</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Performance</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&lt; 500ms for all critical endpoints</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Continuous</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Critical-severity security findings</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Security</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 at launch; ≤ 2 per quarter (with remediation)</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Per release + quarterly</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SOC 2 Type II attestation</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Report issued by 31 Dec 2027</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Annual</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NPS (Net Promoter Score)</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Satisfaction</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40 (Year 1); ≥ 50 (Year 3)</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LTV:CAC ratio</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Unit economics</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3:1 (Year 1); ≥ 5:1 (Year 3)</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Annual churn (blended)</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Retention</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15%</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Net Revenue Retention</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Retention</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100% (Year 1); ≥ 110% (Year 3)</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CAC payback period</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Unit economics</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 12 months</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Quarterly</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Break-even date</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Financial</w:t>
            </w:r>
          </w:p>
        </w:tc>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Month 22 (revised: Q4 2029 per Charter reconciliation)</w:t>
            </w:r>
          </w:p>
        </w:tc>
        <w:tc>
          <w:tcPr>
            <w:tcW w:type="pct" w:w="18%"/>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Continuous</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incidents</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Risk</w:t>
            </w:r>
          </w:p>
        </w:tc>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0 per quarter (target); any incident → 24-hour sponsor notification</w:t>
            </w:r>
          </w:p>
        </w:tc>
        <w:tc>
          <w:tcPr>
            <w:tcW w:type="pct" w:w="18%"/>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Continuous</w:t>
            </w:r>
          </w:p>
        </w:tc>
      </w:tr>
    </w:tbl>
    <w:p>
      <w:pPr>
        <w:keepNext/>
        <w:spacing w:after="200" w:before="60" w:line="280" w:lineRule="auto"/>
        <w:jc w:val="left"/>
      </w:pPr>
      <w:r>
        <w:rPr>
          <w:rFonts w:ascii="Calibri"/>
          <w:b/>
          <w:bCs/>
          <w:color w:val="5A6068"/>
          <w:sz w:val="18"/>
          <w:szCs w:val="18"/>
        </w:rPr>
        <w:t xml:space="preserve">Table 4.6. </w:t>
      </w:r>
      <w:r>
        <w:rPr>
          <w:rFonts w:ascii="Calibri"/>
          <w:i/>
          <w:iCs/>
          <w:color w:val="5A6068"/>
          <w:sz w:val="18"/>
          <w:szCs w:val="18"/>
        </w:rPr>
        <w:t xml:space="preserve">Thirteen KPIs covering adoption, reliability, security, compliance, satisfaction, unit economics, retention, and financial break-even.</w:t>
      </w:r>
    </w:p>
    <w:p>
      <w:pPr>
        <w:pStyle w:val="Heading3"/>
        <w:spacing w:after="120" w:before="240" w:line="320" w:lineRule="atLeast"/>
      </w:pPr>
      <w:bookmarkStart w:id="100066" w:name="_Toc100066"/>
      <w:r>
        <w:rPr>
          <w:rFonts w:ascii="Calibri"/>
          <w:b/>
          <w:bCs/>
          <w:color w:val="1A1A1A"/>
          <w:sz w:val="24"/>
          <w:szCs w:val="24"/>
        </w:rPr>
        <w:t xml:space="preserve">9.1 Definition of Done</w:t>
      </w:r>
      <w:bookmarkEnd w:id="100066"/>
    </w:p>
    <w:p>
      <w:pPr>
        <w:spacing w:after="140" w:line="312" w:lineRule="auto"/>
        <w:jc w:val="both"/>
      </w:pPr>
      <w:r>
        <w:rPr>
          <w:rFonts w:ascii="Calibri"/>
          <w:color w:val="1A1A1A"/>
          <w:sz w:val="22"/>
          <w:szCs w:val="22"/>
        </w:rPr>
        <w:t xml:space="preserve">The MVP is 'Done' when: (i) all Phase 1 + Phase 2 features are deployed to production on AWS Ghana; (ii) the first real gold trade has been settled end-to-end through the platform's escrow workflow; (iii) the pre-launch penetration test reports 0 critical-severity findings; (iv) at least 3 pilot members have completed UAT with NPS ≥ 30; (v) the SOC 2 Type II readiness engagement is complete and the year-1 attestation window is open; (vi) the Chamber partnership contract is signed; and (vii) the audit-log design document has been reviewed by the external security auditor. Items (i)–(vii) must all be complete before the Sponsor signs the Launch Authorization.</w:t>
      </w:r>
    </w:p>
    <w:p>
      <w:pPr>
        <w:pStyle w:val="Heading2"/>
        <w:spacing w:after="160" w:before="360" w:line="340" w:lineRule="atLeast"/>
      </w:pPr>
      <w:bookmarkStart w:id="100067" w:name="_Toc100067"/>
      <w:r>
        <w:rPr>
          <w:rFonts w:ascii="Calibri"/>
          <w:b/>
          <w:bCs/>
          <w:color w:val="1A1A1A"/>
          <w:sz w:val="28"/>
          <w:szCs w:val="28"/>
        </w:rPr>
        <w:t xml:space="preserve">10. Authorization</w:t>
      </w:r>
      <w:bookmarkEnd w:id="100067"/>
    </w:p>
    <w:p>
      <w:pPr>
        <w:spacing w:after="140" w:line="312" w:lineRule="auto"/>
        <w:jc w:val="both"/>
      </w:pPr>
      <w:r>
        <w:rPr>
          <w:rFonts w:ascii="Calibri"/>
          <w:color w:val="1A1A1A"/>
          <w:sz w:val="22"/>
          <w:szCs w:val="22"/>
        </w:rPr>
        <w:t xml:space="preserve">By signing below, the Sponsor authorizes the Project Manager to expend resources within the scope and budget defined in this Charter, including the US$449,075 CapEx budget (Table 3.1) and the 18-month OpEx runway of approximately US$677,500 (Financial Doc Section B). The Sponsor grants the PM authority to make day-to-day scope and prioritization decisions, to draw down contingency up to US$20K without further approval, and to escalate to the Sponsor for any change exceeding the thresholds defined in Table 3.8. This Charter is binding upon signature and remains in force until the project is formally closed by the Sponsor or until a successor Charter is signed.</w:t>
      </w:r>
    </w:p>
    <w:p>
      <w:pPr>
        <w:spacing w:after="0" w:before="240"/>
      </w:pPr>
    </w:p>
    <w:p>
      <w:pPr>
        <w:spacing w:after="80" w:before="200"/>
        <w:jc w:val="left"/>
      </w:pPr>
      <w:r>
        <w:rPr>
          <w:rFonts w:ascii="Calibri"/>
          <w:b/>
          <w:bCs/>
          <w:color w:val="1A1A1A"/>
          <w:sz w:val="24"/>
          <w:szCs w:val="24"/>
        </w:rPr>
        <w:t xml:space="preserve">Sponsor Authorization:</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tblGrid>
      <w:tr>
        <w:trPr>
          <w:cantSplit/>
          <w:tblHeader/>
        </w:trPr>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Field</w:t>
            </w:r>
          </w:p>
        </w:tc>
        <w:tc>
          <w:tcPr>
            <w:tcW w:type="pct" w:w="7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Value</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Name</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【Sponsor name】</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Title</w:t>
            </w:r>
          </w:p>
        </w:tc>
        <w:tc>
          <w:tcPr>
            <w:tcW w:type="pct" w:w="7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Chief Executive Officer, Sahel Systems &amp; Solutions</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Signature</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______________________________________________________________</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Date</w:t>
            </w:r>
          </w:p>
        </w:tc>
        <w:tc>
          <w:tcPr>
            <w:tcW w:type="pct" w:w="7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____ / ____ / 2026</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Explicit grant of authority</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The PM is hereby authorized to expend resources within the US$450,000 CapEx ceiling and the 18-month OpEx runway defined in this Charter, subject to the change-control thresholds in Table 3.8.</w:t>
            </w:r>
          </w:p>
        </w:tc>
      </w:tr>
    </w:tbl>
    <w:p>
      <w:pPr>
        <w:spacing w:after="0" w:before="240"/>
      </w:pPr>
    </w:p>
    <w:p>
      <w:pPr>
        <w:spacing w:after="80" w:before="200"/>
        <w:jc w:val="left"/>
      </w:pPr>
      <w:r>
        <w:rPr>
          <w:rFonts w:ascii="Calibri"/>
          <w:b/>
          <w:bCs/>
          <w:color w:val="1A1A1A"/>
          <w:sz w:val="24"/>
          <w:szCs w:val="24"/>
        </w:rPr>
        <w:t xml:space="preserve">Project Manager Acceptance:</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tblGrid>
      <w:tr>
        <w:trPr>
          <w:cantSplit/>
          <w:tblHeader/>
        </w:trPr>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Field</w:t>
            </w:r>
          </w:p>
        </w:tc>
        <w:tc>
          <w:tcPr>
            <w:tcW w:type="pct" w:w="7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Value</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Name</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【PM name】</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Title</w:t>
            </w:r>
          </w:p>
        </w:tc>
        <w:tc>
          <w:tcPr>
            <w:tcW w:type="pct" w:w="7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Project Manager, AurumXchange Initiative</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Signature</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______________________________________________________________</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Date</w:t>
            </w:r>
          </w:p>
        </w:tc>
        <w:tc>
          <w:tcPr>
            <w:tcW w:type="pct" w:w="7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____ / ____ / 2026</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Acceptance statement</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 accept the scope, authority, and accountability defined in this Charter and commit to delivering the SMART objectives in Section 3 within the budget envelope in Section 7.2.</w:t>
            </w:r>
          </w:p>
        </w:tc>
      </w:tr>
    </w:tbl>
    <w:p>
      <w:pPr>
        <w:spacing w:after="0" w:before="240"/>
      </w:pPr>
    </w:p>
    <w:p>
      <w:pPr>
        <w:spacing w:after="80" w:before="200"/>
        <w:jc w:val="left"/>
      </w:pPr>
      <w:r>
        <w:rPr>
          <w:rFonts w:ascii="Calibri"/>
          <w:b/>
          <w:bCs/>
          <w:color w:val="1A1A1A"/>
          <w:sz w:val="24"/>
          <w:szCs w:val="24"/>
        </w:rPr>
        <w:t xml:space="preserve">Chamber Acknowledgement (counterparty):</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tblGrid>
      <w:tr>
        <w:trPr>
          <w:cantSplit/>
          <w:tblHeader/>
        </w:trPr>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Field</w:t>
            </w:r>
          </w:p>
        </w:tc>
        <w:tc>
          <w:tcPr>
            <w:tcW w:type="pct" w:w="7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Value</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Name</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 President name】</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Title</w:t>
            </w:r>
          </w:p>
        </w:tc>
        <w:tc>
          <w:tcPr>
            <w:tcW w:type="pct" w:w="7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President, Ghana Chamber of Gold Buyers</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Signature</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______________________________________________________________</w:t>
            </w:r>
          </w:p>
        </w:tc>
      </w:tr>
      <w:tr>
        <w:trPr>
          <w:cantSplit/>
        </w:trPr>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Date</w:t>
            </w:r>
          </w:p>
        </w:tc>
        <w:tc>
          <w:tcPr>
            <w:tcW w:type="pct" w:w="7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____ / ____ / 2026</w:t>
            </w:r>
          </w:p>
        </w:tc>
      </w:tr>
      <w:tr>
        <w:trPr>
          <w:cantSplit/>
        </w:trPr>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Acknowledgement</w:t>
            </w:r>
          </w:p>
        </w:tc>
        <w:tc>
          <w:tcPr>
            <w:tcW w:type="pct" w:w="7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The Chamber acknowledges the scope and commercial model defined in this Charter and commits to the responsibilities allocated to the Chamber in Table 2.4 (BMC Key Partnerships) and the partnership agreement referenced in Section 7.3.</w:t>
            </w:r>
          </w:p>
        </w:tc>
      </w:tr>
    </w:tbl>
    <w:p>
      <w:r>
        <w:br w:type="page"/>
      </w:r>
    </w:p>
    <w:p>
      <w:pPr>
        <w:pStyle w:val="Heading1"/>
        <w:spacing w:after="200" w:before="480" w:line="360" w:lineRule="atLeast"/>
      </w:pPr>
      <w:bookmarkStart w:id="100068" w:name="_Toc100068"/>
      <w:r>
        <w:rPr>
          <w:rFonts w:ascii="Calibri"/>
          <w:b/>
          <w:bCs/>
          <w:color w:val="1A1A1A"/>
          <w:sz w:val="32"/>
          <w:szCs w:val="32"/>
        </w:rPr>
        <w:t xml:space="preserve">Golden Thread Validation</w:t>
      </w:r>
      <w:bookmarkEnd w:id="100068"/>
    </w:p>
    <w:p>
      <w:pPr>
        <w:spacing w:after="140" w:line="312" w:lineRule="auto"/>
        <w:jc w:val="both"/>
      </w:pPr>
      <w:r>
        <w:rPr>
          <w:rFonts w:ascii="Calibri"/>
          <w:color w:val="1A1A1A"/>
          <w:sz w:val="22"/>
          <w:szCs w:val="22"/>
        </w:rPr>
        <w:t xml:space="preserve">The Golden Thread is the deliberate traceability between the four documents that compose this business case. The brief requires four explicit cross-references: VPC → BMC, BMC → Financials, Financials → Charter, and Charter → VPC. This section narrates each cross-reference using AurumXchange-specific details so that a reviewer can confirm — without re-reading the four documents in full — that they tell one continuous, contradiction-free story suitable for board presentation.</w:t>
      </w:r>
    </w:p>
    <w:p>
      <w:pPr>
        <w:pStyle w:val="Heading2"/>
        <w:spacing w:after="160" w:before="360" w:line="340" w:lineRule="atLeast"/>
      </w:pPr>
      <w:bookmarkStart w:id="100069" w:name="_Toc100069"/>
      <w:r>
        <w:rPr>
          <w:rFonts w:ascii="Calibri"/>
          <w:b/>
          <w:bCs/>
          <w:color w:val="1A1A1A"/>
          <w:sz w:val="28"/>
          <w:szCs w:val="28"/>
        </w:rPr>
        <w:t xml:space="preserve">1. VPC → BMC</w:t>
      </w:r>
      <w:bookmarkEnd w:id="100069"/>
    </w:p>
    <w:p>
      <w:pPr>
        <w:spacing w:after="140" w:line="312" w:lineRule="auto"/>
        <w:jc w:val="both"/>
      </w:pPr>
      <w:r>
        <w:rPr>
          <w:rFonts w:ascii="Calibri"/>
          <w:color w:val="1A1A1A"/>
          <w:sz w:val="22"/>
          <w:szCs w:val="22"/>
        </w:rPr>
        <w:t xml:space="preserve">Question: Does the BMC's Value Proposition block accurately summarize the VPC's Fit Statement? Does the BMC's Customer Segment match the VPC's Customer Profile?</w:t>
      </w:r>
    </w:p>
    <w:p>
      <w:pPr>
        <w:spacing w:after="140" w:line="312" w:lineRule="auto"/>
        <w:jc w:val="both"/>
      </w:pPr>
      <w:r>
        <w:rPr>
          <w:rFonts w:ascii="Calibri"/>
          <w:color w:val="1A1A1A"/>
          <w:sz w:val="22"/>
          <w:szCs w:val="22"/>
        </w:rPr>
        <w:t xml:space="preserve">Answer: Yes, with explicit verbatim anchoring. The VPC Fit Statement (Document 1, Section C) reads: 'For licensed Tier 1 and Tier 2 gold buyers and sellers in Ghana who must trade high-value gold under strict Minerals Commission, PMMC, and LBMA compliance without exposing themselves to price opacity, counterparty risk, or funds-at-risk windows, AurumXchange is a regulated B2B gold trading infrastructure that combines RFQ-driven negotiation, Chamber-approved escrow, and an immutable audit trail into a single compliance-gated exchange.' The BMC Value Propositions block (Document 2, Table 2.2) restates this Fit Statement once per segment (Tier 2 Sellers, Tier 2 Buyers, Tier 1 Buyers, the Chamber), with each restatement emphasizing the pain or gain most relevant to that segment. No proposition in Table 2.2 introduces a feature, claim, or scope item that is not grounded in the VPC.</w:t>
      </w:r>
    </w:p>
    <w:p>
      <w:pPr>
        <w:spacing w:after="140" w:line="312" w:lineRule="auto"/>
        <w:jc w:val="both"/>
      </w:pPr>
      <w:r>
        <w:rPr>
          <w:rFonts w:ascii="Calibri"/>
          <w:color w:val="1A1A1A"/>
          <w:sz w:val="22"/>
          <w:szCs w:val="22"/>
        </w:rPr>
        <w:t xml:space="preserve">On Customer Segment matching: the VPC's Customer Profile is built around the primary persona Kofi Mensah (Tier 2 licensed buyer). The BMC Customer Segments block (Document 2, Table 2.1) extends this to four personas — Abena Owusu (Tier 2 seller), Kofi Mensah (Tier 2 buyer), Marcus Weber (Tier 1 buyer), and the Chamber itself — but Kofi remains the primary persona in both documents. The economic buyer in the VPC ('the trading member firms') matches the 'Economic Buyer' column in BMC Table 2.1: Kofi's firm, Abena's cooperative, Marcus's refiner parent. There is no segment drift.</w:t>
      </w:r>
    </w:p>
    <w:p>
      <w:pPr>
        <w:pStyle w:val="Heading2"/>
        <w:spacing w:after="160" w:before="360" w:line="340" w:lineRule="atLeast"/>
      </w:pPr>
      <w:bookmarkStart w:id="100070" w:name="_Toc100070"/>
      <w:r>
        <w:rPr>
          <w:rFonts w:ascii="Calibri"/>
          <w:b/>
          <w:bCs/>
          <w:color w:val="1A1A1A"/>
          <w:sz w:val="28"/>
          <w:szCs w:val="28"/>
        </w:rPr>
        <w:t xml:space="preserve">2. BMC → Financials</w:t>
      </w:r>
      <w:bookmarkEnd w:id="100070"/>
    </w:p>
    <w:p>
      <w:pPr>
        <w:spacing w:after="140" w:line="312" w:lineRule="auto"/>
        <w:jc w:val="both"/>
      </w:pPr>
      <w:r>
        <w:rPr>
          <w:rFonts w:ascii="Calibri"/>
          <w:color w:val="1A1A1A"/>
          <w:sz w:val="22"/>
          <w:szCs w:val="22"/>
        </w:rPr>
        <w:t xml:space="preserve">Question: Does the Revenue Stream pricing in the BMC match the assumptions in the Financial Documentation's bottom-up revenue model? Do the BMC's Key Partnerships appear as line items in the OpEx budget?</w:t>
      </w:r>
    </w:p>
    <w:p>
      <w:pPr>
        <w:spacing w:after="140" w:line="312" w:lineRule="auto"/>
        <w:jc w:val="both"/>
      </w:pPr>
      <w:r>
        <w:rPr>
          <w:rFonts w:ascii="Calibri"/>
          <w:color w:val="1A1A1A"/>
          <w:sz w:val="22"/>
          <w:szCs w:val="22"/>
        </w:rPr>
        <w:t xml:space="preserve">Answer: Yes, with two explicit Golden Thread anchors. The first anchor is the BMC Revenue Streams table (Document 2, Table 2.3), which lists 11 revenue sources with prices: 0.10% per side transaction fee, US$100/month Professional, US$500+/month Enterprise, US$250/month featured listing, US$5/RFQ, US$25/contract, 0.05% escrow fee, US$150/shipment logistics coordination, 5–10% trade finance referral commission. Every line in this table reappears, with the same price, in the Financial Documentation's bottom-up revenue model (Table 3.5). The Year-1 transaction-fee revenue of US$725,800 (Table 3.5) is derived directly from the BMC's 0.10% per side × ~180 active traders × 1.4 trades/month × US$120,000 avg trade value × 12 months × 2 sides. No price in the Financial Doc departs from the BMC.</w:t>
      </w:r>
    </w:p>
    <w:p>
      <w:pPr>
        <w:spacing w:after="140" w:line="312" w:lineRule="auto"/>
        <w:jc w:val="both"/>
      </w:pPr>
      <w:r>
        <w:rPr>
          <w:rFonts w:ascii="Calibri"/>
          <w:color w:val="1A1A1A"/>
          <w:sz w:val="22"/>
          <w:szCs w:val="22"/>
        </w:rPr>
        <w:t xml:space="preserve">The second anchor is the BMC Key Partnerships table (Document 2, Table 2.4), which lists 9 partners: AWS/Azure Ghana, Smile Identity, escrow bank, LBMA price feed, PMMC, Minerals Commission, SOC 2/ISO 27001 auditor, external legal counsel, and an outsourced QA partner. Every partner appears as a named line item in the OpEx budget (Document 3, Table 3.2): cloud hosting row covers AWS/Azure; third-party APIs/SaaS row covers Smile Identity, LBMA feed, Datadog/Sentry/Snyk; banking integration row covers the escrow bank; compliance integration fee (mentioned in Table 3.2 row 6, with detail in CapEx Table 3.1) covers PMMC and Minerals Commission; compliance &amp; security maintenance row covers SOC 2/ISO 27001 and the outsourced QA partner; ongoing software licenses &amp; legal row covers external legal counsel. No partner in the BMC is unfunded in the OpEx budget.</w:t>
      </w:r>
    </w:p>
    <w:p>
      <w:pPr>
        <w:pStyle w:val="Heading2"/>
        <w:spacing w:after="160" w:before="360" w:line="340" w:lineRule="atLeast"/>
      </w:pPr>
      <w:bookmarkStart w:id="100071" w:name="_Toc100071"/>
      <w:r>
        <w:rPr>
          <w:rFonts w:ascii="Calibri"/>
          <w:b/>
          <w:bCs/>
          <w:color w:val="1A1A1A"/>
          <w:sz w:val="28"/>
          <w:szCs w:val="28"/>
        </w:rPr>
        <w:t xml:space="preserve">3. Financials → Charter</w:t>
      </w:r>
      <w:bookmarkEnd w:id="100071"/>
    </w:p>
    <w:p>
      <w:pPr>
        <w:spacing w:after="140" w:line="312" w:lineRule="auto"/>
        <w:jc w:val="both"/>
      </w:pPr>
      <w:r>
        <w:rPr>
          <w:rFonts w:ascii="Calibri"/>
          <w:color w:val="1A1A1A"/>
          <w:sz w:val="22"/>
          <w:szCs w:val="22"/>
        </w:rPr>
        <w:t xml:space="preserve">Question: Does the CapEx budget fit within the Charter's authorized scope? Does the break-even timeline align with the Charter's milestone dates?</w:t>
      </w:r>
    </w:p>
    <w:p>
      <w:pPr>
        <w:spacing w:after="140" w:line="312" w:lineRule="auto"/>
        <w:jc w:val="both"/>
      </w:pPr>
      <w:r>
        <w:rPr>
          <w:rFonts w:ascii="Calibri"/>
          <w:color w:val="1A1A1A"/>
          <w:sz w:val="22"/>
          <w:szCs w:val="22"/>
        </w:rPr>
        <w:t xml:space="preserve">Answer: Yes on CapEx; the break-even date requires a single explicit reconciliation. The Financial Documentation's CapEx total (Table 3.1) is US$449,075 against a US$450,000 ceiling. The Charter's authorized scope (Section 4) covers exactly the line items in Table 3.1: Phase 1 + Phase 2 personnel, software tools, legal, cloud setup, security, and integration fees. The Charter's Section 7.2 'Estimated Budget Summary' quotes the US$449,075 figure and the US$677,500 18-month OpEx runway verbatim. The Charter's Section 10 Authorization explicitly grants the PM authority to expend resources 'within the US$449,075 CapEx budget and the 18-month OpEx runway.' There is no scope in the Charter that lacks a CapEx line item, and no CapEx line item that lacks a Charter scope reference.</w:t>
      </w:r>
    </w:p>
    <w:p>
      <w:pPr>
        <w:spacing w:after="140" w:line="312" w:lineRule="auto"/>
        <w:jc w:val="both"/>
      </w:pPr>
      <w:r>
        <w:rPr>
          <w:rFonts w:ascii="Calibri"/>
          <w:color w:val="1A1A1A"/>
          <w:sz w:val="22"/>
          <w:szCs w:val="22"/>
        </w:rPr>
        <w:t xml:space="preserve">On the break-even timeline reconciliation: the Financial Documentation's break-even analysis (Table 3.7) projects break-even at 'month 22 (Q4 2028).' The Charter's milestone table (Table 4.4) sets M6 Launch at 30 September 2027 (Q3 2027), not Q1 2027 as the original locked assumption stated. The Charter's Section 6 explicitly narrates this reconciliation: 'The original Q1 2027 target would have required an aggressive 6-month build, which is incompatible with the regulated nature of the platform.' Adding 22 months to a 30 September 2027 launch lands break-even at approximately July 2029 (Q3 2029), not Q4 2028. The Financial Documentation's Table 3.7 is therefore optimistic by approximately 9 months relative to the Charter's milestone schedule. The reconciliation adopted for this business case is: the Charter's 30 September 2027 launch is the binding date; the break-even date shifts to Q4 2029 (month 22 post-launch). The KPI table (Table 4.6) reflects this with the entry 'Month 22 (revised: Q4 2029 per Charter reconciliation).' No contradiction is left unresolved; the reconciliation is documented in three places (Charter Section 6, Charter KPI Table 4.6, and here).</w:t>
      </w:r>
    </w:p>
    <w:p>
      <w:pPr>
        <w:spacing w:after="140" w:line="312" w:lineRule="auto"/>
        <w:jc w:val="both"/>
      </w:pPr>
      <w:r>
        <w:rPr>
          <w:rFonts w:ascii="Calibri"/>
          <w:color w:val="1A1A1A"/>
          <w:sz w:val="22"/>
          <w:szCs w:val="22"/>
        </w:rPr>
        <w:t xml:space="preserve">A second, smaller reconciliation: the Financial Doc's Cost of Doing Nothing (Section E) cites a 5-year cost of US$30–50M, dwarfing the US$4.65M total CapEx + OpEx investment. This claim is grounded in the BMC's Customer Segments (1,500 Chamber members) and the VPC's quantified Pains (1-in-4 trades overpaying by US$2,500/kg; 6-day export documentation drag). The Charter does not directly cite the Cost of Doing Nothing, but its Business Case Summary (Section 2) references 'the VPC Fit Statement' and 'the BMC commercial viability' that ground the calculation. No Golden Thread break.</w:t>
      </w:r>
    </w:p>
    <w:p>
      <w:pPr>
        <w:pStyle w:val="Heading2"/>
        <w:spacing w:after="160" w:before="360" w:line="340" w:lineRule="atLeast"/>
      </w:pPr>
      <w:bookmarkStart w:id="100072" w:name="_Toc100072"/>
      <w:r>
        <w:rPr>
          <w:rFonts w:ascii="Calibri"/>
          <w:b/>
          <w:bCs/>
          <w:color w:val="1A1A1A"/>
          <w:sz w:val="28"/>
          <w:szCs w:val="28"/>
        </w:rPr>
        <w:t xml:space="preserve">4. Charter → VPC</w:t>
      </w:r>
      <w:bookmarkEnd w:id="100072"/>
    </w:p>
    <w:p>
      <w:pPr>
        <w:spacing w:after="140" w:line="312" w:lineRule="auto"/>
        <w:jc w:val="both"/>
      </w:pPr>
      <w:r>
        <w:rPr>
          <w:rFonts w:ascii="Calibri"/>
          <w:color w:val="1A1A1A"/>
          <w:sz w:val="22"/>
          <w:szCs w:val="22"/>
        </w:rPr>
        <w:t xml:space="preserve">Question: Does the In-Scope feature set in the Charter directly deliver the Pain Relievers and Gain Creators promised in the VPC? If a feature is Out-of-Scope, is the corresponding Pain/Gain deferred to a future phase?</w:t>
      </w:r>
    </w:p>
    <w:p>
      <w:pPr>
        <w:spacing w:after="140" w:line="312" w:lineRule="auto"/>
        <w:jc w:val="both"/>
      </w:pPr>
      <w:r>
        <w:rPr>
          <w:rFonts w:ascii="Calibri"/>
          <w:color w:val="1A1A1A"/>
          <w:sz w:val="22"/>
          <w:szCs w:val="22"/>
        </w:rPr>
        <w:t xml:space="preserve">Answer: Yes. The VPC identifies 5 Pain Relievers (Table 1.4) and 5 Gain Creators (Table 1.5). Each is traced below to its corresponding Charter scope item.</w:t>
      </w:r>
    </w:p>
    <w:p>
      <w:pPr>
        <w:keepNext/>
        <w:spacing w:after="80" w:before="200" w:line="280" w:lineRule="auto"/>
        <w:jc w:val="left"/>
      </w:pPr>
      <w:r>
        <w:rPr>
          <w:rFonts w:ascii="Calibri"/>
          <w:b/>
          <w:bCs/>
          <w:color w:val="1A1A1A"/>
          <w:sz w:val="22"/>
          <w:szCs w:val="22"/>
        </w:rPr>
        <w:t xml:space="preserve">Table GT.1. </w:t>
      </w:r>
      <w:r>
        <w:rPr>
          <w:rFonts w:ascii="Calibri"/>
          <w:b/>
          <w:bCs/>
          <w:color w:val="1A1A1A"/>
          <w:sz w:val="22"/>
          <w:szCs w:val="22"/>
        </w:rPr>
        <w:t xml:space="preserve">Pain Reliever → Charter Scope Traceability</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VPC Pain Reliever</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VPC Table 1.4 Reference</w:t>
            </w:r>
          </w:p>
        </w:tc>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Charter Scope (Section 4.1)</w:t>
            </w:r>
          </w:p>
        </w:tc>
        <w:tc>
          <w:tcPr>
            <w:tcW w:type="pct" w:w="1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Status</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RFQ + bid comparison dashboard</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P1 — Price opacity</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In-Scope (Phase 2)</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Delivered in MVP</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KYC/AML + licence verification at onboarding</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P2 — Counterparty risk</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In-Scope (Phase 1)</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Delivered in MVP</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Chamber-approved trade feeds PMMC workflow</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P3 — Export documentation drag</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Phase 3 prep in MVP via Compliance Core audit export; full PMMC integration Phase 3</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Partial MVP; full Phase 3</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Escrow integration with partner bank</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P4 — Funds-at-risk window</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In-Scope (Phase 2)</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Delivered in MVP</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Immutable audit log in Compliance Core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P5 — Audit trail fragmentation</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In-Scope (Phase 1 + Phase 2, cross-cutting Compliance Core)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Delivered in MVP</w:t>
            </w:r>
          </w:p>
        </w:tc>
      </w:tr>
    </w:tbl>
    <w:p>
      <w:pPr>
        <w:keepNext/>
        <w:spacing w:after="200" w:before="60" w:line="280" w:lineRule="auto"/>
        <w:jc w:val="left"/>
      </w:pPr>
      <w:r>
        <w:rPr>
          <w:rFonts w:ascii="Calibri"/>
          <w:b/>
          <w:bCs/>
          <w:color w:val="5A6068"/>
          <w:sz w:val="18"/>
          <w:szCs w:val="18"/>
        </w:rPr>
        <w:t xml:space="preserve">Table GT.1. </w:t>
      </w:r>
      <w:r>
        <w:rPr>
          <w:rFonts w:ascii="Calibri"/>
          <w:i/>
          <w:iCs/>
          <w:color w:val="5A6068"/>
          <w:sz w:val="18"/>
          <w:szCs w:val="18"/>
        </w:rPr>
        <w:t xml:space="preserve">All five Pain Relievers have a Charter scope reference. P3 is the only partial-MVP delivery; this is explicitly reconciled.</w:t>
      </w:r>
    </w:p>
    <w:p>
      <w:pPr>
        <w:keepNext/>
        <w:spacing w:after="80" w:before="200" w:line="280" w:lineRule="auto"/>
        <w:jc w:val="left"/>
      </w:pPr>
      <w:r>
        <w:rPr>
          <w:rFonts w:ascii="Calibri"/>
          <w:b/>
          <w:bCs/>
          <w:color w:val="1A1A1A"/>
          <w:sz w:val="22"/>
          <w:szCs w:val="22"/>
        </w:rPr>
        <w:t xml:space="preserve">Table GT.2. </w:t>
      </w:r>
      <w:r>
        <w:rPr>
          <w:rFonts w:ascii="Calibri"/>
          <w:b/>
          <w:bCs/>
          <w:color w:val="1A1A1A"/>
          <w:sz w:val="22"/>
          <w:szCs w:val="22"/>
        </w:rPr>
        <w:t xml:space="preserve">Gain Creator → Charter Scope Traceability</w:t>
      </w:r>
    </w:p>
    <w:tbl>
      <w:tblPr>
        <w:tblW w:type="pct" w:w="100%"/>
        <w:tblBorders>
          <w:top w:val="single" w:color="C9A84C" w:sz="4"/>
          <w:left w:val="none"/>
          <w:bottom w:val="single" w:color="C9A84C" w:sz="4"/>
          <w:right w:val="none"/>
          <w:insideH w:val="single" w:color="DDD5C0" w:sz="1"/>
          <w:insideV w:val="none"/>
        </w:tblBorders>
        <w:tblLayout w:type="fixed"/>
      </w:tblPr>
      <w:tblGrid>
        <w:gridCol w:w="100"/>
        <w:gridCol w:w="100"/>
        <w:gridCol w:w="100"/>
        <w:gridCol w:w="100"/>
      </w:tblGrid>
      <w:tr>
        <w:trPr>
          <w:cantSplit/>
          <w:tblHeader/>
        </w:trPr>
        <w:tc>
          <w:tcPr>
            <w:tcW w:type="pct" w:w="3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VPC Gain Creator</w:t>
            </w:r>
          </w:p>
        </w:tc>
        <w:tc>
          <w:tcPr>
            <w:tcW w:type="pct" w:w="22%"/>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VPC Table 1.5 Reference</w:t>
            </w:r>
          </w:p>
        </w:tc>
        <w:tc>
          <w:tcPr>
            <w:tcW w:type="pct" w:w="30%"/>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Charter Scope (Section 4.1 / 4.2)</w:t>
            </w:r>
          </w:p>
        </w:tc>
        <w:tc>
          <w:tcPr>
            <w:tcW w:type="pct" w:w="16%"/>
            <w:tcBorders>
              <w:top w:val="single" w:color="C9A84C" w:sz="4"/>
              <w:left w:val="none"/>
              <w:bottom w:val="single" w:color="C9A84C" w:sz="4"/>
              <w:right w:val="none"/>
            </w:tcBorders>
            <w:shd w:fill="1A1A1A" w:val="clear"/>
            <w:tcMar>
              <w:top w:type="dxa" w:w="100"/>
              <w:left w:type="dxa" w:w="140"/>
              <w:bottom w:type="dxa" w:w="100"/>
              <w:right w:type="dxa" w:w="140"/>
            </w:tcMar>
          </w:tcPr>
          <w:p>
            <w:pPr>
              <w:spacing w:line="280" w:lineRule="auto"/>
              <w:jc w:val="left"/>
            </w:pPr>
            <w:r>
              <w:rPr>
                <w:rFonts w:ascii="Calibri"/>
                <w:b/>
                <w:bCs/>
                <w:color w:val="FFFFFF"/>
                <w:sz w:val="20"/>
                <w:szCs w:val="20"/>
              </w:rPr>
              <w:t xml:space="preserve">Status</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Immutable audit log (Compliance Core)</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G1 — Compliance-grade audit trail</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In-Scope (Phase 1+2 Compliance Core)</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Delivered in MVP</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Partner-bank escrow integration</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G2 — Escrow protection</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In-Scope (Phase 2)</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Delivered in MVP</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Bid comparison dashboard + 90-day historical price feed</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G3 — Price transparency</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In-Scope (Phase 2)</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Delivered in MVP</w:t>
            </w:r>
          </w:p>
        </w:tc>
      </w:tr>
      <w:tr>
        <w:trPr>
          <w:cantSplit/>
        </w:trPr>
        <w:tc>
          <w:tcPr>
            <w:tcW w:type="pct" w:w="3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Compliance Core audit export → PMMC workflow</w:t>
            </w:r>
          </w:p>
        </w:tc>
        <w:tc>
          <w:tcPr>
            <w:tcW w:type="pct" w:w="22%"/>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G4 — Faster export documentation</w:t>
            </w:r>
          </w:p>
        </w:tc>
        <w:tc>
          <w:tcPr>
            <w:tcW w:type="pct" w:w="30%"/>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Phase 2 MVP (audit export only); full Phase 3 (PMMC integration)</w:t>
            </w:r>
          </w:p>
        </w:tc>
        <w:tc>
          <w:tcPr>
            <w:tcW w:type="pct" w:w="16%"/>
            <w:tcBorders>
              <w:top w:val="none"/>
              <w:left w:val="none"/>
              <w:bottom w:val="single" w:color="DDD5C0" w:sz="1"/>
              <w:right w:val="none"/>
            </w:tcBorders>
            <w:shd w:fill="FFFFFF"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Partial MVP; full Phase 3</w:t>
            </w:r>
          </w:p>
        </w:tc>
      </w:tr>
      <w:tr>
        <w:trPr>
          <w:cantSplit/>
        </w:trPr>
        <w:tc>
          <w:tcPr>
            <w:tcW w:type="pct" w:w="3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Phase 4 market intelligence module (LBMA feed + AI price forecasting)</w:t>
            </w:r>
          </w:p>
        </w:tc>
        <w:tc>
          <w:tcPr>
            <w:tcW w:type="pct" w:w="22%"/>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G5 — Market intelligence</w:t>
            </w:r>
          </w:p>
        </w:tc>
        <w:tc>
          <w:tcPr>
            <w:tcW w:type="pct" w:w="30%"/>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val="false"/>
                <w:bCs w:val="false"/>
                <w:color w:val="1A1A1A"/>
                <w:sz w:val="20"/>
                <w:szCs w:val="20"/>
              </w:rPr>
              <w:t xml:space="preserve">Out-of-Scope (Phase 4, deferred per Section 4.2)</w:t>
            </w:r>
          </w:p>
        </w:tc>
        <w:tc>
          <w:tcPr>
            <w:tcW w:type="pct" w:w="16%"/>
            <w:tcBorders>
              <w:top w:val="none"/>
              <w:left w:val="none"/>
              <w:bottom w:val="single" w:color="DDD5C0" w:sz="1"/>
              <w:right w:val="none"/>
            </w:tcBorders>
            <w:shd w:fill="F5F2E8" w:val="clear"/>
            <w:tcMar>
              <w:top w:type="dxa" w:w="80"/>
              <w:left w:type="dxa" w:w="140"/>
              <w:bottom w:type="dxa" w:w="80"/>
              <w:right w:type="dxa" w:w="140"/>
            </w:tcMar>
          </w:tcPr>
          <w:p>
            <w:pPr>
              <w:spacing w:line="280" w:lineRule="auto"/>
              <w:jc w:val="left"/>
            </w:pPr>
            <w:r>
              <w:rPr>
                <w:rFonts w:ascii="Calibri"/>
                <w:b/>
                <w:bCs/>
                <w:color w:val="1A1A1A"/>
                <w:sz w:val="20"/>
                <w:szCs w:val="20"/>
              </w:rPr>
              <w:t xml:space="preserve">Deferred to Phase 4</w:t>
            </w:r>
          </w:p>
        </w:tc>
      </w:tr>
    </w:tbl>
    <w:p>
      <w:pPr>
        <w:keepNext/>
        <w:spacing w:after="200" w:before="60" w:line="280" w:lineRule="auto"/>
        <w:jc w:val="left"/>
      </w:pPr>
      <w:r>
        <w:rPr>
          <w:rFonts w:ascii="Calibri"/>
          <w:b/>
          <w:bCs/>
          <w:color w:val="5A6068"/>
          <w:sz w:val="18"/>
          <w:szCs w:val="18"/>
        </w:rPr>
        <w:t xml:space="preserve">Table GT.2. </w:t>
      </w:r>
      <w:r>
        <w:rPr>
          <w:rFonts w:ascii="Calibri"/>
          <w:i/>
          <w:iCs/>
          <w:color w:val="5A6068"/>
          <w:sz w:val="18"/>
          <w:szCs w:val="18"/>
        </w:rPr>
        <w:t xml:space="preserve">All five Gain Creators have a Charter scope reference. G5 is the only one deferred entirely to a future phase — and the VPC already categorized G5 as a Desired gain (not Required or Expected), so deferral does not break MVP adoption.</w:t>
      </w:r>
    </w:p>
    <w:p>
      <w:pPr>
        <w:spacing w:after="140" w:line="312" w:lineRule="auto"/>
        <w:jc w:val="both"/>
      </w:pPr>
      <w:r>
        <w:rPr>
          <w:rFonts w:ascii="Calibri"/>
          <w:color w:val="1A1A1A"/>
          <w:sz w:val="22"/>
          <w:szCs w:val="22"/>
        </w:rPr>
        <w:t xml:space="preserve">The single explicit Out-of-Scope feature with VPC implications is the Auction Module. The VPC's original proposal mentioned an optional auction module (timed, reverse, or sealed-bid) for high-demand lots; this is not enumerated as a Pain or Gain in Tables 1.2–1.5 because it was not raised as a top-5 pain or gain in the persona interviews. The Charter correctly defers it to Phase 3, and the Golden Thread is preserved because no VPC claim relies on the auction module being in MVP. The Charter also defers Mobile Apps (iOS/Android) — but the VPC's Channel block in the BMC (Document 2, Section 3) specifies 'web application (responsive, mobile-friendly)' as the access channel, with native apps explicitly noted as deferred. The deferral is therefore consistent with the BMC.</w:t>
      </w:r>
    </w:p>
    <w:p>
      <w:pPr>
        <w:pStyle w:val="Heading2"/>
        <w:spacing w:after="160" w:before="360" w:line="340" w:lineRule="atLeast"/>
      </w:pPr>
      <w:bookmarkStart w:id="100073" w:name="_Toc100073"/>
      <w:r>
        <w:rPr>
          <w:rFonts w:ascii="Calibri"/>
          <w:b/>
          <w:bCs/>
          <w:color w:val="1A1A1A"/>
          <w:sz w:val="28"/>
          <w:szCs w:val="28"/>
        </w:rPr>
        <w:t xml:space="preserve">Summary</w:t>
      </w:r>
      <w:bookmarkEnd w:id="100073"/>
    </w:p>
    <w:p>
      <w:pPr>
        <w:spacing w:after="140" w:line="312" w:lineRule="auto"/>
        <w:jc w:val="both"/>
      </w:pPr>
      <w:r>
        <w:rPr>
          <w:rFonts w:ascii="Calibri"/>
          <w:color w:val="1A1A1A"/>
          <w:sz w:val="22"/>
          <w:szCs w:val="22"/>
        </w:rPr>
        <w:t xml:space="preserve">The four documents form a coherent, contradiction-free story. The VPC defines what the customer needs; the BMC converts those needs into a sustainable commercial architecture; the Financial Documentation proves the architecture is economically viable; the Charter authorizes the work, fixes scope, and assigns governance so the financials can be executed rather than aspirational. Every cross-reference required by the brief is satisfied: VPC Fit Statement → BMC Value Propositions (verbatim); BMC Revenue Streams → Financial bottom-up model (price-for-price); BMC Key Partnerships → OpEx line items (partner-for-line); Financial CapEx → Charter authorized scope (dollar-for-dollar); Financial break-even → Charter milestone dates (with one explicit reconciliation narrated above); Charter In-Scope features → VPC Pain Relievers and Gain Creators (5-of-5 and 5-of-5 traceable); Charter Out-of-Scope features → VPC Desired gains deferred to future phases (auction module, market intelligence, mobile apps).</w:t>
      </w:r>
    </w:p>
    <w:p>
      <w:pPr>
        <w:spacing w:after="140" w:line="312" w:lineRule="auto"/>
        <w:jc w:val="both"/>
      </w:pPr>
      <w:r>
        <w:rPr>
          <w:rFonts w:ascii="Calibri"/>
          <w:color w:val="1A1A1A"/>
          <w:sz w:val="22"/>
          <w:szCs w:val="22"/>
        </w:rPr>
        <w:t xml:space="preserve">The single reconciliation the Golden Thread absorbs — the break-even date shifting from Q4 2028 (Financial Doc Table 3.7, calculated on the original Q1 2027 launch assumption) to Q4 2029 (Charter Table 4.4 + KPI Table 4.6, calculated on the realistic Q3 2027 launch date) — is documented in three places and does not invalidate any other claim. The business case is investor-ready and board-presentable.</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68"/>
        <w:sz w:val="16"/>
        <w:szCs w:val="16"/>
      </w:rPr>
      <w:t xml:space="preserve">AurumXchange Business Case  |  Page </w:t>
    </w:r>
    <w:r>
      <w:rPr>
        <w:rFonts w:ascii="Calibri"/>
        <w:b/>
        <w:bCs/>
        <w:color w:val="5A60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80"/>
      <w:jc w:val="right"/>
    </w:pPr>
    <w:r>
      <w:rPr>
        <w:rFonts w:ascii="Calibri"/>
        <w:i/>
        <w:iCs/>
        <w:color w:val="5A6068"/>
        <w:sz w:val="16"/>
        <w:szCs w:val="16"/>
      </w:rPr>
      <w:t xml:space="preserve">AurumXchange  —  Investor-Ready Business Case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80"/>
      <w:jc w:val="right"/>
    </w:pPr>
    <w:r>
      <w:rPr>
        <w:rFonts w:ascii="Calibri"/>
        <w:i/>
        <w:iCs/>
        <w:color w:val="5A6068"/>
        <w:sz w:val="16"/>
        <w:szCs w:val="16"/>
      </w:rPr>
      <w:t xml:space="preserve">AurumXchange  —  Investor-Ready Business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1A1A"/>
        <w:sz w:val="22"/>
        <w:szCs w:val="22"/>
      </w:rPr>
    </w:rPrDefault>
    <w:pPrDefault>
      <w:pPr>
        <w:spacing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60" w:lineRule="atLeast"/>
      <w:outlineLvl w:val="0"/>
    </w:pPr>
    <w:rPr>
      <w:rFonts w:ascii="Calibri"/>
      <w:b/>
      <w:bCs/>
      <w:color w:val="1A1A1A"/>
      <w:sz w:val="32"/>
      <w:szCs w:val="32"/>
    </w:rPr>
  </w:style>
  <w:style w:type="paragraph" w:styleId="Heading2">
    <w:name w:val="Heading 2"/>
    <w:basedOn w:val="Normal"/>
    <w:next w:val="Normal"/>
    <w:qFormat/>
    <w:pPr>
      <w:spacing w:after="160" w:before="360" w:line="340" w:lineRule="atLeast"/>
      <w:outlineLvl w:val="1"/>
    </w:pPr>
    <w:rPr>
      <w:rFonts w:ascii="Calibri"/>
      <w:b/>
      <w:bCs/>
      <w:color w:val="1A1A1A"/>
      <w:sz w:val="28"/>
      <w:szCs w:val="28"/>
    </w:rPr>
  </w:style>
  <w:style w:type="paragraph" w:styleId="Heading3">
    <w:name w:val="Heading 3"/>
    <w:basedOn w:val="Normal"/>
    <w:next w:val="Normal"/>
    <w:qFormat/>
    <w:pPr>
      <w:spacing w:after="120" w:before="240" w:line="320" w:lineRule="atLeast"/>
      <w:outlineLvl w:val="2"/>
    </w:pPr>
    <w:rPr>
      <w:rFonts w:ascii="Calibri"/>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AurumXchange Business Case</dc:title>
  <dc:subject>Investor-ready business case for a regulated B2B gold exchange platform</dc:subject>
  <dc:creator>Sahel Systems &amp; Solutions</dc:creator>
  <dc:description>VPC, BMC, Financial Documentation, Project Charter, and Golden Thread Validation for AurumXchange.</dc:description>
  <cp:lastModifiedBy>Un-named</cp:lastModifiedBy>
  <cp:revision>1</cp:revision>
  <dcterms:created xsi:type="dcterms:W3CDTF">2026-08-12T11:09:25.310Z</dcterms:created>
  <dcterms:modified xsi:type="dcterms:W3CDTF">2026-08-12T11:09:25.310Z</dcterms:modified>
</cp:coreProperties>
</file>

<file path=docProps/custom.xml><?xml version="1.0" encoding="utf-8"?>
<Properties xmlns="http://schemas.openxmlformats.org/officeDocument/2006/custom-properties" xmlns:vt="http://schemas.openxmlformats.org/officeDocument/2006/docPropsVTypes"/>
</file>