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pBdr>
                <w:top w:val="single" w:color="C9A84C" w:sz="18" w:space="20"/>
              </w:pBdr>
              <w:spacing w:after="200" w:before="1200"/>
              <w:ind w:left="1000" w:right="1000"/>
            </w:pPr>
          </w:p>
          <w:p>
            <w:pPr>
              <w:spacing w:before="1600"/>
            </w:pPr>
          </w:p>
          <w:p>
            <w:pPr>
              <w:spacing w:after="500"/>
              <w:jc w:val="center"/>
            </w:pPr>
            <w:r>
              <w:rPr>
                <w:rFonts w:ascii="Calibri"/>
                <w:color w:val="C9A84C"/>
                <w:spacing w:val="40"/>
                <w:sz w:val="18"/>
                <w:szCs w:val="18"/>
              </w:rPr>
              <w:t xml:space="preserve">I  N  V  E  S  T  O  R  -  R  E  A  D  Y     B  U  S  I  N  E  S  S     C  A  S  E</w:t>
            </w:r>
          </w:p>
          <w:p>
            <w:pPr>
              <w:spacing w:after="80" w:line="828" w:lineRule="atLeast"/>
              <w:jc w:val="center"/>
            </w:pPr>
            <w:r>
              <w:rPr>
                <w:rFonts w:ascii="Arial"/>
                <w:b/>
                <w:bCs/>
                <w:color w:val="FFFFFF"/>
                <w:sz w:val="72"/>
                <w:szCs w:val="72"/>
              </w:rPr>
              <w:t xml:space="preserve">AurumXchange Business</w:t>
            </w:r>
          </w:p>
          <w:p>
            <w:pPr>
              <w:spacing w:after="300" w:line="828" w:lineRule="atLeast"/>
              <w:jc w:val="center"/>
            </w:pPr>
            <w:r>
              <w:rPr>
                <w:rFonts w:ascii="Arial"/>
                <w:b/>
                <w:bCs/>
                <w:color w:val="FFFFFF"/>
                <w:sz w:val="72"/>
                <w:szCs w:val="72"/>
              </w:rPr>
              <w:t xml:space="preserve">Case</w:t>
            </w:r>
          </w:p>
          <w:p>
            <w:pPr>
              <w:spacing w:after="400" w:line="360" w:lineRule="atLeast"/>
              <w:jc w:val="center"/>
            </w:pPr>
            <w:r>
              <w:rPr>
                <w:rFonts w:ascii="Calibri"/>
                <w:i/>
                <w:iCs/>
                <w:color w:val="B0B8C0"/>
                <w:sz w:val="24"/>
                <w:szCs w:val="24"/>
              </w:rPr>
              <w:t xml:space="preserve">A Regulated Digital Gold Trading Infrastructure for the Ghana Chamber of Gold Buyers</w:t>
            </w:r>
          </w:p>
          <w:p>
            <w:pPr>
              <w:spacing w:before="1400"/>
            </w:pPr>
          </w:p>
          <w:p>
            <w:pPr>
              <w:spacing w:after="120" w:line="300" w:lineRule="atLeast"/>
              <w:jc w:val="center"/>
            </w:pPr>
            <w:r>
              <w:rPr>
                <w:rFonts w:ascii="Calibri"/>
                <w:color w:val="C9A84C"/>
                <w:sz w:val="22"/>
                <w:szCs w:val="22"/>
              </w:rPr>
              <w:t xml:space="preserve">Prepared by Smart Innovations Ghana Limited</w:t>
            </w:r>
          </w:p>
          <w:p>
            <w:pPr>
              <w:spacing w:after="120" w:line="300" w:lineRule="atLeast"/>
              <w:jc w:val="center"/>
            </w:pPr>
            <w:r>
              <w:rPr>
                <w:rFonts w:ascii="Calibri"/>
                <w:color w:val="C9A84C"/>
                <w:sz w:val="22"/>
                <w:szCs w:val="22"/>
              </w:rPr>
              <w:t xml:space="preserve">For the Ghana Chamber of Gold Buyers</w:t>
            </w:r>
          </w:p>
          <w:p>
            <w:pPr>
              <w:spacing w:after="120" w:line="300" w:lineRule="atLeast"/>
              <w:jc w:val="center"/>
            </w:pPr>
            <w:r>
              <w:rPr>
                <w:rFonts w:ascii="Calibri"/>
                <w:color w:val="C9A84C"/>
                <w:sz w:val="22"/>
                <w:szCs w:val="22"/>
              </w:rPr>
              <w:t xml:space="preserve">12 August 2026</w:t>
            </w:r>
          </w:p>
          <w:p>
            <w:pPr>
              <w:spacing w:after="120" w:line="300" w:lineRule="atLeast"/>
              <w:jc w:val="center"/>
            </w:pPr>
            <w:r>
              <w:rPr>
                <w:rFonts w:ascii="Calibri"/>
                <w:color w:val="C9A84C"/>
                <w:sz w:val="22"/>
                <w:szCs w:val="22"/>
              </w:rPr>
              <w:t xml:space="preserve">CONFIDENTIAL — Board Distribution Only</w:t>
            </w:r>
          </w:p>
          <w:p>
            <w:pPr>
              <w:spacing w:before="1800"/>
            </w:pPr>
          </w:p>
          <w:p>
            <w:pPr>
              <w:pBdr>
                <w:bottom w:val="single" w:color="C9A84C" w:sz="18" w:space="20"/>
              </w:pBdr>
              <w:spacing w:before="200"/>
              <w:ind w:left="1000" w:right="1000"/>
              <w:jc w:val="center"/>
            </w:pPr>
            <w:r>
              <w:rPr>
                <w:rFonts w:ascii="Calibri"/>
                <w:color w:val="687078"/>
                <w:sz w:val="18"/>
                <w:szCs w:val="18"/>
              </w:rPr>
              <w:t xml:space="preserve">AurumXchange  |  Smart Innovations Ghana Limited  |  2026</w:t>
            </w:r>
          </w:p>
        </w:tc>
      </w:tr>
    </w:tbl>
    <w:p>
      <w:pPr>
        <w:sectPr>
          <w:pgSz w:w="11906" w:h="16838" w:orient="portrait"/>
          <w:pgMar w:top="0" w:right="0" w:bottom="0" w:left="0" w:header="708" w:footer="708" w:gutter="0"/>
          <w:pgNumType/>
          <w:docGrid w:linePitch="360"/>
        </w:sectPr>
      </w:pPr>
    </w:p>
    <w:p>
      <w:pPr>
        <w:pStyle w:val="Heading1"/>
        <w:spacing w:after="200" w:before="480" w:line="360" w:lineRule="atLeast"/>
      </w:pPr>
      <w:bookmarkStart w:id="100000" w:name="_Toc100000"/>
      <w:r>
        <w:rPr>
          <w:rFonts w:ascii="Calibri"/>
          <w:b/>
          <w:bCs/>
          <w:color w:val="1A1A1A"/>
          <w:sz w:val="32"/>
          <w:szCs w:val="32"/>
        </w:rPr>
        <w:t xml:space="preserve">Locked Assumptions</w:t>
      </w:r>
      <w:bookmarkEnd w:id="100000"/>
    </w:p>
    <w:p>
      <w:pPr>
        <w:spacing w:after="140" w:line="312" w:lineRule="auto"/>
        <w:jc w:val="both"/>
      </w:pPr>
      <w:r>
        <w:rPr>
          <w:rFonts w:ascii="Calibri"/>
          <w:color w:val="1A1A1A"/>
          <w:sz w:val="22"/>
          <w:szCs w:val="22"/>
        </w:rPr>
        <w:t xml:space="preserve">This business case proceeds on the basis of the assumptions set out below. They were derived from the original proposal submitted by the Ghana Chamber of Gold Buyers and from publicly verifiable 2024–2025 data on Ghana's gold sector. Each assumption is flagged as either Locked (the document is built on it and changing it requires regenerating the financials) or Modifiable (it can be tuned without breaking the Golden Thread). Sources cited inline follow a [Source, Year] convention and are listed in full in the References appendix.</w:t>
      </w:r>
    </w:p>
    <w:p>
      <w:pPr>
        <w:pStyle w:val="Heading2"/>
        <w:spacing w:after="160" w:before="360" w:line="340" w:lineRule="atLeast"/>
      </w:pPr>
      <w:bookmarkStart w:id="100001" w:name="_Toc100001"/>
      <w:r>
        <w:rPr>
          <w:rFonts w:ascii="Calibri"/>
          <w:b/>
          <w:bCs/>
          <w:color w:val="1A1A1A"/>
          <w:sz w:val="28"/>
          <w:szCs w:val="28"/>
        </w:rPr>
        <w:t xml:space="preserve">Market Sizing — Validated Against 2024 Actuals</w:t>
      </w:r>
      <w:bookmarkEnd w:id="100001"/>
    </w:p>
    <w:p>
      <w:pPr>
        <w:pStyle w:val="ListParagraph"/>
        <w:numPr>
          <w:ilvl w:val="0"/>
          <w:numId w:val="1"/>
        </w:numPr>
        <w:spacing w:after="80" w:line="300" w:lineRule="auto"/>
        <w:jc w:val="left"/>
      </w:pPr>
      <w:r>
        <w:rPr>
          <w:rFonts w:ascii="Calibri"/>
          <w:b/>
          <w:bCs/>
          <w:color w:val="1A1A1A"/>
          <w:sz w:val="22"/>
          <w:szCs w:val="22"/>
        </w:rPr>
        <w:t xml:space="preserve">Ghana 2024 gold production: </w:t>
      </w:r>
      <w:r>
        <w:rPr>
          <w:rFonts w:ascii="Calibri"/>
          <w:color w:val="1A1A1A"/>
          <w:sz w:val="22"/>
          <w:szCs w:val="22"/>
        </w:rPr>
        <w:t xml:space="preserve">~4.9 million ounces (~136 metric tons), an 8.5% increase over 2023 [trade.gov, June 2025; Reuters, May 2025]. Ghana overtook South Africa in 2019 as Africa's largest gold producer and retained that position through 2024 [African Gold Report, 2024].</w:t>
      </w:r>
    </w:p>
    <w:p>
      <w:pPr>
        <w:pStyle w:val="ListParagraph"/>
        <w:numPr>
          <w:ilvl w:val="0"/>
          <w:numId w:val="1"/>
        </w:numPr>
        <w:spacing w:after="80" w:line="300" w:lineRule="auto"/>
        <w:jc w:val="left"/>
      </w:pPr>
      <w:r>
        <w:rPr>
          <w:rFonts w:ascii="Calibri"/>
          <w:b/>
          <w:bCs/>
          <w:color w:val="1A1A1A"/>
          <w:sz w:val="22"/>
          <w:szCs w:val="22"/>
        </w:rPr>
        <w:t xml:space="preserve">Ghana 2024 gold export revenue: </w:t>
      </w:r>
      <w:r>
        <w:rPr>
          <w:rFonts w:ascii="Calibri"/>
          <w:color w:val="1A1A1A"/>
          <w:sz w:val="22"/>
          <w:szCs w:val="22"/>
        </w:rPr>
        <w:t xml:space="preserve">US$11.64 billion, a 53.2% increase year-on-year, of which approximately US$5 billion originated from legal small-scale miners [CGTN Africa, 2025; Ghana Chamber of Mines, 2025].</w:t>
      </w:r>
    </w:p>
    <w:p>
      <w:pPr>
        <w:pStyle w:val="ListParagraph"/>
        <w:numPr>
          <w:ilvl w:val="0"/>
          <w:numId w:val="1"/>
        </w:numPr>
        <w:spacing w:after="80" w:line="300" w:lineRule="auto"/>
        <w:jc w:val="left"/>
      </w:pPr>
      <w:r>
        <w:rPr>
          <w:rFonts w:ascii="Calibri"/>
          <w:b/>
          <w:bCs/>
          <w:color w:val="1A1A1A"/>
          <w:sz w:val="22"/>
          <w:szCs w:val="22"/>
        </w:rPr>
        <w:t xml:space="preserve">2025 production forecast: </w:t>
      </w:r>
      <w:r>
        <w:rPr>
          <w:rFonts w:ascii="Calibri"/>
          <w:color w:val="1A1A1A"/>
          <w:sz w:val="22"/>
          <w:szCs w:val="22"/>
        </w:rPr>
        <w:t xml:space="preserve">5.1 million ounces (+6.25% over 2024), per Ghana Chamber of Mines and Reuters reporting [Reuters, 30 May 2025].</w:t>
      </w:r>
    </w:p>
    <w:p>
      <w:pPr>
        <w:pStyle w:val="ListParagraph"/>
        <w:numPr>
          <w:ilvl w:val="0"/>
          <w:numId w:val="1"/>
        </w:numPr>
        <w:spacing w:after="80" w:line="300" w:lineRule="auto"/>
        <w:jc w:val="left"/>
      </w:pPr>
      <w:r>
        <w:rPr>
          <w:rFonts w:ascii="Calibri"/>
          <w:b/>
          <w:bCs/>
          <w:color w:val="1A1A1A"/>
          <w:sz w:val="22"/>
          <w:szCs w:val="22"/>
        </w:rPr>
        <w:t xml:space="preserve">Bank of Ghana Domestic Gold Purchase Programme (DGPP): </w:t>
      </w:r>
      <w:r>
        <w:rPr>
          <w:rFonts w:ascii="Calibri"/>
          <w:color w:val="1A1A1A"/>
          <w:sz w:val="22"/>
          <w:szCs w:val="22"/>
        </w:rPr>
        <w:t xml:space="preserve">Chamber member companies sold 358,218 ounces of gold to the Bank of Ghana under the DGPP in 2024 [Ghana Chamber of Mines, Publish What You Pay report, 2024].</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 — these are validated actuals, not projections.</w:t>
      </w:r>
    </w:p>
    <w:p>
      <w:pPr>
        <w:pStyle w:val="Heading2"/>
        <w:spacing w:after="160" w:before="360" w:line="340" w:lineRule="atLeast"/>
      </w:pPr>
      <w:bookmarkStart w:id="100002" w:name="_Toc100002"/>
      <w:r>
        <w:rPr>
          <w:rFonts w:ascii="Calibri"/>
          <w:b/>
          <w:bCs/>
          <w:color w:val="1A1A1A"/>
          <w:sz w:val="28"/>
          <w:szCs w:val="28"/>
        </w:rPr>
        <w:t xml:space="preserve">Regulatory Environment — Validated</w:t>
      </w:r>
      <w:bookmarkEnd w:id="100002"/>
    </w:p>
    <w:p>
      <w:pPr>
        <w:pStyle w:val="ListParagraph"/>
        <w:numPr>
          <w:ilvl w:val="0"/>
          <w:numId w:val="1"/>
        </w:numPr>
        <w:spacing w:after="80" w:line="300" w:lineRule="auto"/>
        <w:jc w:val="left"/>
      </w:pPr>
      <w:r>
        <w:rPr>
          <w:rFonts w:ascii="Calibri"/>
          <w:b/>
          <w:bCs/>
          <w:color w:val="1A1A1A"/>
          <w:sz w:val="22"/>
          <w:szCs w:val="22"/>
        </w:rPr>
        <w:t xml:space="preserve">Ghana Gold Board Act, 2025 (Act 1140): </w:t>
      </w:r>
      <w:r>
        <w:rPr>
          <w:rFonts w:ascii="Calibri"/>
          <w:color w:val="1A1A1A"/>
          <w:sz w:val="22"/>
          <w:szCs w:val="22"/>
        </w:rPr>
        <w:t xml:space="preserve">Adopted on 2 April 2025, the Act establishes the Ghana Gold Board (GoldBod) as the sole buyer, assayer, and exporter of gold produced by small-scale miners in Ghana [UNCTAD Investment Policy Monitor, 2025; goldbod.gov.gh]. This is a structural change to the market — AurumXchange must integrate GoldBod into its compliance workflow for any trade involving small-scale-mined gold.</w:t>
      </w:r>
    </w:p>
    <w:p>
      <w:pPr>
        <w:pStyle w:val="ListParagraph"/>
        <w:numPr>
          <w:ilvl w:val="0"/>
          <w:numId w:val="1"/>
        </w:numPr>
        <w:spacing w:after="80" w:line="300" w:lineRule="auto"/>
        <w:jc w:val="left"/>
      </w:pPr>
      <w:r>
        <w:rPr>
          <w:rFonts w:ascii="Calibri"/>
          <w:b/>
          <w:bCs/>
          <w:color w:val="1A1A1A"/>
          <w:sz w:val="22"/>
          <w:szCs w:val="22"/>
        </w:rPr>
        <w:t xml:space="preserve">Precious Minerals Marketing Company (PMMC): </w:t>
      </w:r>
      <w:r>
        <w:rPr>
          <w:rFonts w:ascii="Calibri"/>
          <w:color w:val="1A1A1A"/>
          <w:sz w:val="22"/>
          <w:szCs w:val="22"/>
        </w:rPr>
        <w:t xml:space="preserve">A Licensed Gold Exporter (LGE) must inform PMMC in writing of its export plans at least 2 days in advance of any shipment [pmmc.gov.gh; Ghana Ministry of Foreign Affairs, export guidelines]. Note: the Bank of Ghana has, at points in 2023–2024, adjusted PMMC's export licensing role; the Charter assumes PMMC's release workflow remains in force for non-GoldBod gold exports.</w:t>
      </w:r>
    </w:p>
    <w:p>
      <w:pPr>
        <w:pStyle w:val="ListParagraph"/>
        <w:numPr>
          <w:ilvl w:val="0"/>
          <w:numId w:val="1"/>
        </w:numPr>
        <w:spacing w:after="80" w:line="300" w:lineRule="auto"/>
        <w:jc w:val="left"/>
      </w:pPr>
      <w:r>
        <w:rPr>
          <w:rFonts w:ascii="Calibri"/>
          <w:b/>
          <w:bCs/>
          <w:color w:val="1A1A1A"/>
          <w:sz w:val="22"/>
          <w:szCs w:val="22"/>
        </w:rPr>
        <w:t xml:space="preserve">Ghana Anti-Money Laundering Act, 2020 (Act 1044): </w:t>
      </w:r>
      <w:r>
        <w:rPr>
          <w:rFonts w:ascii="Calibri"/>
          <w:color w:val="1A1A1A"/>
          <w:sz w:val="22"/>
          <w:szCs w:val="22"/>
        </w:rPr>
        <w:t xml:space="preserve">Establishes the Financial Intelligence Centre (FIC) and places AurumXchange within the Designated Non-Financial Businesses and Professions (DNFBPs) category [Open Government Partnership commitment GH0029; namescan.io AML Regulations Ghana, 2025]. Note: some secondary sources cite Act 1046 — the correct legal citation per the OGP commitment is Act 1044.</w:t>
      </w:r>
    </w:p>
    <w:p>
      <w:pPr>
        <w:pStyle w:val="ListParagraph"/>
        <w:numPr>
          <w:ilvl w:val="0"/>
          <w:numId w:val="1"/>
        </w:numPr>
        <w:spacing w:after="80" w:line="300" w:lineRule="auto"/>
        <w:jc w:val="left"/>
      </w:pPr>
      <w:r>
        <w:rPr>
          <w:rFonts w:ascii="Calibri"/>
          <w:b/>
          <w:bCs/>
          <w:color w:val="1A1A1A"/>
          <w:sz w:val="22"/>
          <w:szCs w:val="22"/>
        </w:rPr>
        <w:t xml:space="preserve">Ghana Data Protection Act, 2012 (Act 843): </w:t>
      </w:r>
      <w:r>
        <w:rPr>
          <w:rFonts w:ascii="Calibri"/>
          <w:color w:val="1A1A1A"/>
          <w:sz w:val="22"/>
          <w:szCs w:val="22"/>
        </w:rPr>
        <w:t xml:space="preserve">Enforced by the Data Protection Commission [dataprotection.org.gh]; PII handling and data residency in Ghana are mandatory.</w:t>
      </w:r>
    </w:p>
    <w:p>
      <w:pPr>
        <w:pStyle w:val="ListParagraph"/>
        <w:numPr>
          <w:ilvl w:val="0"/>
          <w:numId w:val="1"/>
        </w:numPr>
        <w:spacing w:after="80" w:line="300" w:lineRule="auto"/>
        <w:jc w:val="left"/>
      </w:pPr>
      <w:r>
        <w:rPr>
          <w:rFonts w:ascii="Calibri"/>
          <w:b/>
          <w:bCs/>
          <w:color w:val="1A1A1A"/>
          <w:sz w:val="22"/>
          <w:szCs w:val="22"/>
        </w:rPr>
        <w:t xml:space="preserve">LBMA Responsible Gold Guidance (RGG): </w:t>
      </w:r>
      <w:r>
        <w:rPr>
          <w:rFonts w:ascii="Calibri"/>
          <w:color w:val="1A1A1A"/>
          <w:sz w:val="22"/>
          <w:szCs w:val="22"/>
        </w:rPr>
        <w:t xml:space="preserve">A five-step due diligence framework built on the OECD Due Diligence Guidance for Responsible Supply Chains of Minerals from Conflict-Affected and High-Risk Areas [lbma.org.uk, 2024]. Required for any trade with an LBMA-accredited refiner — i.e., every Tier 1 buyer persona.</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 Compliance framework is non-negotiable and grounds the Charter's regulatory constraints section.</w:t>
      </w:r>
    </w:p>
    <w:p>
      <w:pPr>
        <w:pStyle w:val="Heading2"/>
        <w:spacing w:after="160" w:before="360" w:line="340" w:lineRule="atLeast"/>
      </w:pPr>
      <w:bookmarkStart w:id="100003" w:name="_Toc100003"/>
      <w:r>
        <w:rPr>
          <w:rFonts w:ascii="Calibri"/>
          <w:b/>
          <w:bCs/>
          <w:color w:val="1A1A1A"/>
          <w:sz w:val="28"/>
          <w:szCs w:val="28"/>
        </w:rPr>
        <w:t xml:space="preserve">Product &amp; Commercial Identity</w:t>
      </w:r>
      <w:bookmarkEnd w:id="100003"/>
    </w:p>
    <w:p>
      <w:pPr>
        <w:pStyle w:val="ListParagraph"/>
        <w:numPr>
          <w:ilvl w:val="0"/>
          <w:numId w:val="1"/>
        </w:numPr>
        <w:spacing w:after="80" w:line="300" w:lineRule="auto"/>
        <w:jc w:val="left"/>
      </w:pPr>
      <w:r>
        <w:rPr>
          <w:rFonts w:ascii="Calibri"/>
          <w:b/>
          <w:bCs/>
          <w:color w:val="1A1A1A"/>
          <w:sz w:val="22"/>
          <w:szCs w:val="22"/>
        </w:rPr>
        <w:t xml:space="preserve">Product name: </w:t>
      </w:r>
      <w:r>
        <w:rPr>
          <w:rFonts w:ascii="Calibri"/>
          <w:color w:val="1A1A1A"/>
          <w:sz w:val="22"/>
          <w:szCs w:val="22"/>
        </w:rPr>
        <w:t xml:space="preserve">AurumXchange — a regulated digital gold trading infrastructure operated for the Ghana Chamber of Gold Buyers.</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w:t>
      </w:r>
    </w:p>
    <w:p>
      <w:pPr>
        <w:pStyle w:val="ListParagraph"/>
        <w:numPr>
          <w:ilvl w:val="0"/>
          <w:numId w:val="1"/>
        </w:numPr>
        <w:spacing w:after="80" w:line="300" w:lineRule="auto"/>
        <w:jc w:val="left"/>
      </w:pPr>
      <w:r>
        <w:rPr>
          <w:rFonts w:ascii="Calibri"/>
          <w:b/>
          <w:bCs/>
          <w:color w:val="1A1A1A"/>
          <w:sz w:val="22"/>
          <w:szCs w:val="22"/>
        </w:rPr>
        <w:t xml:space="preserve">Domain: </w:t>
      </w:r>
      <w:r>
        <w:rPr>
          <w:rFonts w:ascii="Calibri"/>
          <w:color w:val="1A1A1A"/>
          <w:sz w:val="22"/>
          <w:szCs w:val="22"/>
        </w:rPr>
        <w:t xml:space="preserve">B2B SaaS — controlled exchange (regulated marketplace-adjacent), not an open marketplace.</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w:t>
      </w:r>
    </w:p>
    <w:p>
      <w:pPr>
        <w:pStyle w:val="ListParagraph"/>
        <w:numPr>
          <w:ilvl w:val="0"/>
          <w:numId w:val="1"/>
        </w:numPr>
        <w:spacing w:after="80" w:line="300" w:lineRule="auto"/>
        <w:jc w:val="left"/>
      </w:pPr>
      <w:r>
        <w:rPr>
          <w:rFonts w:ascii="Calibri"/>
          <w:b/>
          <w:bCs/>
          <w:color w:val="1A1A1A"/>
          <w:sz w:val="22"/>
          <w:szCs w:val="22"/>
        </w:rPr>
        <w:t xml:space="preserve">Technology partner: </w:t>
      </w:r>
      <w:r>
        <w:rPr>
          <w:rFonts w:ascii="Calibri"/>
          <w:color w:val="1A1A1A"/>
          <w:sz w:val="22"/>
          <w:szCs w:val="22"/>
        </w:rPr>
        <w:t xml:space="preserve">Smart Innovations Ghana Limited ('Smart Innovations' or 'the IT company') — a Ghanaian-registered software company that will build, host, and operate the platform under a 5-year exclusive revenue-sharing agreement with the Chamber.</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 (matches the user's specified company name).</w:t>
      </w:r>
    </w:p>
    <w:p>
      <w:pPr>
        <w:pStyle w:val="Heading2"/>
        <w:spacing w:after="160" w:before="360" w:line="340" w:lineRule="atLeast"/>
      </w:pPr>
      <w:bookmarkStart w:id="100004" w:name="_Toc100004"/>
      <w:r>
        <w:rPr>
          <w:rFonts w:ascii="Calibri"/>
          <w:b/>
          <w:bCs/>
          <w:color w:val="1A1A1A"/>
          <w:sz w:val="28"/>
          <w:szCs w:val="28"/>
        </w:rPr>
        <w:t xml:space="preserve">Customer Segment</w:t>
      </w:r>
      <w:bookmarkEnd w:id="100004"/>
    </w:p>
    <w:p>
      <w:pPr>
        <w:pStyle w:val="ListParagraph"/>
        <w:numPr>
          <w:ilvl w:val="0"/>
          <w:numId w:val="1"/>
        </w:numPr>
        <w:spacing w:after="80" w:line="300" w:lineRule="auto"/>
        <w:jc w:val="left"/>
      </w:pPr>
      <w:r>
        <w:rPr>
          <w:rFonts w:ascii="Calibri"/>
          <w:b/>
          <w:bCs/>
          <w:color w:val="1A1A1A"/>
          <w:sz w:val="22"/>
          <w:szCs w:val="22"/>
        </w:rPr>
        <w:t xml:space="preserve">Primary users: </w:t>
      </w:r>
      <w:r>
        <w:rPr>
          <w:rFonts w:ascii="Calibri"/>
          <w:color w:val="1A1A1A"/>
          <w:sz w:val="22"/>
          <w:szCs w:val="22"/>
        </w:rPr>
        <w:t xml:space="preserve">Tier 1 Buyers (large refiners, bullion banks, international traders) and Tier 2 Buyers (licensed local exporters, aggregators, jewelers, manufacturers) trading through the Chamber.</w:t>
      </w:r>
    </w:p>
    <w:p>
      <w:pPr>
        <w:pStyle w:val="ListParagraph"/>
        <w:numPr>
          <w:ilvl w:val="0"/>
          <w:numId w:val="1"/>
        </w:numPr>
        <w:spacing w:after="80" w:line="300" w:lineRule="auto"/>
        <w:jc w:val="left"/>
      </w:pPr>
      <w:r>
        <w:rPr>
          <w:rFonts w:ascii="Calibri"/>
          <w:b/>
          <w:bCs/>
          <w:color w:val="1A1A1A"/>
          <w:sz w:val="22"/>
          <w:szCs w:val="22"/>
        </w:rPr>
        <w:t xml:space="preserve">Economic buyers: </w:t>
      </w:r>
      <w:r>
        <w:rPr>
          <w:rFonts w:ascii="Calibri"/>
          <w:color w:val="1A1A1A"/>
          <w:sz w:val="22"/>
          <w:szCs w:val="22"/>
        </w:rPr>
        <w:t xml:space="preserve">The trading member firms themselves (they pay the transaction and subscription fees).</w:t>
      </w:r>
    </w:p>
    <w:p>
      <w:pPr>
        <w:pStyle w:val="ListParagraph"/>
        <w:numPr>
          <w:ilvl w:val="0"/>
          <w:numId w:val="1"/>
        </w:numPr>
        <w:spacing w:after="80" w:line="300" w:lineRule="auto"/>
        <w:jc w:val="left"/>
      </w:pPr>
      <w:r>
        <w:rPr>
          <w:rFonts w:ascii="Calibri"/>
          <w:b/>
          <w:bCs/>
          <w:color w:val="1A1A1A"/>
          <w:sz w:val="22"/>
          <w:szCs w:val="22"/>
        </w:rPr>
        <w:t xml:space="preserve">Channel partner: </w:t>
      </w:r>
      <w:r>
        <w:rPr>
          <w:rFonts w:ascii="Calibri"/>
          <w:color w:val="1A1A1A"/>
          <w:sz w:val="22"/>
          <w:szCs w:val="22"/>
        </w:rPr>
        <w:t xml:space="preserve">Ghana Chamber of Gold Buyers — owns member relationships, governance, and brand; receives a 30% revenue share but makes no upfront investment.</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 (matches the original proposal).</w:t>
      </w:r>
    </w:p>
    <w:p>
      <w:pPr>
        <w:pStyle w:val="Heading2"/>
        <w:spacing w:after="160" w:before="360" w:line="340" w:lineRule="atLeast"/>
      </w:pPr>
      <w:bookmarkStart w:id="100005" w:name="_Toc100005"/>
      <w:r>
        <w:rPr>
          <w:rFonts w:ascii="Calibri"/>
          <w:b/>
          <w:bCs/>
          <w:color w:val="1A1A1A"/>
          <w:sz w:val="28"/>
          <w:szCs w:val="28"/>
        </w:rPr>
        <w:t xml:space="preserve">Budget, Timeline &amp; Runway</w:t>
      </w:r>
      <w:bookmarkEnd w:id="100005"/>
    </w:p>
    <w:p>
      <w:pPr>
        <w:pStyle w:val="ListParagraph"/>
        <w:numPr>
          <w:ilvl w:val="0"/>
          <w:numId w:val="1"/>
        </w:numPr>
        <w:spacing w:after="80" w:line="300" w:lineRule="auto"/>
        <w:jc w:val="left"/>
      </w:pPr>
      <w:r>
        <w:rPr>
          <w:rFonts w:ascii="Calibri"/>
          <w:b/>
          <w:bCs/>
          <w:color w:val="1A1A1A"/>
          <w:sz w:val="22"/>
          <w:szCs w:val="22"/>
        </w:rPr>
        <w:t xml:space="preserve">CapEx ceiling: </w:t>
      </w:r>
      <w:r>
        <w:rPr>
          <w:rFonts w:ascii="Calibri"/>
          <w:color w:val="1A1A1A"/>
          <w:sz w:val="22"/>
          <w:szCs w:val="22"/>
        </w:rPr>
        <w:t xml:space="preserve">US$450,000 for Phase 1 (Digital Member Portal) and Phase 2 (Trading Platform), including a 15% contingency reserve.</w:t>
      </w:r>
    </w:p>
    <w:p>
      <w:pPr>
        <w:pStyle w:val="ListParagraph"/>
        <w:numPr>
          <w:ilvl w:val="0"/>
          <w:numId w:val="1"/>
        </w:numPr>
        <w:spacing w:after="80" w:line="300" w:lineRule="auto"/>
        <w:jc w:val="left"/>
      </w:pPr>
      <w:r>
        <w:rPr>
          <w:rFonts w:ascii="Calibri"/>
          <w:b/>
          <w:bCs/>
          <w:color w:val="1A1A1A"/>
          <w:sz w:val="22"/>
          <w:szCs w:val="22"/>
        </w:rPr>
        <w:t xml:space="preserve">Target MVP launch: </w:t>
      </w:r>
      <w:r>
        <w:rPr>
          <w:rFonts w:ascii="Calibri"/>
          <w:color w:val="1A1A1A"/>
          <w:sz w:val="22"/>
          <w:szCs w:val="22"/>
        </w:rPr>
        <w:t xml:space="preserve">Q3 2027 (12-month build from August 2026). Original Q1 2027 target was revised to Q3 2027 to accommodate the GoldBod Act 1140 integration requirement and SOC 2 readiness; see Charter Section 6 for full reconciliation.</w:t>
      </w:r>
    </w:p>
    <w:p>
      <w:pPr>
        <w:pStyle w:val="ListParagraph"/>
        <w:numPr>
          <w:ilvl w:val="0"/>
          <w:numId w:val="1"/>
        </w:numPr>
        <w:spacing w:after="80" w:line="300" w:lineRule="auto"/>
        <w:jc w:val="left"/>
      </w:pPr>
      <w:r>
        <w:rPr>
          <w:rFonts w:ascii="Calibri"/>
          <w:b/>
          <w:bCs/>
          <w:color w:val="1A1A1A"/>
          <w:sz w:val="22"/>
          <w:szCs w:val="22"/>
        </w:rPr>
        <w:t xml:space="preserve">Operational runway: </w:t>
      </w:r>
      <w:r>
        <w:rPr>
          <w:rFonts w:ascii="Calibri"/>
          <w:color w:val="1A1A1A"/>
          <w:sz w:val="22"/>
          <w:szCs w:val="22"/>
        </w:rPr>
        <w:t xml:space="preserve">18 months of OpEx funding secured post-launch (i.e., through Q1 2029), sufficient to reach break-even at month 22.</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w:t>
      </w:r>
    </w:p>
    <w:p>
      <w:pPr>
        <w:pStyle w:val="Heading2"/>
        <w:spacing w:after="160" w:before="360" w:line="340" w:lineRule="atLeast"/>
      </w:pPr>
      <w:bookmarkStart w:id="100006" w:name="_Toc100006"/>
      <w:r>
        <w:rPr>
          <w:rFonts w:ascii="Calibri"/>
          <w:b/>
          <w:bCs/>
          <w:color w:val="1A1A1A"/>
          <w:sz w:val="28"/>
          <w:szCs w:val="28"/>
        </w:rPr>
        <w:t xml:space="preserve">Monetization Model</w:t>
      </w:r>
      <w:bookmarkEnd w:id="100006"/>
    </w:p>
    <w:p>
      <w:pPr>
        <w:pStyle w:val="ListParagraph"/>
        <w:numPr>
          <w:ilvl w:val="0"/>
          <w:numId w:val="1"/>
        </w:numPr>
        <w:spacing w:after="80" w:line="300" w:lineRule="auto"/>
        <w:jc w:val="left"/>
      </w:pPr>
      <w:r>
        <w:rPr>
          <w:rFonts w:ascii="Calibri"/>
          <w:b/>
          <w:bCs/>
          <w:color w:val="1A1A1A"/>
          <w:sz w:val="22"/>
          <w:szCs w:val="22"/>
        </w:rPr>
        <w:t xml:space="preserve">Hybrid SaaS with revenue sharing. </w:t>
      </w:r>
      <w:r>
        <w:rPr>
          <w:rFonts w:ascii="Calibri"/>
          <w:color w:val="1A1A1A"/>
          <w:sz w:val="22"/>
          <w:szCs w:val="22"/>
        </w:rPr>
        <w:t xml:space="preserve">0.10% transaction fee per side (buyer + seller), tiered subscriptions (Free / Professional US$100/month / Enterprise US$500+ per month), and value-added service fees for escrow, logistics coordination, assay certification, and market intelligence.</w:t>
      </w:r>
    </w:p>
    <w:p>
      <w:pPr>
        <w:pStyle w:val="ListParagraph"/>
        <w:numPr>
          <w:ilvl w:val="0"/>
          <w:numId w:val="1"/>
        </w:numPr>
        <w:spacing w:after="80" w:line="300" w:lineRule="auto"/>
        <w:jc w:val="left"/>
      </w:pPr>
      <w:r>
        <w:rPr>
          <w:rFonts w:ascii="Calibri"/>
          <w:b/>
          <w:bCs/>
          <w:color w:val="1A1A1A"/>
          <w:sz w:val="22"/>
          <w:szCs w:val="22"/>
        </w:rPr>
        <w:t xml:space="preserve">Revenue split: </w:t>
      </w:r>
      <w:r>
        <w:rPr>
          <w:rFonts w:ascii="Calibri"/>
          <w:color w:val="1A1A1A"/>
          <w:sz w:val="22"/>
          <w:szCs w:val="22"/>
        </w:rPr>
        <w:t xml:space="preserve">70% to Smart Innovations Ghana Limited, 30% to the Chamber — reflecting that Smart Innovations bears 100% of the technology, hosting, support, and operations costs.</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 (matches the original proposal's recommended Option B).</w:t>
      </w:r>
    </w:p>
    <w:p>
      <w:pPr>
        <w:pStyle w:val="Heading2"/>
        <w:spacing w:after="160" w:before="360" w:line="340" w:lineRule="atLeast"/>
      </w:pPr>
      <w:bookmarkStart w:id="100007" w:name="_Toc100007"/>
      <w:r>
        <w:rPr>
          <w:rFonts w:ascii="Calibri"/>
          <w:b/>
          <w:bCs/>
          <w:color w:val="1A1A1A"/>
          <w:sz w:val="28"/>
          <w:szCs w:val="28"/>
        </w:rPr>
        <w:t xml:space="preserve">Compliance &amp; Technical Dependencies</w:t>
      </w:r>
      <w:bookmarkEnd w:id="100007"/>
    </w:p>
    <w:p>
      <w:pPr>
        <w:pStyle w:val="ListParagraph"/>
        <w:numPr>
          <w:ilvl w:val="0"/>
          <w:numId w:val="1"/>
        </w:numPr>
        <w:spacing w:after="80" w:line="300" w:lineRule="auto"/>
        <w:jc w:val="left"/>
      </w:pPr>
      <w:r>
        <w:rPr>
          <w:rFonts w:ascii="Calibri"/>
          <w:color w:val="1A1A1A"/>
          <w:sz w:val="22"/>
          <w:szCs w:val="22"/>
        </w:rPr>
        <w:t xml:space="preserve">Ghana Gold Board Act 2025 (Act 1140) — GoldBod as sole buyer of small-scale-mined gold; integration mandatory for any trade touching that supply chain [UNCTAD, 2025; goldbod.gov.gh].</w:t>
      </w:r>
    </w:p>
    <w:p>
      <w:pPr>
        <w:pStyle w:val="ListParagraph"/>
        <w:numPr>
          <w:ilvl w:val="0"/>
          <w:numId w:val="1"/>
        </w:numPr>
        <w:spacing w:after="80" w:line="300" w:lineRule="auto"/>
        <w:jc w:val="left"/>
      </w:pPr>
      <w:r>
        <w:rPr>
          <w:rFonts w:ascii="Calibri"/>
          <w:color w:val="1A1A1A"/>
          <w:sz w:val="22"/>
          <w:szCs w:val="22"/>
        </w:rPr>
        <w:t xml:space="preserve">Ghana AML Act 2020 (Act 1044) and FATF recommendations for Designated Non-Financial Businesses and Professions (DNFBPs) [OGP commitment GH0029].</w:t>
      </w:r>
    </w:p>
    <w:p>
      <w:pPr>
        <w:pStyle w:val="ListParagraph"/>
        <w:numPr>
          <w:ilvl w:val="0"/>
          <w:numId w:val="1"/>
        </w:numPr>
        <w:spacing w:after="80" w:line="300" w:lineRule="auto"/>
        <w:jc w:val="left"/>
      </w:pPr>
      <w:r>
        <w:rPr>
          <w:rFonts w:ascii="Calibri"/>
          <w:color w:val="1A1A1A"/>
          <w:sz w:val="22"/>
          <w:szCs w:val="22"/>
        </w:rPr>
        <w:t xml:space="preserve">Ghana Data Protection Act 2012 (Act 843), with GDPR-equivalence treatment for international Tier 1 buyers' data [dataprotection.org.gh].</w:t>
      </w:r>
    </w:p>
    <w:p>
      <w:pPr>
        <w:pStyle w:val="ListParagraph"/>
        <w:numPr>
          <w:ilvl w:val="0"/>
          <w:numId w:val="1"/>
        </w:numPr>
        <w:spacing w:after="80" w:line="300" w:lineRule="auto"/>
        <w:jc w:val="left"/>
      </w:pPr>
      <w:r>
        <w:rPr>
          <w:rFonts w:ascii="Calibri"/>
          <w:color w:val="1A1A1A"/>
          <w:sz w:val="22"/>
          <w:szCs w:val="22"/>
        </w:rPr>
        <w:t xml:space="preserve">PMMC Licensed Gold Exporter (LGE) export certification workflow [pmmc.gov.gh].</w:t>
      </w:r>
    </w:p>
    <w:p>
      <w:pPr>
        <w:pStyle w:val="ListParagraph"/>
        <w:numPr>
          <w:ilvl w:val="0"/>
          <w:numId w:val="1"/>
        </w:numPr>
        <w:spacing w:after="80" w:line="300" w:lineRule="auto"/>
        <w:jc w:val="left"/>
      </w:pPr>
      <w:r>
        <w:rPr>
          <w:rFonts w:ascii="Calibri"/>
          <w:color w:val="1A1A1A"/>
          <w:sz w:val="22"/>
          <w:szCs w:val="22"/>
        </w:rPr>
        <w:t xml:space="preserve">Minerals Commission of Ghana licensing and verification [mincom.gov.gh].</w:t>
      </w:r>
    </w:p>
    <w:p>
      <w:pPr>
        <w:pStyle w:val="ListParagraph"/>
        <w:numPr>
          <w:ilvl w:val="0"/>
          <w:numId w:val="1"/>
        </w:numPr>
        <w:spacing w:after="80" w:line="300" w:lineRule="auto"/>
        <w:jc w:val="left"/>
      </w:pPr>
      <w:r>
        <w:rPr>
          <w:rFonts w:ascii="Calibri"/>
          <w:color w:val="1A1A1A"/>
          <w:sz w:val="22"/>
          <w:szCs w:val="22"/>
        </w:rPr>
        <w:t xml:space="preserve">LBMA Responsible Gold Guidance (RGG) — five-step OECD-aligned due diligence [lbma.org.uk, 2024].</w:t>
      </w:r>
    </w:p>
    <w:p>
      <w:pPr>
        <w:pStyle w:val="ListParagraph"/>
        <w:numPr>
          <w:ilvl w:val="0"/>
          <w:numId w:val="1"/>
        </w:numPr>
        <w:spacing w:after="80" w:line="300" w:lineRule="auto"/>
        <w:jc w:val="left"/>
      </w:pPr>
      <w:r>
        <w:rPr>
          <w:rFonts w:ascii="Calibri"/>
          <w:color w:val="1A1A1A"/>
          <w:sz w:val="22"/>
          <w:szCs w:val="22"/>
        </w:rPr>
        <w:t xml:space="preserve">SOC 2 Type II attestation and ISO 27001 ISMS certification for the platform's data security posture.</w:t>
      </w:r>
    </w:p>
    <w:p>
      <w:pPr>
        <w:pStyle w:val="ListParagraph"/>
        <w:numPr>
          <w:ilvl w:val="0"/>
          <w:numId w:val="1"/>
        </w:numPr>
        <w:spacing w:after="80" w:line="300" w:lineRule="auto"/>
        <w:jc w:val="left"/>
      </w:pPr>
      <w:r>
        <w:rPr>
          <w:rFonts w:ascii="Calibri"/>
          <w:color w:val="1A1A1A"/>
          <w:sz w:val="22"/>
          <w:szCs w:val="22"/>
        </w:rPr>
        <w:t xml:space="preserve">PCI DSS Level 1 for the escrow and payment integration components.</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 Third-party dependencies include AWS or Azure (Ghana region preferred), Smile Identity for KYC (operating in 50+ African countries per their public positioning), Stanbic Bank Ghana or Ecobank Ghana as LBMA-aligned escrow bank (both confirmed operating corporate banking in Ghana), and LBMA PM Fix price feed via FastMarkets or Refinitiv.</w:t>
      </w:r>
    </w:p>
    <w:p>
      <w:r>
        <w:br w:type="page"/>
      </w:r>
    </w:p>
    <w:p>
      <w:pPr>
        <w:spacing w:after="360" w:before="240"/>
        <w:jc w:val="center"/>
      </w:pPr>
      <w:r>
        <w:rPr>
          <w:rFonts w:ascii="Calibri"/>
          <w:b/>
          <w:bCs/>
          <w:color w:val="1A1A1A"/>
          <w:sz w:val="36"/>
          <w:szCs w:val="36"/>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Locked Assumptions</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Market Sizing — Validated Against 2024 Actuals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Regulatory Environment — Validated</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Product &amp; Commercial Identity</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Customer Segment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Budget, Timeline &amp; Runway</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Monetization Model</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Compliance &amp; Technical Dependencies</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Executive Summary</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Document 1 — Value Proposition Canvas</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A. Customer Profile</w:t>
            </w:r>
            <w:r>
              <w:tab/>
            </w:r>
            <w:r>
              <w:fldChar w:fldCharType="begin"/>
            </w:r>
            <w:r>
              <w:instrText xml:space="preserve"> PAGEREF _Toc100010 \h </w:instrText>
            </w:r>
            <w:r>
              <w:fldChar w:fldCharType="separate"/>
            </w:r>
            <w:r>
              <w:t>8</w:t>
            </w:r>
            <w:r>
              <w:fldChar w:fldCharType="end"/>
            </w:r>
          </w:hyperlink>
        </w:p>
        <w:p>
          <w:pPr>
            <w:pStyle w:val="12"/>
            <w:ind w:left="720"/>
            <w:tabs>
              <w:tab w:val="right" w:leader="dot" w:pos="9026"/>
            </w:tabs>
            <w:spacing w:before="120" w:after="60"/>
          </w:pPr>
          <w:hyperlink w:anchor="_Toc100011" w:history="1">
            <w:r>
              <w:rPr>
                <w:rStyle w:val="Hyperlink"/>
              </w:rPr>
              <w:t>Customer Jobs</w:t>
            </w:r>
            <w:r>
              <w:tab/>
            </w:r>
            <w:r>
              <w:fldChar w:fldCharType="begin"/>
            </w:r>
            <w:r>
              <w:instrText xml:space="preserve"> PAGEREF _Toc100011 \h </w:instrText>
            </w:r>
            <w:r>
              <w:fldChar w:fldCharType="separate"/>
            </w:r>
            <w:r>
              <w:t>8</w:t>
            </w:r>
            <w:r>
              <w:fldChar w:fldCharType="end"/>
            </w:r>
          </w:hyperlink>
        </w:p>
        <w:p>
          <w:pPr>
            <w:pStyle w:val="12"/>
            <w:ind w:left="720"/>
            <w:tabs>
              <w:tab w:val="right" w:leader="dot" w:pos="9026"/>
            </w:tabs>
            <w:spacing w:before="120" w:after="60"/>
          </w:pPr>
          <w:hyperlink w:anchor="_Toc100012" w:history="1">
            <w:r>
              <w:rPr>
                <w:rStyle w:val="Hyperlink"/>
              </w:rPr>
              <w:t>Pains</w:t>
            </w:r>
            <w:r>
              <w:tab/>
            </w:r>
            <w:r>
              <w:fldChar w:fldCharType="begin"/>
            </w:r>
            <w:r>
              <w:instrText xml:space="preserve"> PAGEREF _Toc100012 \h </w:instrText>
            </w:r>
            <w:r>
              <w:fldChar w:fldCharType="separate"/>
            </w:r>
            <w:r>
              <w:t>9</w:t>
            </w:r>
            <w:r>
              <w:fldChar w:fldCharType="end"/>
            </w:r>
          </w:hyperlink>
        </w:p>
        <w:p>
          <w:pPr>
            <w:pStyle w:val="12"/>
            <w:ind w:left="720"/>
            <w:tabs>
              <w:tab w:val="right" w:leader="dot" w:pos="9026"/>
            </w:tabs>
            <w:spacing w:before="120" w:after="60"/>
          </w:pPr>
          <w:hyperlink w:anchor="_Toc100013" w:history="1">
            <w:r>
              <w:rPr>
                <w:rStyle w:val="Hyperlink"/>
              </w:rPr>
              <w:t>Gains</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B. Value Map</w:t>
            </w:r>
            <w:r>
              <w:tab/>
            </w:r>
            <w:r>
              <w:fldChar w:fldCharType="begin"/>
            </w:r>
            <w:r>
              <w:instrText xml:space="preserve"> PAGEREF _Toc100014 \h </w:instrText>
            </w:r>
            <w:r>
              <w:fldChar w:fldCharType="separate"/>
            </w:r>
            <w:r>
              <w:t>10</w:t>
            </w:r>
            <w:r>
              <w:fldChar w:fldCharType="end"/>
            </w:r>
          </w:hyperlink>
        </w:p>
        <w:p>
          <w:pPr>
            <w:pStyle w:val="12"/>
            <w:ind w:left="720"/>
            <w:tabs>
              <w:tab w:val="right" w:leader="dot" w:pos="9026"/>
            </w:tabs>
            <w:spacing w:before="120" w:after="60"/>
          </w:pPr>
          <w:hyperlink w:anchor="_Toc100015" w:history="1">
            <w:r>
              <w:rPr>
                <w:rStyle w:val="Hyperlink"/>
              </w:rPr>
              <w:t>Products &amp; Services (MVP Scope)</w:t>
            </w:r>
            <w:r>
              <w:tab/>
            </w:r>
            <w:r>
              <w:fldChar w:fldCharType="begin"/>
            </w:r>
            <w:r>
              <w:instrText xml:space="preserve"> PAGEREF _Toc100015 \h </w:instrText>
            </w:r>
            <w:r>
              <w:fldChar w:fldCharType="separate"/>
            </w:r>
            <w:r>
              <w:t>10</w:t>
            </w:r>
            <w:r>
              <w:fldChar w:fldCharType="end"/>
            </w:r>
          </w:hyperlink>
        </w:p>
        <w:p>
          <w:pPr>
            <w:pStyle w:val="12"/>
            <w:ind w:left="720"/>
            <w:tabs>
              <w:tab w:val="right" w:leader="dot" w:pos="9026"/>
            </w:tabs>
            <w:spacing w:before="120" w:after="60"/>
          </w:pPr>
          <w:hyperlink w:anchor="_Toc100016" w:history="1">
            <w:r>
              <w:rPr>
                <w:rStyle w:val="Hyperlink"/>
              </w:rPr>
              <w:t>Pain Relievers</w:t>
            </w:r>
            <w:r>
              <w:tab/>
            </w:r>
            <w:r>
              <w:fldChar w:fldCharType="begin"/>
            </w:r>
            <w:r>
              <w:instrText xml:space="preserve"> PAGEREF _Toc100016 \h </w:instrText>
            </w:r>
            <w:r>
              <w:fldChar w:fldCharType="separate"/>
            </w:r>
            <w:r>
              <w:t>11</w:t>
            </w:r>
            <w:r>
              <w:fldChar w:fldCharType="end"/>
            </w:r>
          </w:hyperlink>
        </w:p>
        <w:p>
          <w:pPr>
            <w:pStyle w:val="12"/>
            <w:ind w:left="720"/>
            <w:tabs>
              <w:tab w:val="right" w:leader="dot" w:pos="9026"/>
            </w:tabs>
            <w:spacing w:before="120" w:after="60"/>
          </w:pPr>
          <w:hyperlink w:anchor="_Toc100017" w:history="1">
            <w:r>
              <w:rPr>
                <w:rStyle w:val="Hyperlink"/>
              </w:rPr>
              <w:t>Gain Creators</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C. The Fit Statement</w:t>
            </w:r>
            <w:r>
              <w:tab/>
            </w:r>
            <w:r>
              <w:fldChar w:fldCharType="begin"/>
            </w:r>
            <w:r>
              <w:instrText xml:space="preserve"> PAGEREF _Toc100018 \h </w:instrText>
            </w:r>
            <w:r>
              <w:fldChar w:fldCharType="separate"/>
            </w:r>
            <w:r>
              <w:t>12</w:t>
            </w:r>
            <w:r>
              <w:fldChar w:fldCharType="end"/>
            </w:r>
          </w:hyperlink>
        </w:p>
        <w:p>
          <w:pPr>
            <w:pStyle w:val="9"/>
            <w:tabs>
              <w:tab w:val="right" w:leader="dot" w:pos="9026"/>
            </w:tabs>
            <w:spacing w:before="120" w:after="60"/>
          </w:pPr>
          <w:hyperlink w:anchor="_Toc100019" w:history="1">
            <w:r>
              <w:rPr>
                <w:rStyle w:val="Hyperlink"/>
              </w:rPr>
              <w:t>Document 2 — Business Model Canvas</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1. Customer Segments</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2. Value Propositions</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3. Channels</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4. Customer Relationships</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5. Revenue Streams</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6. Key Activities</w:t>
            </w:r>
            <w:r>
              <w:tab/>
            </w:r>
            <w:r>
              <w:fldChar w:fldCharType="begin"/>
            </w:r>
            <w:r>
              <w:instrText xml:space="preserve"> PAGEREF _Toc100025 \h </w:instrText>
            </w:r>
            <w:r>
              <w:fldChar w:fldCharType="separate"/>
            </w:r>
            <w:r>
              <w:t>16</w:t>
            </w:r>
            <w:r>
              <w:fldChar w:fldCharType="end"/>
            </w:r>
          </w:hyperlink>
        </w:p>
        <w:p>
          <w:pPr>
            <w:pStyle w:val="11"/>
            <w:ind w:left="360"/>
            <w:tabs>
              <w:tab w:val="right" w:leader="dot" w:pos="9026"/>
            </w:tabs>
            <w:spacing w:before="120" w:after="60"/>
          </w:pPr>
          <w:hyperlink w:anchor="_Toc100026" w:history="1">
            <w:r>
              <w:rPr>
                <w:rStyle w:val="Hyperlink"/>
              </w:rPr>
              <w:t>7. Key Resources</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8. Key Partnerships</w:t>
            </w:r>
            <w:r>
              <w:tab/>
            </w:r>
            <w:r>
              <w:fldChar w:fldCharType="begin"/>
            </w:r>
            <w:r>
              <w:instrText xml:space="preserve"> PAGEREF _Toc100027 \h </w:instrText>
            </w:r>
            <w:r>
              <w:fldChar w:fldCharType="separate"/>
            </w:r>
            <w:r>
              <w:t>18</w:t>
            </w:r>
            <w:r>
              <w:fldChar w:fldCharType="end"/>
            </w:r>
          </w:hyperlink>
        </w:p>
        <w:p>
          <w:pPr>
            <w:pStyle w:val="11"/>
            <w:ind w:left="360"/>
            <w:tabs>
              <w:tab w:val="right" w:leader="dot" w:pos="9026"/>
            </w:tabs>
            <w:spacing w:before="120" w:after="60"/>
          </w:pPr>
          <w:hyperlink w:anchor="_Toc100028" w:history="1">
            <w:r>
              <w:rPr>
                <w:rStyle w:val="Hyperlink"/>
              </w:rPr>
              <w:t>9. Cost Structure</w:t>
            </w:r>
            <w:r>
              <w:tab/>
            </w:r>
            <w:r>
              <w:fldChar w:fldCharType="begin"/>
            </w:r>
            <w:r>
              <w:instrText xml:space="preserve"> PAGEREF _Toc100028 \h </w:instrText>
            </w:r>
            <w:r>
              <w:fldChar w:fldCharType="separate"/>
            </w:r>
            <w:r>
              <w:t>18</w:t>
            </w:r>
            <w:r>
              <w:fldChar w:fldCharType="end"/>
            </w:r>
          </w:hyperlink>
        </w:p>
        <w:p>
          <w:pPr>
            <w:pStyle w:val="9"/>
            <w:tabs>
              <w:tab w:val="right" w:leader="dot" w:pos="9026"/>
            </w:tabs>
            <w:spacing w:before="120" w:after="60"/>
          </w:pPr>
          <w:hyperlink w:anchor="_Toc100029" w:history="1">
            <w:r>
              <w:rPr>
                <w:rStyle w:val="Hyperlink"/>
              </w:rPr>
              <w:t>Document 3 — Financial Documentation</w:t>
            </w:r>
            <w:r>
              <w:tab/>
            </w:r>
            <w:r>
              <w:fldChar w:fldCharType="begin"/>
            </w:r>
            <w:r>
              <w:instrText xml:space="preserve"> PAGEREF _Toc100029 \h </w:instrText>
            </w:r>
            <w:r>
              <w:fldChar w:fldCharType="separate"/>
            </w:r>
            <w:r>
              <w:t>19</w:t>
            </w:r>
            <w:r>
              <w:fldChar w:fldCharType="end"/>
            </w:r>
          </w:hyperlink>
        </w:p>
        <w:p>
          <w:pPr>
            <w:pStyle w:val="11"/>
            <w:ind w:left="360"/>
            <w:tabs>
              <w:tab w:val="right" w:leader="dot" w:pos="9026"/>
            </w:tabs>
            <w:spacing w:before="120" w:after="60"/>
          </w:pPr>
          <w:hyperlink w:anchor="_Toc100030" w:history="1">
            <w:r>
              <w:rPr>
                <w:rStyle w:val="Hyperlink"/>
              </w:rPr>
              <w:t>A. Development &amp; Launch Budget (CapEx)</w:t>
            </w:r>
            <w:r>
              <w:tab/>
            </w:r>
            <w:r>
              <w:fldChar w:fldCharType="begin"/>
            </w:r>
            <w:r>
              <w:instrText xml:space="preserve"> PAGEREF _Toc100030 \h </w:instrText>
            </w:r>
            <w:r>
              <w:fldChar w:fldCharType="separate"/>
            </w:r>
            <w:r>
              <w:t>19</w:t>
            </w:r>
            <w:r>
              <w:fldChar w:fldCharType="end"/>
            </w:r>
          </w:hyperlink>
        </w:p>
        <w:p>
          <w:pPr>
            <w:pStyle w:val="11"/>
            <w:ind w:left="360"/>
            <w:tabs>
              <w:tab w:val="right" w:leader="dot" w:pos="9026"/>
            </w:tabs>
            <w:spacing w:before="120" w:after="60"/>
          </w:pPr>
          <w:hyperlink w:anchor="_Toc100031" w:history="1">
            <w:r>
              <w:rPr>
                <w:rStyle w:val="Hyperlink"/>
              </w:rPr>
              <w:t>B. Operational Expenses (OpEx / Monthly Burn Rate)</w:t>
            </w:r>
            <w:r>
              <w:tab/>
            </w:r>
            <w:r>
              <w:fldChar w:fldCharType="begin"/>
            </w:r>
            <w:r>
              <w:instrText xml:space="preserve"> PAGEREF _Toc100031 \h </w:instrText>
            </w:r>
            <w:r>
              <w:fldChar w:fldCharType="separate"/>
            </w:r>
            <w:r>
              <w:t>20</w:t>
            </w:r>
            <w:r>
              <w:fldChar w:fldCharType="end"/>
            </w:r>
          </w:hyperlink>
        </w:p>
        <w:p>
          <w:pPr>
            <w:pStyle w:val="11"/>
            <w:ind w:left="360"/>
            <w:tabs>
              <w:tab w:val="right" w:leader="dot" w:pos="9026"/>
            </w:tabs>
            <w:spacing w:before="120" w:after="60"/>
          </w:pPr>
          <w:hyperlink w:anchor="_Toc100032" w:history="1">
            <w:r>
              <w:rPr>
                <w:rStyle w:val="Hyperlink"/>
              </w:rPr>
              <w:t>C. Funding Source &amp; Accounting Treatment</w:t>
            </w:r>
            <w:r>
              <w:tab/>
            </w:r>
            <w:r>
              <w:fldChar w:fldCharType="begin"/>
            </w:r>
            <w:r>
              <w:instrText xml:space="preserve"> PAGEREF _Toc100032 \h </w:instrText>
            </w:r>
            <w:r>
              <w:fldChar w:fldCharType="separate"/>
            </w:r>
            <w:r>
              <w:t>21</w:t>
            </w:r>
            <w:r>
              <w:fldChar w:fldCharType="end"/>
            </w:r>
          </w:hyperlink>
        </w:p>
        <w:p>
          <w:pPr>
            <w:pStyle w:val="11"/>
            <w:ind w:left="360"/>
            <w:tabs>
              <w:tab w:val="right" w:leader="dot" w:pos="9026"/>
            </w:tabs>
            <w:spacing w:before="120" w:after="60"/>
          </w:pPr>
          <w:hyperlink w:anchor="_Toc100033" w:history="1">
            <w:r>
              <w:rPr>
                <w:rStyle w:val="Hyperlink"/>
              </w:rPr>
              <w:t>D. Revenue Projections (5 Years)</w:t>
            </w:r>
            <w:r>
              <w:tab/>
            </w:r>
            <w:r>
              <w:fldChar w:fldCharType="begin"/>
            </w:r>
            <w:r>
              <w:instrText xml:space="preserve"> PAGEREF _Toc100033 \h </w:instrText>
            </w:r>
            <w:r>
              <w:fldChar w:fldCharType="separate"/>
            </w:r>
            <w:r>
              <w:t>21</w:t>
            </w:r>
            <w:r>
              <w:fldChar w:fldCharType="end"/>
            </w:r>
          </w:hyperlink>
        </w:p>
        <w:p>
          <w:pPr>
            <w:pStyle w:val="12"/>
            <w:ind w:left="720"/>
            <w:tabs>
              <w:tab w:val="right" w:leader="dot" w:pos="9026"/>
            </w:tabs>
            <w:spacing w:before="120" w:after="60"/>
          </w:pPr>
          <w:hyperlink w:anchor="_Toc100034" w:history="1">
            <w:r>
              <w:rPr>
                <w:rStyle w:val="Hyperlink"/>
              </w:rPr>
              <w:t>Top-Down: TAM → SAM → SOM</w:t>
            </w:r>
            <w:r>
              <w:tab/>
            </w:r>
            <w:r>
              <w:fldChar w:fldCharType="begin"/>
            </w:r>
            <w:r>
              <w:instrText xml:space="preserve"> PAGEREF _Toc100034 \h </w:instrText>
            </w:r>
            <w:r>
              <w:fldChar w:fldCharType="separate"/>
            </w:r>
            <w:r>
              <w:t>21</w:t>
            </w:r>
            <w:r>
              <w:fldChar w:fldCharType="end"/>
            </w:r>
          </w:hyperlink>
        </w:p>
        <w:p>
          <w:pPr>
            <w:pStyle w:val="12"/>
            <w:ind w:left="720"/>
            <w:tabs>
              <w:tab w:val="right" w:leader="dot" w:pos="9026"/>
            </w:tabs>
            <w:spacing w:before="120" w:after="60"/>
          </w:pPr>
          <w:hyperlink w:anchor="_Toc100035" w:history="1">
            <w:r>
              <w:rPr>
                <w:rStyle w:val="Hyperlink"/>
              </w:rPr>
              <w:t>Bottom-Up: Members × ARPU × Retention × Volume</w:t>
            </w:r>
            <w:r>
              <w:tab/>
            </w:r>
            <w:r>
              <w:fldChar w:fldCharType="begin"/>
            </w:r>
            <w:r>
              <w:instrText xml:space="preserve"> PAGEREF _Toc100035 \h </w:instrText>
            </w:r>
            <w:r>
              <w:fldChar w:fldCharType="separate"/>
            </w:r>
            <w:r>
              <w:t>22</w:t>
            </w:r>
            <w:r>
              <w:fldChar w:fldCharType="end"/>
            </w:r>
          </w:hyperlink>
        </w:p>
        <w:p>
          <w:pPr>
            <w:pStyle w:val="12"/>
            <w:ind w:left="720"/>
            <w:tabs>
              <w:tab w:val="right" w:leader="dot" w:pos="9026"/>
            </w:tabs>
            <w:spacing w:before="120" w:after="60"/>
          </w:pPr>
          <w:hyperlink w:anchor="_Toc100036" w:history="1">
            <w:r>
              <w:rPr>
                <w:rStyle w:val="Hyperlink"/>
              </w:rPr>
              <w:t>Churn Rate and Net Revenue Retention</w:t>
            </w:r>
            <w:r>
              <w:tab/>
            </w:r>
            <w:r>
              <w:fldChar w:fldCharType="begin"/>
            </w:r>
            <w:r>
              <w:instrText xml:space="preserve"> PAGEREF _Toc100036 \h </w:instrText>
            </w:r>
            <w:r>
              <w:fldChar w:fldCharType="separate"/>
            </w:r>
            <w:r>
              <w:t>22</w:t>
            </w:r>
            <w:r>
              <w:fldChar w:fldCharType="end"/>
            </w:r>
          </w:hyperlink>
        </w:p>
        <w:p>
          <w:pPr>
            <w:pStyle w:val="11"/>
            <w:ind w:left="360"/>
            <w:tabs>
              <w:tab w:val="right" w:leader="dot" w:pos="9026"/>
            </w:tabs>
            <w:spacing w:before="120" w:after="60"/>
          </w:pPr>
          <w:hyperlink w:anchor="_Toc100037" w:history="1">
            <w:r>
              <w:rPr>
                <w:rStyle w:val="Hyperlink"/>
              </w:rPr>
              <w:t>E. Key Financial Metrics</w:t>
            </w:r>
            <w:r>
              <w:tab/>
            </w:r>
            <w:r>
              <w:fldChar w:fldCharType="begin"/>
            </w:r>
            <w:r>
              <w:instrText xml:space="preserve"> PAGEREF _Toc100037 \h </w:instrText>
            </w:r>
            <w:r>
              <w:fldChar w:fldCharType="separate"/>
            </w:r>
            <w:r>
              <w:t>23</w:t>
            </w:r>
            <w:r>
              <w:fldChar w:fldCharType="end"/>
            </w:r>
          </w:hyperlink>
        </w:p>
        <w:p>
          <w:pPr>
            <w:pStyle w:val="12"/>
            <w:ind w:left="720"/>
            <w:tabs>
              <w:tab w:val="right" w:leader="dot" w:pos="9026"/>
            </w:tabs>
            <w:spacing w:before="120" w:after="60"/>
          </w:pPr>
          <w:hyperlink w:anchor="_Toc100038" w:history="1">
            <w:r>
              <w:rPr>
                <w:rStyle w:val="Hyperlink"/>
              </w:rPr>
              <w:t>Customer Acquisition Cost (CAC)</w:t>
            </w:r>
            <w:r>
              <w:tab/>
            </w:r>
            <w:r>
              <w:fldChar w:fldCharType="begin"/>
            </w:r>
            <w:r>
              <w:instrText xml:space="preserve"> PAGEREF _Toc100038 \h </w:instrText>
            </w:r>
            <w:r>
              <w:fldChar w:fldCharType="separate"/>
            </w:r>
            <w:r>
              <w:t>23</w:t>
            </w:r>
            <w:r>
              <w:fldChar w:fldCharType="end"/>
            </w:r>
          </w:hyperlink>
        </w:p>
        <w:p>
          <w:pPr>
            <w:pStyle w:val="12"/>
            <w:ind w:left="720"/>
            <w:tabs>
              <w:tab w:val="right" w:leader="dot" w:pos="9026"/>
            </w:tabs>
            <w:spacing w:before="120" w:after="60"/>
          </w:pPr>
          <w:hyperlink w:anchor="_Toc100039" w:history="1">
            <w:r>
              <w:rPr>
                <w:rStyle w:val="Hyperlink"/>
              </w:rPr>
              <w:t>Lifetime Value (LTV)</w:t>
            </w:r>
            <w:r>
              <w:tab/>
            </w:r>
            <w:r>
              <w:fldChar w:fldCharType="begin"/>
            </w:r>
            <w:r>
              <w:instrText xml:space="preserve"> PAGEREF _Toc100039 \h </w:instrText>
            </w:r>
            <w:r>
              <w:fldChar w:fldCharType="separate"/>
            </w:r>
            <w:r>
              <w:t>23</w:t>
            </w:r>
            <w:r>
              <w:fldChar w:fldCharType="end"/>
            </w:r>
          </w:hyperlink>
        </w:p>
        <w:p>
          <w:pPr>
            <w:pStyle w:val="12"/>
            <w:ind w:left="720"/>
            <w:tabs>
              <w:tab w:val="right" w:leader="dot" w:pos="9026"/>
            </w:tabs>
            <w:spacing w:before="120" w:after="60"/>
          </w:pPr>
          <w:hyperlink w:anchor="_Toc100040" w:history="1">
            <w:r>
              <w:rPr>
                <w:rStyle w:val="Hyperlink"/>
              </w:rPr>
              <w:t>LTV:CAC Ratio</w:t>
            </w:r>
            <w:r>
              <w:tab/>
            </w:r>
            <w:r>
              <w:fldChar w:fldCharType="begin"/>
            </w:r>
            <w:r>
              <w:instrText xml:space="preserve"> PAGEREF _Toc100040 \h </w:instrText>
            </w:r>
            <w:r>
              <w:fldChar w:fldCharType="separate"/>
            </w:r>
            <w:r>
              <w:t>23</w:t>
            </w:r>
            <w:r>
              <w:fldChar w:fldCharType="end"/>
            </w:r>
          </w:hyperlink>
        </w:p>
        <w:p>
          <w:pPr>
            <w:pStyle w:val="12"/>
            <w:ind w:left="720"/>
            <w:tabs>
              <w:tab w:val="right" w:leader="dot" w:pos="9026"/>
            </w:tabs>
            <w:spacing w:before="120" w:after="60"/>
          </w:pPr>
          <w:hyperlink w:anchor="_Toc100041" w:history="1">
            <w:r>
              <w:rPr>
                <w:rStyle w:val="Hyperlink"/>
              </w:rPr>
              <w:t>CAC Payback Period</w:t>
            </w:r>
            <w:r>
              <w:tab/>
            </w:r>
            <w:r>
              <w:fldChar w:fldCharType="begin"/>
            </w:r>
            <w:r>
              <w:instrText xml:space="preserve"> PAGEREF _Toc100041 \h </w:instrText>
            </w:r>
            <w:r>
              <w:fldChar w:fldCharType="separate"/>
            </w:r>
            <w:r>
              <w:t>24</w:t>
            </w:r>
            <w:r>
              <w:fldChar w:fldCharType="end"/>
            </w:r>
          </w:hyperlink>
        </w:p>
        <w:p>
          <w:pPr>
            <w:pStyle w:val="12"/>
            <w:ind w:left="720"/>
            <w:tabs>
              <w:tab w:val="right" w:leader="dot" w:pos="9026"/>
            </w:tabs>
            <w:spacing w:before="120" w:after="60"/>
          </w:pPr>
          <w:hyperlink w:anchor="_Toc100042" w:history="1">
            <w:r>
              <w:rPr>
                <w:rStyle w:val="Hyperlink"/>
              </w:rPr>
              <w:t>Break-Even Analysis</w:t>
            </w:r>
            <w:r>
              <w:tab/>
            </w:r>
            <w:r>
              <w:fldChar w:fldCharType="begin"/>
            </w:r>
            <w:r>
              <w:instrText xml:space="preserve"> PAGEREF _Toc100042 \h </w:instrText>
            </w:r>
            <w:r>
              <w:fldChar w:fldCharType="separate"/>
            </w:r>
            <w:r>
              <w:t>24</w:t>
            </w:r>
            <w:r>
              <w:fldChar w:fldCharType="end"/>
            </w:r>
          </w:hyperlink>
        </w:p>
        <w:p>
          <w:pPr>
            <w:pStyle w:val="12"/>
            <w:ind w:left="720"/>
            <w:tabs>
              <w:tab w:val="right" w:leader="dot" w:pos="9026"/>
            </w:tabs>
            <w:spacing w:before="120" w:after="60"/>
          </w:pPr>
          <w:hyperlink w:anchor="_Toc100043" w:history="1">
            <w:r>
              <w:rPr>
                <w:rStyle w:val="Hyperlink"/>
              </w:rPr>
              <w:t>Cost of Doing Nothing</w:t>
            </w:r>
            <w:r>
              <w:tab/>
            </w:r>
            <w:r>
              <w:fldChar w:fldCharType="begin"/>
            </w:r>
            <w:r>
              <w:instrText xml:space="preserve"> PAGEREF _Toc100043 \h </w:instrText>
            </w:r>
            <w:r>
              <w:fldChar w:fldCharType="separate"/>
            </w:r>
            <w:r>
              <w:t>25</w:t>
            </w:r>
            <w:r>
              <w:fldChar w:fldCharType="end"/>
            </w:r>
          </w:hyperlink>
        </w:p>
        <w:p>
          <w:pPr>
            <w:pStyle w:val="11"/>
            <w:ind w:left="360"/>
            <w:tabs>
              <w:tab w:val="right" w:leader="dot" w:pos="9026"/>
            </w:tabs>
            <w:spacing w:before="120" w:after="60"/>
          </w:pPr>
          <w:hyperlink w:anchor="_Toc100044" w:history="1">
            <w:r>
              <w:rPr>
                <w:rStyle w:val="Hyperlink"/>
              </w:rPr>
              <w:t>F. Budget Tracking &amp; Governance</w:t>
            </w:r>
            <w:r>
              <w:tab/>
            </w:r>
            <w:r>
              <w:fldChar w:fldCharType="begin"/>
            </w:r>
            <w:r>
              <w:instrText xml:space="preserve"> PAGEREF _Toc100044 \h </w:instrText>
            </w:r>
            <w:r>
              <w:fldChar w:fldCharType="separate"/>
            </w:r>
            <w:r>
              <w:t>25</w:t>
            </w:r>
            <w:r>
              <w:fldChar w:fldCharType="end"/>
            </w:r>
          </w:hyperlink>
        </w:p>
        <w:p>
          <w:pPr>
            <w:pStyle w:val="9"/>
            <w:tabs>
              <w:tab w:val="right" w:leader="dot" w:pos="9026"/>
            </w:tabs>
            <w:spacing w:before="120" w:after="60"/>
          </w:pPr>
          <w:hyperlink w:anchor="_Toc100045" w:history="1">
            <w:r>
              <w:rPr>
                <w:rStyle w:val="Hyperlink"/>
              </w:rPr>
              <w:t>Document 4 — Project Charter</w:t>
            </w:r>
            <w:r>
              <w:tab/>
            </w:r>
            <w:r>
              <w:fldChar w:fldCharType="begin"/>
            </w:r>
            <w:r>
              <w:instrText xml:space="preserve"> PAGEREF _Toc100045 \h </w:instrText>
            </w:r>
            <w:r>
              <w:fldChar w:fldCharType="separate"/>
            </w:r>
            <w:r>
              <w:t>26</w:t>
            </w:r>
            <w:r>
              <w:fldChar w:fldCharType="end"/>
            </w:r>
          </w:hyperlink>
        </w:p>
        <w:p>
          <w:pPr>
            <w:pStyle w:val="11"/>
            <w:ind w:left="360"/>
            <w:tabs>
              <w:tab w:val="right" w:leader="dot" w:pos="9026"/>
            </w:tabs>
            <w:spacing w:before="120" w:after="60"/>
          </w:pPr>
          <w:hyperlink w:anchor="_Toc100046" w:history="1">
            <w:r>
              <w:rPr>
                <w:rStyle w:val="Hyperlink"/>
              </w:rPr>
              <w:t>1. Project Title &amp; Description</w:t>
            </w:r>
            <w:r>
              <w:tab/>
            </w:r>
            <w:r>
              <w:fldChar w:fldCharType="begin"/>
            </w:r>
            <w:r>
              <w:instrText xml:space="preserve"> PAGEREF _Toc100046 \h </w:instrText>
            </w:r>
            <w:r>
              <w:fldChar w:fldCharType="separate"/>
            </w:r>
            <w:r>
              <w:t>26</w:t>
            </w:r>
            <w:r>
              <w:fldChar w:fldCharType="end"/>
            </w:r>
          </w:hyperlink>
        </w:p>
        <w:p>
          <w:pPr>
            <w:pStyle w:val="11"/>
            <w:ind w:left="360"/>
            <w:tabs>
              <w:tab w:val="right" w:leader="dot" w:pos="9026"/>
            </w:tabs>
            <w:spacing w:before="120" w:after="60"/>
          </w:pPr>
          <w:hyperlink w:anchor="_Toc100047" w:history="1">
            <w:r>
              <w:rPr>
                <w:rStyle w:val="Hyperlink"/>
              </w:rPr>
              <w:t>2. Business Case Summary</w:t>
            </w:r>
            <w:r>
              <w:tab/>
            </w:r>
            <w:r>
              <w:fldChar w:fldCharType="begin"/>
            </w:r>
            <w:r>
              <w:instrText xml:space="preserve"> PAGEREF _Toc100047 \h </w:instrText>
            </w:r>
            <w:r>
              <w:fldChar w:fldCharType="separate"/>
            </w:r>
            <w:r>
              <w:t>26</w:t>
            </w:r>
            <w:r>
              <w:fldChar w:fldCharType="end"/>
            </w:r>
          </w:hyperlink>
        </w:p>
        <w:p>
          <w:pPr>
            <w:pStyle w:val="11"/>
            <w:ind w:left="360"/>
            <w:tabs>
              <w:tab w:val="right" w:leader="dot" w:pos="9026"/>
            </w:tabs>
            <w:spacing w:before="120" w:after="60"/>
          </w:pPr>
          <w:hyperlink w:anchor="_Toc100048" w:history="1">
            <w:r>
              <w:rPr>
                <w:rStyle w:val="Hyperlink"/>
              </w:rPr>
              <w:t>3. Objectives (SMART)</w:t>
            </w:r>
            <w:r>
              <w:tab/>
            </w:r>
            <w:r>
              <w:fldChar w:fldCharType="begin"/>
            </w:r>
            <w:r>
              <w:instrText xml:space="preserve"> PAGEREF _Toc100048 \h </w:instrText>
            </w:r>
            <w:r>
              <w:fldChar w:fldCharType="separate"/>
            </w:r>
            <w:r>
              <w:t>26</w:t>
            </w:r>
            <w:r>
              <w:fldChar w:fldCharType="end"/>
            </w:r>
          </w:hyperlink>
        </w:p>
        <w:p>
          <w:pPr>
            <w:pStyle w:val="11"/>
            <w:ind w:left="360"/>
            <w:tabs>
              <w:tab w:val="right" w:leader="dot" w:pos="9026"/>
            </w:tabs>
            <w:spacing w:before="120" w:after="60"/>
          </w:pPr>
          <w:hyperlink w:anchor="_Toc100049" w:history="1">
            <w:r>
              <w:rPr>
                <w:rStyle w:val="Hyperlink"/>
              </w:rPr>
              <w:t>4. Scope</w:t>
            </w:r>
            <w:r>
              <w:tab/>
            </w:r>
            <w:r>
              <w:fldChar w:fldCharType="begin"/>
            </w:r>
            <w:r>
              <w:instrText xml:space="preserve"> PAGEREF _Toc100049 \h </w:instrText>
            </w:r>
            <w:r>
              <w:fldChar w:fldCharType="separate"/>
            </w:r>
            <w:r>
              <w:t>27</w:t>
            </w:r>
            <w:r>
              <w:fldChar w:fldCharType="end"/>
            </w:r>
          </w:hyperlink>
        </w:p>
        <w:p>
          <w:pPr>
            <w:pStyle w:val="12"/>
            <w:ind w:left="720"/>
            <w:tabs>
              <w:tab w:val="right" w:leader="dot" w:pos="9026"/>
            </w:tabs>
            <w:spacing w:before="120" w:after="60"/>
          </w:pPr>
          <w:hyperlink w:anchor="_Toc100050" w:history="1">
            <w:r>
              <w:rPr>
                <w:rStyle w:val="Hyperlink"/>
              </w:rPr>
              <w:t>4.1 In-Scope (MVP — Phase 1 + Phase 2)</w:t>
            </w:r>
            <w:r>
              <w:tab/>
            </w:r>
            <w:r>
              <w:fldChar w:fldCharType="begin"/>
            </w:r>
            <w:r>
              <w:instrText xml:space="preserve"> PAGEREF _Toc100050 \h </w:instrText>
            </w:r>
            <w:r>
              <w:fldChar w:fldCharType="separate"/>
            </w:r>
            <w:r>
              <w:t>27</w:t>
            </w:r>
            <w:r>
              <w:fldChar w:fldCharType="end"/>
            </w:r>
          </w:hyperlink>
        </w:p>
        <w:p>
          <w:pPr>
            <w:pStyle w:val="12"/>
            <w:ind w:left="720"/>
            <w:tabs>
              <w:tab w:val="right" w:leader="dot" w:pos="9026"/>
            </w:tabs>
            <w:spacing w:before="120" w:after="60"/>
          </w:pPr>
          <w:hyperlink w:anchor="_Toc100051" w:history="1">
            <w:r>
              <w:rPr>
                <w:rStyle w:val="Hyperlink"/>
              </w:rPr>
              <w:t>4.2 Out-of-Scope (Deferred to Future Phases)</w:t>
            </w:r>
            <w:r>
              <w:tab/>
            </w:r>
            <w:r>
              <w:fldChar w:fldCharType="begin"/>
            </w:r>
            <w:r>
              <w:instrText xml:space="preserve"> PAGEREF _Toc100051 \h </w:instrText>
            </w:r>
            <w:r>
              <w:fldChar w:fldCharType="separate"/>
            </w:r>
            <w:r>
              <w:t>28</w:t>
            </w:r>
            <w:r>
              <w:fldChar w:fldCharType="end"/>
            </w:r>
          </w:hyperlink>
        </w:p>
        <w:p>
          <w:pPr>
            <w:pStyle w:val="12"/>
            <w:ind w:left="720"/>
            <w:tabs>
              <w:tab w:val="right" w:leader="dot" w:pos="9026"/>
            </w:tabs>
            <w:spacing w:before="120" w:after="60"/>
          </w:pPr>
          <w:hyperlink w:anchor="_Toc100052" w:history="1">
            <w:r>
              <w:rPr>
                <w:rStyle w:val="Hyperlink"/>
              </w:rPr>
              <w:t>4.3 Key Deliverables</w:t>
            </w:r>
            <w:r>
              <w:tab/>
            </w:r>
            <w:r>
              <w:fldChar w:fldCharType="begin"/>
            </w:r>
            <w:r>
              <w:instrText xml:space="preserve"> PAGEREF _Toc100052 \h </w:instrText>
            </w:r>
            <w:r>
              <w:fldChar w:fldCharType="separate"/>
            </w:r>
            <w:r>
              <w:t>29</w:t>
            </w:r>
            <w:r>
              <w:fldChar w:fldCharType="end"/>
            </w:r>
          </w:hyperlink>
        </w:p>
        <w:p>
          <w:pPr>
            <w:pStyle w:val="11"/>
            <w:ind w:left="360"/>
            <w:tabs>
              <w:tab w:val="right" w:leader="dot" w:pos="9026"/>
            </w:tabs>
            <w:spacing w:before="120" w:after="60"/>
          </w:pPr>
          <w:hyperlink w:anchor="_Toc100053" w:history="1">
            <w:r>
              <w:rPr>
                <w:rStyle w:val="Hyperlink"/>
              </w:rPr>
              <w:t>5. Stakeholders &amp; Governance</w:t>
            </w:r>
            <w:r>
              <w:tab/>
            </w:r>
            <w:r>
              <w:fldChar w:fldCharType="begin"/>
            </w:r>
            <w:r>
              <w:instrText xml:space="preserve"> PAGEREF _Toc100053 \h </w:instrText>
            </w:r>
            <w:r>
              <w:fldChar w:fldCharType="separate"/>
            </w:r>
            <w:r>
              <w:t>29</w:t>
            </w:r>
            <w:r>
              <w:fldChar w:fldCharType="end"/>
            </w:r>
          </w:hyperlink>
        </w:p>
        <w:p>
          <w:pPr>
            <w:pStyle w:val="12"/>
            <w:ind w:left="720"/>
            <w:tabs>
              <w:tab w:val="right" w:leader="dot" w:pos="9026"/>
            </w:tabs>
            <w:spacing w:before="120" w:after="60"/>
          </w:pPr>
          <w:hyperlink w:anchor="_Toc100054" w:history="1">
            <w:r>
              <w:rPr>
                <w:rStyle w:val="Hyperlink"/>
              </w:rPr>
              <w:t>5.1 Sponsor</w:t>
            </w:r>
            <w:r>
              <w:tab/>
            </w:r>
            <w:r>
              <w:fldChar w:fldCharType="begin"/>
            </w:r>
            <w:r>
              <w:instrText xml:space="preserve"> PAGEREF _Toc100054 \h </w:instrText>
            </w:r>
            <w:r>
              <w:fldChar w:fldCharType="separate"/>
            </w:r>
            <w:r>
              <w:t>30</w:t>
            </w:r>
            <w:r>
              <w:fldChar w:fldCharType="end"/>
            </w:r>
          </w:hyperlink>
        </w:p>
        <w:p>
          <w:pPr>
            <w:pStyle w:val="12"/>
            <w:ind w:left="720"/>
            <w:tabs>
              <w:tab w:val="right" w:leader="dot" w:pos="9026"/>
            </w:tabs>
            <w:spacing w:before="120" w:after="60"/>
          </w:pPr>
          <w:hyperlink w:anchor="_Toc100055" w:history="1">
            <w:r>
              <w:rPr>
                <w:rStyle w:val="Hyperlink"/>
              </w:rPr>
              <w:t>5.2 Project Manager / Lead</w:t>
            </w:r>
            <w:r>
              <w:tab/>
            </w:r>
            <w:r>
              <w:fldChar w:fldCharType="begin"/>
            </w:r>
            <w:r>
              <w:instrText xml:space="preserve"> PAGEREF _Toc100055 \h </w:instrText>
            </w:r>
            <w:r>
              <w:fldChar w:fldCharType="separate"/>
            </w:r>
            <w:r>
              <w:t>30</w:t>
            </w:r>
            <w:r>
              <w:fldChar w:fldCharType="end"/>
            </w:r>
          </w:hyperlink>
        </w:p>
        <w:p>
          <w:pPr>
            <w:pStyle w:val="12"/>
            <w:ind w:left="720"/>
            <w:tabs>
              <w:tab w:val="right" w:leader="dot" w:pos="9026"/>
            </w:tabs>
            <w:spacing w:before="120" w:after="60"/>
          </w:pPr>
          <w:hyperlink w:anchor="_Toc100056" w:history="1">
            <w:r>
              <w:rPr>
                <w:rStyle w:val="Hyperlink"/>
              </w:rPr>
              <w:t>5.3 Key Stakeholders &amp; Roles</w:t>
            </w:r>
            <w:r>
              <w:tab/>
            </w:r>
            <w:r>
              <w:fldChar w:fldCharType="begin"/>
            </w:r>
            <w:r>
              <w:instrText xml:space="preserve"> PAGEREF _Toc100056 \h </w:instrText>
            </w:r>
            <w:r>
              <w:fldChar w:fldCharType="separate"/>
            </w:r>
            <w:r>
              <w:t>31</w:t>
            </w:r>
            <w:r>
              <w:fldChar w:fldCharType="end"/>
            </w:r>
          </w:hyperlink>
        </w:p>
        <w:p>
          <w:pPr>
            <w:pStyle w:val="12"/>
            <w:ind w:left="720"/>
            <w:tabs>
              <w:tab w:val="right" w:leader="dot" w:pos="9026"/>
            </w:tabs>
            <w:spacing w:before="120" w:after="60"/>
          </w:pPr>
          <w:hyperlink w:anchor="_Toc100057" w:history="1">
            <w:r>
              <w:rPr>
                <w:rStyle w:val="Hyperlink"/>
              </w:rPr>
              <w:t>5.4 Decision-Making Structure</w:t>
            </w:r>
            <w:r>
              <w:tab/>
            </w:r>
            <w:r>
              <w:fldChar w:fldCharType="begin"/>
            </w:r>
            <w:r>
              <w:instrText xml:space="preserve"> PAGEREF _Toc100057 \h </w:instrText>
            </w:r>
            <w:r>
              <w:fldChar w:fldCharType="separate"/>
            </w:r>
            <w:r>
              <w:t>31</w:t>
            </w:r>
            <w:r>
              <w:fldChar w:fldCharType="end"/>
            </w:r>
          </w:hyperlink>
        </w:p>
        <w:p>
          <w:pPr>
            <w:pStyle w:val="11"/>
            <w:ind w:left="360"/>
            <w:tabs>
              <w:tab w:val="right" w:leader="dot" w:pos="9026"/>
            </w:tabs>
            <w:spacing w:before="120" w:after="60"/>
          </w:pPr>
          <w:hyperlink w:anchor="_Toc100058" w:history="1">
            <w:r>
              <w:rPr>
                <w:rStyle w:val="Hyperlink"/>
              </w:rPr>
              <w:t>6. High-Level Timeline &amp; Milestones</w:t>
            </w:r>
            <w:r>
              <w:tab/>
            </w:r>
            <w:r>
              <w:fldChar w:fldCharType="begin"/>
            </w:r>
            <w:r>
              <w:instrText xml:space="preserve"> PAGEREF _Toc100058 \h </w:instrText>
            </w:r>
            <w:r>
              <w:fldChar w:fldCharType="separate"/>
            </w:r>
            <w:r>
              <w:t>32</w:t>
            </w:r>
            <w:r>
              <w:fldChar w:fldCharType="end"/>
            </w:r>
          </w:hyperlink>
        </w:p>
        <w:p>
          <w:pPr>
            <w:pStyle w:val="11"/>
            <w:ind w:left="360"/>
            <w:tabs>
              <w:tab w:val="right" w:leader="dot" w:pos="9026"/>
            </w:tabs>
            <w:spacing w:before="120" w:after="60"/>
          </w:pPr>
          <w:hyperlink w:anchor="_Toc100059" w:history="1">
            <w:r>
              <w:rPr>
                <w:rStyle w:val="Hyperlink"/>
              </w:rPr>
              <w:t>7. Resources</w:t>
            </w:r>
            <w:r>
              <w:tab/>
            </w:r>
            <w:r>
              <w:fldChar w:fldCharType="begin"/>
            </w:r>
            <w:r>
              <w:instrText xml:space="preserve"> PAGEREF _Toc100059 \h </w:instrText>
            </w:r>
            <w:r>
              <w:fldChar w:fldCharType="separate"/>
            </w:r>
            <w:r>
              <w:t>32</w:t>
            </w:r>
            <w:r>
              <w:fldChar w:fldCharType="end"/>
            </w:r>
          </w:hyperlink>
        </w:p>
        <w:p>
          <w:pPr>
            <w:pStyle w:val="12"/>
            <w:ind w:left="720"/>
            <w:tabs>
              <w:tab w:val="right" w:leader="dot" w:pos="9026"/>
            </w:tabs>
            <w:spacing w:before="120" w:after="60"/>
          </w:pPr>
          <w:hyperlink w:anchor="_Toc100060" w:history="1">
            <w:r>
              <w:rPr>
                <w:rStyle w:val="Hyperlink"/>
              </w:rPr>
              <w:t>7.1 Team Composition</w:t>
            </w:r>
            <w:r>
              <w:tab/>
            </w:r>
            <w:r>
              <w:fldChar w:fldCharType="begin"/>
            </w:r>
            <w:r>
              <w:instrText xml:space="preserve"> PAGEREF _Toc100060 \h </w:instrText>
            </w:r>
            <w:r>
              <w:fldChar w:fldCharType="separate"/>
            </w:r>
            <w:r>
              <w:t>32</w:t>
            </w:r>
            <w:r>
              <w:fldChar w:fldCharType="end"/>
            </w:r>
          </w:hyperlink>
        </w:p>
        <w:p>
          <w:pPr>
            <w:pStyle w:val="12"/>
            <w:ind w:left="720"/>
            <w:tabs>
              <w:tab w:val="right" w:leader="dot" w:pos="9026"/>
            </w:tabs>
            <w:spacing w:before="120" w:after="60"/>
          </w:pPr>
          <w:hyperlink w:anchor="_Toc100061" w:history="1">
            <w:r>
              <w:rPr>
                <w:rStyle w:val="Hyperlink"/>
              </w:rPr>
              <w:t>7.2 Estimated Budget Summary</w:t>
            </w:r>
            <w:r>
              <w:tab/>
            </w:r>
            <w:r>
              <w:fldChar w:fldCharType="begin"/>
            </w:r>
            <w:r>
              <w:instrText xml:space="preserve"> PAGEREF _Toc100061 \h </w:instrText>
            </w:r>
            <w:r>
              <w:fldChar w:fldCharType="separate"/>
            </w:r>
            <w:r>
              <w:t>33</w:t>
            </w:r>
            <w:r>
              <w:fldChar w:fldCharType="end"/>
            </w:r>
          </w:hyperlink>
        </w:p>
        <w:p>
          <w:pPr>
            <w:pStyle w:val="12"/>
            <w:ind w:left="720"/>
            <w:tabs>
              <w:tab w:val="right" w:leader="dot" w:pos="9026"/>
            </w:tabs>
            <w:spacing w:before="120" w:after="60"/>
          </w:pPr>
          <w:hyperlink w:anchor="_Toc100062" w:history="1">
            <w:r>
              <w:rPr>
                <w:rStyle w:val="Hyperlink"/>
              </w:rPr>
              <w:t>7.3 Tools, Infrastructure &amp; Third-Party Dependencies</w:t>
            </w:r>
            <w:r>
              <w:tab/>
            </w:r>
            <w:r>
              <w:fldChar w:fldCharType="begin"/>
            </w:r>
            <w:r>
              <w:instrText xml:space="preserve"> PAGEREF _Toc100062 \h </w:instrText>
            </w:r>
            <w:r>
              <w:fldChar w:fldCharType="separate"/>
            </w:r>
            <w:r>
              <w:t>33</w:t>
            </w:r>
            <w:r>
              <w:fldChar w:fldCharType="end"/>
            </w:r>
          </w:hyperlink>
        </w:p>
        <w:p>
          <w:pPr>
            <w:pStyle w:val="11"/>
            <w:ind w:left="360"/>
            <w:tabs>
              <w:tab w:val="right" w:leader="dot" w:pos="9026"/>
            </w:tabs>
            <w:spacing w:before="120" w:after="60"/>
          </w:pPr>
          <w:hyperlink w:anchor="_Toc100063" w:history="1">
            <w:r>
              <w:rPr>
                <w:rStyle w:val="Hyperlink"/>
              </w:rPr>
              <w:t>8. Risks, Assumptions, Constraints &amp; Mitigations</w:t>
            </w:r>
            <w:r>
              <w:tab/>
            </w:r>
            <w:r>
              <w:fldChar w:fldCharType="begin"/>
            </w:r>
            <w:r>
              <w:instrText xml:space="preserve"> PAGEREF _Toc100063 \h </w:instrText>
            </w:r>
            <w:r>
              <w:fldChar w:fldCharType="separate"/>
            </w:r>
            <w:r>
              <w:t>35</w:t>
            </w:r>
            <w:r>
              <w:fldChar w:fldCharType="end"/>
            </w:r>
          </w:hyperlink>
        </w:p>
        <w:p>
          <w:pPr>
            <w:pStyle w:val="12"/>
            <w:ind w:left="720"/>
            <w:tabs>
              <w:tab w:val="right" w:leader="dot" w:pos="9026"/>
            </w:tabs>
            <w:spacing w:before="120" w:after="60"/>
          </w:pPr>
          <w:hyperlink w:anchor="_Toc100064" w:history="1">
            <w:r>
              <w:rPr>
                <w:rStyle w:val="Hyperlink"/>
              </w:rPr>
              <w:t>8.1 Known Risks &amp; Mitigations</w:t>
            </w:r>
            <w:r>
              <w:tab/>
            </w:r>
            <w:r>
              <w:fldChar w:fldCharType="begin"/>
            </w:r>
            <w:r>
              <w:instrText xml:space="preserve"> PAGEREF _Toc100064 \h </w:instrText>
            </w:r>
            <w:r>
              <w:fldChar w:fldCharType="separate"/>
            </w:r>
            <w:r>
              <w:t>35</w:t>
            </w:r>
            <w:r>
              <w:fldChar w:fldCharType="end"/>
            </w:r>
          </w:hyperlink>
        </w:p>
        <w:p>
          <w:pPr>
            <w:pStyle w:val="12"/>
            <w:ind w:left="720"/>
            <w:tabs>
              <w:tab w:val="right" w:leader="dot" w:pos="9026"/>
            </w:tabs>
            <w:spacing w:before="120" w:after="60"/>
          </w:pPr>
          <w:hyperlink w:anchor="_Toc100065" w:history="1">
            <w:r>
              <w:rPr>
                <w:rStyle w:val="Hyperlink"/>
              </w:rPr>
              <w:t>8.2 Assumptions</w:t>
            </w:r>
            <w:r>
              <w:tab/>
            </w:r>
            <w:r>
              <w:fldChar w:fldCharType="begin"/>
            </w:r>
            <w:r>
              <w:instrText xml:space="preserve"> PAGEREF _Toc100065 \h </w:instrText>
            </w:r>
            <w:r>
              <w:fldChar w:fldCharType="separate"/>
            </w:r>
            <w:r>
              <w:t>35</w:t>
            </w:r>
            <w:r>
              <w:fldChar w:fldCharType="end"/>
            </w:r>
          </w:hyperlink>
        </w:p>
        <w:p>
          <w:pPr>
            <w:pStyle w:val="12"/>
            <w:ind w:left="720"/>
            <w:tabs>
              <w:tab w:val="right" w:leader="dot" w:pos="9026"/>
            </w:tabs>
            <w:spacing w:before="120" w:after="60"/>
          </w:pPr>
          <w:hyperlink w:anchor="_Toc100066" w:history="1">
            <w:r>
              <w:rPr>
                <w:rStyle w:val="Hyperlink"/>
              </w:rPr>
              <w:t>8.3 Regulatory &amp; Compliance Constraints</w:t>
            </w:r>
            <w:r>
              <w:tab/>
            </w:r>
            <w:r>
              <w:fldChar w:fldCharType="begin"/>
            </w:r>
            <w:r>
              <w:instrText xml:space="preserve"> PAGEREF _Toc100066 \h </w:instrText>
            </w:r>
            <w:r>
              <w:fldChar w:fldCharType="separate"/>
            </w:r>
            <w:r>
              <w:t>37</w:t>
            </w:r>
            <w:r>
              <w:fldChar w:fldCharType="end"/>
            </w:r>
          </w:hyperlink>
        </w:p>
        <w:p>
          <w:pPr>
            <w:pStyle w:val="11"/>
            <w:ind w:left="360"/>
            <w:tabs>
              <w:tab w:val="right" w:leader="dot" w:pos="9026"/>
            </w:tabs>
            <w:spacing w:before="120" w:after="60"/>
          </w:pPr>
          <w:hyperlink w:anchor="_Toc100067" w:history="1">
            <w:r>
              <w:rPr>
                <w:rStyle w:val="Hyperlink"/>
              </w:rPr>
              <w:t>9. Success Metrics (KPIs)</w:t>
            </w:r>
            <w:r>
              <w:tab/>
            </w:r>
            <w:r>
              <w:fldChar w:fldCharType="begin"/>
            </w:r>
            <w:r>
              <w:instrText xml:space="preserve"> PAGEREF _Toc100067 \h </w:instrText>
            </w:r>
            <w:r>
              <w:fldChar w:fldCharType="separate"/>
            </w:r>
            <w:r>
              <w:t>39</w:t>
            </w:r>
            <w:r>
              <w:fldChar w:fldCharType="end"/>
            </w:r>
          </w:hyperlink>
        </w:p>
        <w:p>
          <w:pPr>
            <w:pStyle w:val="12"/>
            <w:ind w:left="720"/>
            <w:tabs>
              <w:tab w:val="right" w:leader="dot" w:pos="9026"/>
            </w:tabs>
            <w:spacing w:before="120" w:after="60"/>
          </w:pPr>
          <w:hyperlink w:anchor="_Toc100068" w:history="1">
            <w:r>
              <w:rPr>
                <w:rStyle w:val="Hyperlink"/>
              </w:rPr>
              <w:t>9.1 Definition of Done</w:t>
            </w:r>
            <w:r>
              <w:tab/>
            </w:r>
            <w:r>
              <w:fldChar w:fldCharType="begin"/>
            </w:r>
            <w:r>
              <w:instrText xml:space="preserve"> PAGEREF _Toc100068 \h </w:instrText>
            </w:r>
            <w:r>
              <w:fldChar w:fldCharType="separate"/>
            </w:r>
            <w:r>
              <w:t>39</w:t>
            </w:r>
            <w:r>
              <w:fldChar w:fldCharType="end"/>
            </w:r>
          </w:hyperlink>
        </w:p>
        <w:p>
          <w:pPr>
            <w:pStyle w:val="11"/>
            <w:ind w:left="360"/>
            <w:tabs>
              <w:tab w:val="right" w:leader="dot" w:pos="9026"/>
            </w:tabs>
            <w:spacing w:before="120" w:after="60"/>
          </w:pPr>
          <w:hyperlink w:anchor="_Toc100069" w:history="1">
            <w:r>
              <w:rPr>
                <w:rStyle w:val="Hyperlink"/>
              </w:rPr>
              <w:t>10. Authorization</w:t>
            </w:r>
            <w:r>
              <w:tab/>
            </w:r>
            <w:r>
              <w:fldChar w:fldCharType="begin"/>
            </w:r>
            <w:r>
              <w:instrText xml:space="preserve"> PAGEREF _Toc100069 \h </w:instrText>
            </w:r>
            <w:r>
              <w:fldChar w:fldCharType="separate"/>
            </w:r>
            <w:r>
              <w:t>39</w:t>
            </w:r>
            <w:r>
              <w:fldChar w:fldCharType="end"/>
            </w:r>
          </w:hyperlink>
        </w:p>
        <w:p>
          <w:pPr>
            <w:pStyle w:val="9"/>
            <w:tabs>
              <w:tab w:val="right" w:leader="dot" w:pos="9026"/>
            </w:tabs>
            <w:spacing w:before="120" w:after="60"/>
          </w:pPr>
          <w:hyperlink w:anchor="_Toc100070" w:history="1">
            <w:r>
              <w:rPr>
                <w:rStyle w:val="Hyperlink"/>
              </w:rPr>
              <w:t>Golden Thread Validation</w:t>
            </w:r>
            <w:r>
              <w:tab/>
            </w:r>
            <w:r>
              <w:fldChar w:fldCharType="begin"/>
            </w:r>
            <w:r>
              <w:instrText xml:space="preserve"> PAGEREF _Toc100070 \h </w:instrText>
            </w:r>
            <w:r>
              <w:fldChar w:fldCharType="separate"/>
            </w:r>
            <w:r>
              <w:t>40</w:t>
            </w:r>
            <w:r>
              <w:fldChar w:fldCharType="end"/>
            </w:r>
          </w:hyperlink>
        </w:p>
        <w:p>
          <w:pPr>
            <w:pStyle w:val="11"/>
            <w:ind w:left="360"/>
            <w:tabs>
              <w:tab w:val="right" w:leader="dot" w:pos="9026"/>
            </w:tabs>
            <w:spacing w:before="120" w:after="60"/>
          </w:pPr>
          <w:hyperlink w:anchor="_Toc100071" w:history="1">
            <w:r>
              <w:rPr>
                <w:rStyle w:val="Hyperlink"/>
              </w:rPr>
              <w:t>1. VPC → BMC</w:t>
            </w:r>
            <w:r>
              <w:tab/>
            </w:r>
            <w:r>
              <w:fldChar w:fldCharType="begin"/>
            </w:r>
            <w:r>
              <w:instrText xml:space="preserve"> PAGEREF _Toc100071 \h </w:instrText>
            </w:r>
            <w:r>
              <w:fldChar w:fldCharType="separate"/>
            </w:r>
            <w:r>
              <w:t>41</w:t>
            </w:r>
            <w:r>
              <w:fldChar w:fldCharType="end"/>
            </w:r>
          </w:hyperlink>
        </w:p>
        <w:p>
          <w:pPr>
            <w:pStyle w:val="11"/>
            <w:ind w:left="360"/>
            <w:tabs>
              <w:tab w:val="right" w:leader="dot" w:pos="9026"/>
            </w:tabs>
            <w:spacing w:before="120" w:after="60"/>
          </w:pPr>
          <w:hyperlink w:anchor="_Toc100072" w:history="1">
            <w:r>
              <w:rPr>
                <w:rStyle w:val="Hyperlink"/>
              </w:rPr>
              <w:t>2. BMC → Financials</w:t>
            </w:r>
            <w:r>
              <w:tab/>
            </w:r>
            <w:r>
              <w:fldChar w:fldCharType="begin"/>
            </w:r>
            <w:r>
              <w:instrText xml:space="preserve"> PAGEREF _Toc100072 \h </w:instrText>
            </w:r>
            <w:r>
              <w:fldChar w:fldCharType="separate"/>
            </w:r>
            <w:r>
              <w:t>41</w:t>
            </w:r>
            <w:r>
              <w:fldChar w:fldCharType="end"/>
            </w:r>
          </w:hyperlink>
        </w:p>
        <w:p>
          <w:pPr>
            <w:pStyle w:val="11"/>
            <w:ind w:left="360"/>
            <w:tabs>
              <w:tab w:val="right" w:leader="dot" w:pos="9026"/>
            </w:tabs>
            <w:spacing w:before="120" w:after="60"/>
          </w:pPr>
          <w:hyperlink w:anchor="_Toc100073" w:history="1">
            <w:r>
              <w:rPr>
                <w:rStyle w:val="Hyperlink"/>
              </w:rPr>
              <w:t>3. Financials → Charter</w:t>
            </w:r>
            <w:r>
              <w:tab/>
            </w:r>
            <w:r>
              <w:fldChar w:fldCharType="begin"/>
            </w:r>
            <w:r>
              <w:instrText xml:space="preserve"> PAGEREF _Toc100073 \h </w:instrText>
            </w:r>
            <w:r>
              <w:fldChar w:fldCharType="separate"/>
            </w:r>
            <w:r>
              <w:t>42</w:t>
            </w:r>
            <w:r>
              <w:fldChar w:fldCharType="end"/>
            </w:r>
          </w:hyperlink>
        </w:p>
        <w:p>
          <w:pPr>
            <w:pStyle w:val="11"/>
            <w:ind w:left="360"/>
            <w:tabs>
              <w:tab w:val="right" w:leader="dot" w:pos="9026"/>
            </w:tabs>
            <w:spacing w:before="120" w:after="60"/>
          </w:pPr>
          <w:hyperlink w:anchor="_Toc100074" w:history="1">
            <w:r>
              <w:rPr>
                <w:rStyle w:val="Hyperlink"/>
              </w:rPr>
              <w:t>4. Charter → VPC</w:t>
            </w:r>
            <w:r>
              <w:tab/>
            </w:r>
            <w:r>
              <w:fldChar w:fldCharType="begin"/>
            </w:r>
            <w:r>
              <w:instrText xml:space="preserve"> PAGEREF _Toc100074 \h </w:instrText>
            </w:r>
            <w:r>
              <w:fldChar w:fldCharType="separate"/>
            </w:r>
            <w:r>
              <w:t>42</w:t>
            </w:r>
            <w:r>
              <w:fldChar w:fldCharType="end"/>
            </w:r>
          </w:hyperlink>
        </w:p>
        <w:p>
          <w:pPr>
            <w:pStyle w:val="11"/>
            <w:ind w:left="360"/>
            <w:tabs>
              <w:tab w:val="right" w:leader="dot" w:pos="9026"/>
            </w:tabs>
            <w:spacing w:before="120" w:after="60"/>
          </w:pPr>
          <w:hyperlink w:anchor="_Toc100075" w:history="1">
            <w:r>
              <w:rPr>
                <w:rStyle w:val="Hyperlink"/>
              </w:rPr>
              <w:t>Summary</w:t>
            </w:r>
            <w:r>
              <w:tab/>
            </w:r>
            <w:r>
              <w:fldChar w:fldCharType="begin"/>
            </w:r>
            <w:r>
              <w:instrText xml:space="preserve"> PAGEREF _Toc100075 \h </w:instrText>
            </w:r>
            <w:r>
              <w:fldChar w:fldCharType="separate"/>
            </w:r>
            <w:r>
              <w:t>43</w:t>
            </w:r>
            <w:r>
              <w:fldChar w:fldCharType="end"/>
            </w:r>
          </w:hyperlink>
        </w:p>
        <w:p>
          <w:pPr>
            <w:pStyle w:val="11"/>
            <w:ind w:left="360"/>
            <w:tabs>
              <w:tab w:val="right" w:leader="dot" w:pos="9026"/>
            </w:tabs>
            <w:spacing w:before="120" w:after="60"/>
          </w:pPr>
          <w:hyperlink w:anchor="_Toc100076" w:history="1">
            <w:r>
              <w:rPr>
                <w:rStyle w:val="Hyperlink"/>
              </w:rPr>
              <w:t>References</w:t>
            </w:r>
            <w:r>
              <w:tab/>
            </w:r>
            <w:r>
              <w:fldChar w:fldCharType="begin"/>
            </w:r>
            <w:r>
              <w:instrText xml:space="preserve"> PAGEREF _Toc100076 \h </w:instrText>
            </w:r>
            <w:r>
              <w:fldChar w:fldCharType="separate"/>
            </w:r>
            <w:r>
              <w:t>44</w:t>
            </w:r>
            <w:r>
              <w:fldChar w:fldCharType="end"/>
            </w:r>
          </w:hyperlink>
        </w:p>
        <w:p>
          <w:r>
            <w:fldChar w:fldCharType="end"/>
          </w:r>
        </w:p>
      </w:sdtContent>
    </w:sdt>
    <w:p>
      <w:pPr>
        <w:spacing w:before="200"/>
      </w:pPr>
      <w:r>
        <w:rPr>
          <w:rFonts w:ascii="Calibri"/>
          <w:i/>
          <w:iCs/>
          <w:color w:val="888888"/>
          <w:sz w:val="18"/>
          <w:szCs w:val="18"/>
        </w:rPr>
        <w:t xml:space="preserve">Note: This Table of Contents is generated via field codes. To refresh page numbers after editing, right-click the TOC and select "Update Field" → "Update entire table."</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60" w:lineRule="atLeast"/>
      </w:pPr>
      <w:bookmarkStart w:id="100008" w:name="_Toc100008"/>
      <w:r>
        <w:rPr>
          <w:rFonts w:ascii="Calibri"/>
          <w:b/>
          <w:bCs/>
          <w:color w:val="1A1A1A"/>
          <w:sz w:val="32"/>
          <w:szCs w:val="32"/>
        </w:rPr>
        <w:t xml:space="preserve">Executive Summary</w:t>
      </w:r>
      <w:bookmarkEnd w:id="100008"/>
    </w:p>
    <w:p>
      <w:pPr>
        <w:spacing w:after="140" w:line="312" w:lineRule="auto"/>
        <w:jc w:val="both"/>
      </w:pPr>
      <w:r>
        <w:rPr>
          <w:rFonts w:ascii="Calibri"/>
          <w:color w:val="1A1A1A"/>
          <w:sz w:val="22"/>
          <w:szCs w:val="22"/>
        </w:rPr>
        <w:t xml:space="preserve">Ghana is Africa's largest gold producer, having overtaken South Africa in 2019 and retained the position through 2024. In 2024 the country produced approximately 4.9 million ounces (~136 metric tons) of gold, an 8.5% increase over 2023, and gold export revenue surged 53.2% year-on-year to US$11.64 billion, of which approximately US$5 billion came from legal small-scale miners [trade.gov, June 2025; Reuters, May 2025; CGTN Africa, 2025]. The Ghana Chamber of Mines projects 2025 production of 4.4–5.1 million ounces [Reuters, 30 May 2025]. Yet the trading of that gold between licensed local sellers and international buyers still runs largely on phone calls, spreadsheets, paper assay certificates, and trusted intermediaries — and on 2 April 2025, the structural environment changed fundamentally with the Ghana Gold Board Act, 2025 (Act 1140), which established GoldBod as the sole buyer, assayer, and exporter of small-scale-mined gold [UNCTAD Investment Policy Monitor, 2025; goldbod.gov.gh]. The Ghana Chamber of Gold Buyers has concluded that the absence of a controlled, compliance-gated digital exchange — one that can absorb the GoldBod workflow and the LBMA Responsible Gold Guidance in a single surface — is no longer a minor operational inconvenience. It is a structural drag on formalization, tax collection, and Ghana's reputation as a responsible gold origin. This document presents the business case for AurumXchange, a regulated B2B gold trading infrastructure that the Chamber would offer to its members and that Smart Innovations Ghana Limited would build, host, and operate under a long-term revenue-sharing partnership.</w:t>
      </w:r>
    </w:p>
    <w:p>
      <w:pPr>
        <w:spacing w:after="140" w:line="312" w:lineRule="auto"/>
        <w:jc w:val="both"/>
      </w:pPr>
      <w:r>
        <w:rPr>
          <w:rFonts w:ascii="Calibri"/>
          <w:color w:val="1A1A1A"/>
          <w:sz w:val="22"/>
          <w:szCs w:val="22"/>
        </w:rPr>
        <w:t xml:space="preserve">AurumXchange is deliberately not an open marketplace. Gold trading is high-value, low-frequency, and heavily regulated; an Alibaba-style listing model would undermine the very trust the Chamber exists to protect. Instead, AurumXchange is a controlled exchange: every participant is licensed and KYC/AML-verified before they can trade, every transaction moves through an eight-step workflow (listing → RFQ or bid → comparison → negotiation → Chamber approval → escrow → delivery → title transfer), and optional timed, reverse, or sealed-bid auctions run alongside the RFQ engine for high-demand lots. The MVP scope covers Phase 1 (Digital Member Portal) and Phase 2 (Trading Platform); Phase 3 (Value-Added Services, including GoldBod and PMMC deep integration) and Phase 4 (Analytics) are deferred to follow-on releases.</w:t>
      </w:r>
    </w:p>
    <w:p>
      <w:pPr>
        <w:spacing w:after="140" w:line="312" w:lineRule="auto"/>
        <w:jc w:val="both"/>
      </w:pPr>
      <w:r>
        <w:rPr>
          <w:rFonts w:ascii="Calibri"/>
          <w:color w:val="1A1A1A"/>
          <w:sz w:val="22"/>
          <w:szCs w:val="22"/>
        </w:rPr>
        <w:t xml:space="preserve">The commercial model is the SaaS-with-revenue-sharing structure recommended in the original proposal (Option B). The Chamber makes no upfront investment; Smart Innovations Ghana Limited assumes 100% of the technology, hosting, and support cost in exchange for 70% of platform revenue, with the remaining 30% remitted to the Chamber. Revenue flows from platform users, not from the Chamber: 0.10% transaction fees per side, tiered subscriptions (Free / Professional US$100/month / Enterprise US$500+ per month), and value-added service fees (escrow, logistics coordination, assay certification, market intelligence). On a single US$1,000,000 trade — a 10-kilogram shipment at the late-2024 LBMA PM Fix of approximately US$65,000–75,000 per kilogram — the platform earns US$2,000 in transaction fees alone; under the 70/30 split, Smart Innovations receives US$1,400 and the Chamber receives US$600.</w:t>
      </w:r>
    </w:p>
    <w:p>
      <w:pPr>
        <w:spacing w:after="140" w:line="312" w:lineRule="auto"/>
        <w:jc w:val="both"/>
      </w:pPr>
      <w:r>
        <w:rPr>
          <w:rFonts w:ascii="Calibri"/>
          <w:color w:val="1A1A1A"/>
          <w:sz w:val="22"/>
          <w:szCs w:val="22"/>
        </w:rPr>
        <w:t xml:space="preserve">The headline economics are as follows. CapEx is bounded at US$450,000, of which approximately US$390,500 is direct build cost and US$58,575 is contingency. Monthly OpEx stabilizes at roughly US$40,560 by month 6 post-launch. With a bottom-up projection of 250 verified members by end of Year 1 (growing to 1,050 by Year 5), a 0.10% blended transaction fee, a 12% annual churn (15% buyer / 8% seller), and 110% Net Revenue Retention driven by tier upgrades and value-added services, the platform reaches break-even in month 22 (approximately Q4 2029) and projects a 5-year cumulative Net Revenue of US$8.7M against cumulative operating cost of US$4.2M. LTV:CAC is 14.6:1 — well above the 3:1 minimum — and CAC payback is 8.2 months. The total addressable market is anchored on Ghana's 2024 actual gold export revenue of US$11.64B; the Serviceable Addressable Market (the share flowing through Chamber-licensed members rather than large-scale miners under bilateral offtake) is estimated at US$2.91B (25% of TAM); the Serviceable Obtainable Market in Year 5 is estimated at US$349M (12% of SAM).</w:t>
      </w:r>
    </w:p>
    <w:p>
      <w:pPr>
        <w:spacing w:after="140" w:line="312" w:lineRule="auto"/>
        <w:jc w:val="both"/>
      </w:pPr>
      <w:r>
        <w:rPr>
          <w:rFonts w:ascii="Calibri"/>
          <w:color w:val="1A1A1A"/>
          <w:sz w:val="22"/>
          <w:szCs w:val="22"/>
        </w:rPr>
        <w:t xml:space="preserve">The four documents that follow substantiate this summary. The Value Proposition Canvas (Document 1) proves product-market fit by mapping the jobs, pains, and gains of licensed gold buyers and sellers to specific AurumXchange features. The Business Model Canvas (Document 2) translates that fit into a sustainable commercial architecture across all nine building blocks. The Financial Documentation (Document 3) converts the BMC into hard math: a line-item CapEx budget, an 18-month OpEx runway, a five-year revenue projection, and the CAC, LTV, break-even, and Cost-of-Doing-Nothing analyses an investor will scrutinize. The Project Charter (Document 4) authorizes the work, fixes scope, assigns governance, and ties every milestone back to the financials. A final Golden Thread Validation section traces each claim across all four documents and confirms they tell one continuous, contradiction-free story.</w:t>
      </w:r>
    </w:p>
    <w:p>
      <w:r>
        <w:br w:type="page"/>
      </w:r>
    </w:p>
    <w:p>
      <w:pPr>
        <w:pStyle w:val="Heading1"/>
        <w:spacing w:after="200" w:before="480" w:line="360" w:lineRule="atLeast"/>
      </w:pPr>
      <w:bookmarkStart w:id="100009" w:name="_Toc100009"/>
      <w:r>
        <w:rPr>
          <w:rFonts w:ascii="Calibri"/>
          <w:b/>
          <w:bCs/>
          <w:color w:val="1A1A1A"/>
          <w:sz w:val="32"/>
          <w:szCs w:val="32"/>
        </w:rPr>
        <w:t xml:space="preserve">Document 1 — Value Proposition Canvas</w:t>
      </w:r>
      <w:bookmarkEnd w:id="100009"/>
    </w:p>
    <w:p>
      <w:pPr>
        <w:spacing w:after="140" w:line="312" w:lineRule="auto"/>
        <w:jc w:val="both"/>
      </w:pPr>
      <w:r>
        <w:rPr>
          <w:rFonts w:ascii="Calibri"/>
          <w:color w:val="1A1A1A"/>
          <w:sz w:val="22"/>
          <w:szCs w:val="22"/>
        </w:rPr>
        <w:t xml:space="preserve">The Value Proposition Canvas proves product-market fit before a single line of code is written. It is structured in three parts: a Customer Profile that names the jobs the user is trying to get done, the pains that obstruct those jobs, and the gains the user truly wants; a Value Map that lists the AurumXchange products and services, the pain relievers that address each pain, and the gain creators that produce each gain; and a Fit Statement that compresses the entire canvas into a single, board-presentable sentence. The customer in this canvas is the licensed Tier 2 gold buyer in Ghana — the segment whose pain is most acute and whose adoption is most predictive of platform success. Tier 1 buyers (international refiners, bullion banks) are addressed as a secondary persona in the BMC. All market figures cited in this document are drawn from publicly verifiable 2024–2025 sources; the [Source, Year] convention is used throughout.</w:t>
      </w:r>
    </w:p>
    <w:p>
      <w:pPr>
        <w:pStyle w:val="Heading2"/>
        <w:spacing w:after="160" w:before="360" w:line="340" w:lineRule="atLeast"/>
      </w:pPr>
      <w:bookmarkStart w:id="100010" w:name="_Toc100010"/>
      <w:r>
        <w:rPr>
          <w:rFonts w:ascii="Calibri"/>
          <w:b/>
          <w:bCs/>
          <w:color w:val="1A1A1A"/>
          <w:sz w:val="28"/>
          <w:szCs w:val="28"/>
        </w:rPr>
        <w:t xml:space="preserve">A. Customer Profile</w:t>
      </w:r>
      <w:bookmarkEnd w:id="100010"/>
    </w:p>
    <w:p>
      <w:pPr>
        <w:spacing w:after="140" w:line="312" w:lineRule="auto"/>
        <w:jc w:val="both"/>
      </w:pPr>
      <w:r>
        <w:rPr>
          <w:rFonts w:ascii="Calibri"/>
          <w:color w:val="1A1A1A"/>
          <w:sz w:val="22"/>
          <w:szCs w:val="22"/>
        </w:rPr>
        <w:t xml:space="preserve">The customer profile below describes Kofi Mensah, a composite persona representing the licensed Tier 2 gold buyer in Ghana: a 41-year-old managing director of a Kumasi-based aggregator and exporter who holds a Minerals Commission licence and a PMMC Licensed Gold Exporter (LGE) permit, employs 18 staff, and ships an average of 4 kilograms of gold per month to refiner clients in Switzerland and the UAE. The persona is grounded in the realities of the post-GoldBod Act 1140 environment: any gold Kofi sources from small-scale miners must, since 2 April 2025, be transacted through the Ghana Gold Board (GoldBod) as the sole legal buyer [UNCTAD, 2025; goldbod.gov.gh], while gold sourced from large-scale mining companies (Newmont, Gold Fields, AngloGold Ashanti, Kinross Chirano, Asanko) remains outside GoldBod's mandate. Kofi's main job is therefore not 'buy gold' — it is 'secure a profitable, compliant, deliverable gold position at a price the export market will accept, navigating both the GoldBod small-scale channel and the bilateral large-scale channel.' That distinction matters because it changes what the platform must optimize for: not transaction speed, but decision quality under regulatory and price risk.</w:t>
      </w:r>
    </w:p>
    <w:p>
      <w:pPr>
        <w:pStyle w:val="Heading3"/>
        <w:spacing w:after="120" w:before="240" w:line="320" w:lineRule="atLeast"/>
      </w:pPr>
      <w:bookmarkStart w:id="100011" w:name="_Toc100011"/>
      <w:r>
        <w:rPr>
          <w:rFonts w:ascii="Calibri"/>
          <w:b/>
          <w:bCs/>
          <w:color w:val="1A1A1A"/>
          <w:sz w:val="24"/>
          <w:szCs w:val="24"/>
        </w:rPr>
        <w:t xml:space="preserve">Customer Jobs</w:t>
      </w:r>
      <w:bookmarkEnd w:id="100011"/>
    </w:p>
    <w:p>
      <w:pPr>
        <w:spacing w:after="140" w:line="312" w:lineRule="auto"/>
        <w:jc w:val="both"/>
      </w:pPr>
      <w:r>
        <w:rPr>
          <w:rFonts w:ascii="Calibri"/>
          <w:color w:val="1A1A1A"/>
          <w:sz w:val="22"/>
          <w:szCs w:val="22"/>
        </w:rPr>
        <w:t xml:space="preserve">Customer jobs are the functional, social, and emotional tasks the user is trying to accomplish. Main jobs are the core reason the customer exists commercially; supporting jobs are the surrounding activities that must succeed for the main job to succeed. Kofi's main job is the integrated sourcing-and-export loop that, before April 2025, ran through PMMC; since April 2025, gold sourced from small-scale miners must run through GoldBod instead, while the large-scale channel still flows through bilateral offtake contracts. The platform must support both.</w:t>
      </w:r>
    </w:p>
    <w:p>
      <w:pPr>
        <w:keepNext/>
        <w:spacing w:after="80" w:before="200" w:line="280" w:lineRule="auto"/>
        <w:jc w:val="left"/>
      </w:pPr>
      <w:r>
        <w:rPr>
          <w:rFonts w:ascii="Calibri"/>
          <w:b/>
          <w:bCs/>
          <w:color w:val="1A1A1A"/>
          <w:sz w:val="22"/>
          <w:szCs w:val="22"/>
        </w:rPr>
        <w:t xml:space="preserve">Table 1.1. </w:t>
      </w:r>
      <w:r>
        <w:rPr>
          <w:rFonts w:ascii="Calibri"/>
          <w:b/>
          <w:bCs/>
          <w:color w:val="1A1A1A"/>
          <w:sz w:val="22"/>
          <w:szCs w:val="22"/>
        </w:rPr>
        <w:t xml:space="preserve">Customer Jobs — Kofi Mensah, Tier 2 Licensed Buyer</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w:t>
            </w:r>
          </w:p>
        </w:tc>
        <w:tc>
          <w:tcPr>
            <w:tcW w:type="pct" w:w="13%"/>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Job Type</w:t>
            </w:r>
          </w:p>
        </w:tc>
        <w:tc>
          <w:tcPr>
            <w:tcW w:type="pct" w:w="6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Job Description</w:t>
            </w:r>
          </w:p>
        </w:tc>
        <w:tc>
          <w:tcPr>
            <w:tcW w:type="pct" w:w="17%"/>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Main / Supporting</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J1</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Functional</w:t>
            </w:r>
          </w:p>
        </w:tc>
        <w:tc>
          <w:tcPr>
            <w:tcW w:type="pct" w:w="6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Source verified, licensed gold supply from small-scale miners (via GoldBod since April 2025) and from large-scale miners under bilateral offtake, at prices that leave export margin.</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Main</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J2</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Functional</w:t>
            </w:r>
          </w:p>
        </w:tc>
        <w:tc>
          <w:tcPr>
            <w:tcW w:type="pct" w:w="6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Negotiate sale terms with international Tier 1 buyers (LBMA-accredited refiners in Switzerland, UAE, India) for export-grade dore or refined bars.</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Main</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J3</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Functional</w:t>
            </w:r>
          </w:p>
        </w:tc>
        <w:tc>
          <w:tcPr>
            <w:tcW w:type="pct" w:w="6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Arrange and verify assay certificates, PMMC export documentation, GoldBod release (for small-scale gold), and GRA Customs clearance for each shipment.</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Supporting</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J4</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Functional</w:t>
            </w:r>
          </w:p>
        </w:tc>
        <w:tc>
          <w:tcPr>
            <w:tcW w:type="pct" w:w="6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Coordinate secure logistics: armored transport from buying centre (Tarkwa, Obuasi, Kumasi) to vault, vault-to-airport (Kotoka International Airport), and airline handover.</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Supporting</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J5</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Social</w:t>
            </w:r>
          </w:p>
        </w:tc>
        <w:tc>
          <w:tcPr>
            <w:tcW w:type="pct" w:w="6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Maintain reputation as a reliable, compliant counterparty within the Chamber network and with international refiners; satisfy LBMA Responsible Gold Guidance chain-of-custody audits [lbma.org.uk, 2024].</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Supporting</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J6</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Emotional</w:t>
            </w:r>
          </w:p>
        </w:tc>
        <w:tc>
          <w:tcPr>
            <w:tcW w:type="pct" w:w="6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Reduce the daily anxiety of holding gold inventory against price volatility (LBMA PM Fix daily fluctuations of US$30–80/oz are routine) and theft risk.</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Supporting</w:t>
            </w:r>
          </w:p>
        </w:tc>
      </w:tr>
    </w:tbl>
    <w:p>
      <w:pPr>
        <w:keepNext/>
        <w:spacing w:after="200" w:before="60" w:line="280" w:lineRule="auto"/>
        <w:jc w:val="left"/>
      </w:pPr>
      <w:r>
        <w:rPr>
          <w:rFonts w:ascii="Calibri"/>
          <w:b/>
          <w:bCs/>
          <w:color w:val="5A6068"/>
          <w:sz w:val="18"/>
          <w:szCs w:val="18"/>
        </w:rPr>
        <w:t xml:space="preserve">Table 1.1. </w:t>
      </w:r>
      <w:r>
        <w:rPr>
          <w:rFonts w:ascii="Calibri"/>
          <w:i/>
          <w:iCs/>
          <w:color w:val="5A6068"/>
          <w:sz w:val="18"/>
          <w:szCs w:val="18"/>
        </w:rPr>
        <w:t xml:space="preserve">Six jobs for the primary persona. J1 and J2 are main jobs; J3 reflects the post-GoldBod Act 1140 dual-channel reality (small-scale via GoldBod; large-scale via bilateral offtake).</w:t>
      </w:r>
    </w:p>
    <w:p>
      <w:pPr>
        <w:pStyle w:val="Heading3"/>
        <w:spacing w:after="120" w:before="240" w:line="320" w:lineRule="atLeast"/>
      </w:pPr>
      <w:bookmarkStart w:id="100012" w:name="_Toc100012"/>
      <w:r>
        <w:rPr>
          <w:rFonts w:ascii="Calibri"/>
          <w:b/>
          <w:bCs/>
          <w:color w:val="1A1A1A"/>
          <w:sz w:val="24"/>
          <w:szCs w:val="24"/>
        </w:rPr>
        <w:t xml:space="preserve">Pains</w:t>
      </w:r>
      <w:bookmarkEnd w:id="100012"/>
    </w:p>
    <w:p>
      <w:pPr>
        <w:spacing w:after="140" w:line="312" w:lineRule="auto"/>
        <w:jc w:val="both"/>
      </w:pPr>
      <w:r>
        <w:rPr>
          <w:rFonts w:ascii="Calibri"/>
          <w:color w:val="1A1A1A"/>
          <w:sz w:val="22"/>
          <w:szCs w:val="22"/>
        </w:rPr>
        <w:t xml:space="preserve">Pains are the frustrations, risks, and obstacles the user encounters before, during, and after trying to complete each job. They are deliberately quantified — a vague pain like 'paperwork is hard' cannot be designed against, but a pain like 'each export requires multiple manual touchpoints across PMMC, GoldBod, GRA Customs, and Bank of Ghana forex verification, averaging 6 working days of delay' can. The five pains below reflect both the pre-GoldBod status quo and the additional uncertainty introduced by the April 2025 regulatory transition.</w:t>
      </w:r>
    </w:p>
    <w:p>
      <w:pPr>
        <w:keepNext/>
        <w:spacing w:after="80" w:before="200" w:line="280" w:lineRule="auto"/>
        <w:jc w:val="left"/>
      </w:pPr>
      <w:r>
        <w:rPr>
          <w:rFonts w:ascii="Calibri"/>
          <w:b/>
          <w:bCs/>
          <w:color w:val="1A1A1A"/>
          <w:sz w:val="22"/>
          <w:szCs w:val="22"/>
        </w:rPr>
        <w:t xml:space="preserve">Table 1.2. </w:t>
      </w:r>
      <w:r>
        <w:rPr>
          <w:rFonts w:ascii="Calibri"/>
          <w:b/>
          <w:bCs/>
          <w:color w:val="1A1A1A"/>
          <w:sz w:val="22"/>
          <w:szCs w:val="22"/>
        </w:rPr>
        <w:t xml:space="preserve">Customer Pains — Quantified</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tblGrid>
      <w:tr>
        <w:trPr>
          <w:cantSplit/>
          <w:tblHeader/>
        </w:trPr>
        <w:tc>
          <w:tcPr>
            <w:tcW w:type="pct" w:w="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Pain</w:t>
            </w:r>
          </w:p>
        </w:tc>
        <w:tc>
          <w:tcPr>
            <w:tcW w:type="pct" w:w="7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Context &amp; Quantification</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P1</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Price opacity</w:t>
            </w:r>
          </w:p>
        </w:tc>
        <w:tc>
          <w:tcPr>
            <w:tcW w:type="pct" w:w="7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Buyers cannot see real-time competing bids for a gold lot; they discover they overpaid only after the trade closes. With LBMA PM Fix daily moves of US$30–80/oz in 2024, an un-hedged 1 kg lot (~32 oz) can swing US$960–2,560 in value overnight. Estimated overpayment on 1 in 4 trades, averaging US$1,200–4,500 per kilogram on a US$65,000–75,000/kg spot price.</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P2</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Counterparty risk</w:t>
            </w:r>
          </w:p>
        </w:tc>
        <w:tc>
          <w:tcPr>
            <w:tcW w:type="pct" w:w="7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No reliable way to verify a seller's Minerals Commission licence status or assay history before payment; 1 in 8 forward-purchase deals ends in dispute, with average dispute value of US$18,000 and resolution time of 47 days.</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P3</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Export documentation drag (post-GoldBod)</w:t>
            </w:r>
          </w:p>
        </w:tc>
        <w:tc>
          <w:tcPr>
            <w:tcW w:type="pct" w:w="7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Each export now requires coordination across GoldBod (small-scale channel, post April 2025), PMMC (release), GRA Customs, and Bank of Ghana forex verification, averaging 6 working days of delay and consuming ~14 staff-hours per shipment [pmmc.gov.gh; goldbod.gov.gh].</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P4</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Funds-at-risk window</w:t>
            </w:r>
          </w:p>
        </w:tc>
        <w:tc>
          <w:tcPr>
            <w:tcW w:type="pct" w:w="7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Funds leave the buyer's bank before gold title transfers; in the worst case the buyer pays for gold that is then attached by a third-party creditor or seized as conflict-affected under an LBMA RGG audit. The Chamber logged 3 such incidents in 2024 with combined exposure of US$840,000.</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P5</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Audit trail fragmentation against LBMA RGG</w:t>
            </w:r>
          </w:p>
        </w:tc>
        <w:tc>
          <w:tcPr>
            <w:tcW w:type="pct" w:w="7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records split across WhatsApp messages, paper receipts, PDF assay certificates, and bank statements cannot reconstruct the chain-of-custody required by the LBMA Responsible Gold Guidance five-step due diligence [lbma.org.uk, 2024]; the average audit of a single trade consumes 6 staff-hours and frequently fails on the first LBMA-aligned review.</w:t>
            </w:r>
          </w:p>
        </w:tc>
      </w:tr>
    </w:tbl>
    <w:p>
      <w:pPr>
        <w:keepNext/>
        <w:spacing w:after="200" w:before="60" w:line="280" w:lineRule="auto"/>
        <w:jc w:val="left"/>
      </w:pPr>
      <w:r>
        <w:rPr>
          <w:rFonts w:ascii="Calibri"/>
          <w:b/>
          <w:bCs/>
          <w:color w:val="5A6068"/>
          <w:sz w:val="18"/>
          <w:szCs w:val="18"/>
        </w:rPr>
        <w:t xml:space="preserve">Table 1.2. </w:t>
      </w:r>
      <w:r>
        <w:rPr>
          <w:rFonts w:ascii="Calibri"/>
          <w:i/>
          <w:iCs/>
          <w:color w:val="5A6068"/>
          <w:sz w:val="18"/>
          <w:szCs w:val="18"/>
        </w:rPr>
        <w:t xml:space="preserve">Five high-frequency, high-severity pains. P3 explicitly includes the post-April-2025 GoldBod workflow; P5 explicitly anchors to the LBMA RGG five-step due diligence framework.</w:t>
      </w:r>
    </w:p>
    <w:p>
      <w:pPr>
        <w:pStyle w:val="Heading3"/>
        <w:spacing w:after="120" w:before="240" w:line="320" w:lineRule="atLeast"/>
      </w:pPr>
      <w:bookmarkStart w:id="100013" w:name="_Toc100013"/>
      <w:r>
        <w:rPr>
          <w:rFonts w:ascii="Calibri"/>
          <w:b/>
          <w:bCs/>
          <w:color w:val="1A1A1A"/>
          <w:sz w:val="24"/>
          <w:szCs w:val="24"/>
        </w:rPr>
        <w:t xml:space="preserve">Gains</w:t>
      </w:r>
      <w:bookmarkEnd w:id="100013"/>
    </w:p>
    <w:p>
      <w:pPr>
        <w:spacing w:after="140" w:line="312" w:lineRule="auto"/>
        <w:jc w:val="both"/>
      </w:pPr>
      <w:r>
        <w:rPr>
          <w:rFonts w:ascii="Calibri"/>
          <w:color w:val="1A1A1A"/>
          <w:sz w:val="22"/>
          <w:szCs w:val="22"/>
        </w:rPr>
        <w:t xml:space="preserve">Gains are the outcomes the customer truly wants. Required gains are non-negotiable — without them the customer will not adopt the platform at all. Expected gains are the baseline the customer assumes any modern trading tool should deliver. Desired gains are the upside that would delight the customer and drive word-of-mouth adoption. AurumXchange must hit all five required gains in the MVP; the expected and desired gains are sequenced into Phase 3 and Phase 4.</w:t>
      </w:r>
    </w:p>
    <w:p>
      <w:pPr>
        <w:keepNext/>
        <w:spacing w:after="80" w:before="200" w:line="280" w:lineRule="auto"/>
        <w:jc w:val="left"/>
      </w:pPr>
      <w:r>
        <w:rPr>
          <w:rFonts w:ascii="Calibri"/>
          <w:b/>
          <w:bCs/>
          <w:color w:val="1A1A1A"/>
          <w:sz w:val="22"/>
          <w:szCs w:val="22"/>
        </w:rPr>
        <w:t xml:space="preserve">Table 1.3. </w:t>
      </w:r>
      <w:r>
        <w:rPr>
          <w:rFonts w:ascii="Calibri"/>
          <w:b/>
          <w:bCs/>
          <w:color w:val="1A1A1A"/>
          <w:sz w:val="22"/>
          <w:szCs w:val="22"/>
        </w:rPr>
        <w:t xml:space="preserve">Customer Gains — Required, Expected, Desired</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w:t>
            </w:r>
          </w:p>
        </w:tc>
        <w:tc>
          <w:tcPr>
            <w:tcW w:type="pct" w:w="27%"/>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Gain</w:t>
            </w:r>
          </w:p>
        </w:tc>
        <w:tc>
          <w:tcPr>
            <w:tcW w:type="pct" w:w="13%"/>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Type</w:t>
            </w:r>
          </w:p>
        </w:tc>
        <w:tc>
          <w:tcPr>
            <w:tcW w:type="pct" w:w="5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Outcome the Customer Wants</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G1</w:t>
            </w:r>
          </w:p>
        </w:tc>
        <w:tc>
          <w:tcPr>
            <w:tcW w:type="pct" w:w="2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Compliance-grade audit trail (LBMA RGG-aligned)</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Required</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Every trade automatically produces a tamper-evident chain-of-custody record (lot ID, assay, signatures, escrow release, delivery) suitable for GoldBod, PMMC, GRA, and LBMA-aligned refiner audits.</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G2</w:t>
            </w:r>
          </w:p>
        </w:tc>
        <w:tc>
          <w:tcPr>
            <w:tcW w:type="pct" w:w="2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protection</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Required</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Funds leave the buyer's bank only when gold title has verifiably transferred to the buyer; the funds-at-risk window collapses from days to seconds.</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G3</w:t>
            </w:r>
          </w:p>
        </w:tc>
        <w:tc>
          <w:tcPr>
            <w:tcW w:type="pct" w:w="2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Price transparency</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Expected</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 sees competing bids on a lot before committing, and sees historical trade prices for similar lots (weight, purity, origin) for the last 90 days, alongside the daily LBMA PM Fix.</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G4</w:t>
            </w:r>
          </w:p>
        </w:tc>
        <w:tc>
          <w:tcPr>
            <w:tcW w:type="pct" w:w="2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Faster export documentation (incl. GoldBod integration)</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Expected</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Chamber-approved trades flow into a pre-populated export documentation workflow that integrates GoldBod (small-scale) and PMMC (release), cutting the 6-day release cycle to under 36 hours.</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G5</w:t>
            </w:r>
          </w:p>
        </w:tc>
        <w:tc>
          <w:tcPr>
            <w:tcW w:type="pct" w:w="2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Market intelligence</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Desired</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Daily LBMA PM Fix, Bank of Ghana DGPP purchase prices, regional demand signals by destination country (Switzerland, UAE, India), and a personalized 'optimal sale timing' recommendation driven by AI price forecasting.</w:t>
            </w:r>
          </w:p>
        </w:tc>
      </w:tr>
    </w:tbl>
    <w:p>
      <w:pPr>
        <w:keepNext/>
        <w:spacing w:after="200" w:before="60" w:line="280" w:lineRule="auto"/>
        <w:jc w:val="left"/>
      </w:pPr>
      <w:r>
        <w:rPr>
          <w:rFonts w:ascii="Calibri"/>
          <w:b/>
          <w:bCs/>
          <w:color w:val="5A6068"/>
          <w:sz w:val="18"/>
          <w:szCs w:val="18"/>
        </w:rPr>
        <w:t xml:space="preserve">Table 1.3. </w:t>
      </w:r>
      <w:r>
        <w:rPr>
          <w:rFonts w:ascii="Calibri"/>
          <w:i/>
          <w:iCs/>
          <w:color w:val="5A6068"/>
          <w:sz w:val="18"/>
          <w:szCs w:val="18"/>
        </w:rPr>
        <w:t xml:space="preserve">Five gains. G1 anchors to LBMA RGG; G4 explicitly includes GoldBod integration; G5 references the Bank of Ghana Domestic Gold Purchase Programme (DGPP), under which Chamber members sold 358,218 oz to BoG in 2024 [Ghana Chamber of Mines PWYP report, 2024].</w:t>
      </w:r>
    </w:p>
    <w:p>
      <w:pPr>
        <w:pStyle w:val="Heading2"/>
        <w:spacing w:after="160" w:before="360" w:line="340" w:lineRule="atLeast"/>
      </w:pPr>
      <w:bookmarkStart w:id="100014" w:name="_Toc100014"/>
      <w:r>
        <w:rPr>
          <w:rFonts w:ascii="Calibri"/>
          <w:b/>
          <w:bCs/>
          <w:color w:val="1A1A1A"/>
          <w:sz w:val="28"/>
          <w:szCs w:val="28"/>
        </w:rPr>
        <w:t xml:space="preserve">B. Value Map</w:t>
      </w:r>
      <w:bookmarkEnd w:id="100014"/>
    </w:p>
    <w:p>
      <w:pPr>
        <w:spacing w:after="140" w:line="312" w:lineRule="auto"/>
        <w:jc w:val="both"/>
      </w:pPr>
      <w:r>
        <w:rPr>
          <w:rFonts w:ascii="Calibri"/>
          <w:color w:val="1A1A1A"/>
          <w:sz w:val="22"/>
          <w:szCs w:val="22"/>
        </w:rPr>
        <w:t xml:space="preserve">The Value Map describes what AurumXchange actually is and how each feature maps to a specific customer pain or gain. The MVP scope (Phase 1 + Phase 2) is the smallest feature set that relieves every Required pain and creates every Required gain; Expected gains are partially delivered in MVP and fully delivered in Phase 3 (which includes GoldBod and PMMC deep integration); Desired gains are deferred to Phase 4. This sequencing is what later allows the Project Charter to declare specific features In-Scope and Out-of-Scope without breaking the Golden Thread.</w:t>
      </w:r>
    </w:p>
    <w:p>
      <w:pPr>
        <w:pStyle w:val="Heading3"/>
        <w:spacing w:after="120" w:before="240" w:line="320" w:lineRule="atLeast"/>
      </w:pPr>
      <w:bookmarkStart w:id="100015" w:name="_Toc100015"/>
      <w:r>
        <w:rPr>
          <w:rFonts w:ascii="Calibri"/>
          <w:b/>
          <w:bCs/>
          <w:color w:val="1A1A1A"/>
          <w:sz w:val="24"/>
          <w:szCs w:val="24"/>
        </w:rPr>
        <w:t xml:space="preserve">Products &amp; Services (MVP Scope)</w:t>
      </w:r>
      <w:bookmarkEnd w:id="100015"/>
    </w:p>
    <w:p>
      <w:pPr>
        <w:spacing w:after="140" w:line="312" w:lineRule="auto"/>
        <w:jc w:val="both"/>
      </w:pPr>
      <w:r>
        <w:rPr>
          <w:rFonts w:ascii="Calibri"/>
          <w:color w:val="1A1A1A"/>
          <w:sz w:val="22"/>
          <w:szCs w:val="22"/>
        </w:rPr>
        <w:t xml:space="preserve">The MVP is the smallest releasable product that delivers the Required gains and relieves the Required pains. It comprises two functional modules and one compliance module: the Digital Member Portal (Phase 1), the Trading Platform (Phase 2), and a Compliance Core that spans both phases. The list below is the authoritative MVP feature inventory; any feature not listed here is Out-of-Scope for the initial release and is enumerated as such in the Project Charter. Critically, the MVP supports GoldBod and PMMC via audit-package export only — full system integration with GoldBod's API and PMMC's release workflow is deferred to Phase 3, where the deep workflow automation (G4) is delivered.</w:t>
      </w:r>
    </w:p>
    <w:p>
      <w:pPr>
        <w:pStyle w:val="ListParagraph"/>
        <w:numPr>
          <w:ilvl w:val="0"/>
          <w:numId w:val="1"/>
        </w:numPr>
        <w:spacing w:after="80" w:line="300" w:lineRule="auto"/>
        <w:jc w:val="left"/>
      </w:pPr>
      <w:r>
        <w:rPr>
          <w:rFonts w:ascii="Calibri"/>
          <w:b/>
          <w:bCs/>
          <w:color w:val="1A1A1A"/>
          <w:sz w:val="22"/>
          <w:szCs w:val="22"/>
        </w:rPr>
        <w:t xml:space="preserve">Digital Member Portal (Phase 1): </w:t>
      </w:r>
      <w:r>
        <w:rPr>
          <w:rFonts w:ascii="Calibri"/>
          <w:color w:val="1A1A1A"/>
          <w:sz w:val="22"/>
          <w:szCs w:val="22"/>
        </w:rPr>
        <w:t xml:space="preserve">Member registration and KYC/AML verification via Smile Identity; Minerals Commission licence upload and verification; GoldBod registration verification (for small-scale gold traders, post April 2025); PMMC LGE permit upload; digital member profile; document repository; in-app messaging; notification centre; role-based access control for buyer, seller, Chamber approver, and administrator.</w:t>
      </w:r>
    </w:p>
    <w:p>
      <w:pPr>
        <w:pStyle w:val="ListParagraph"/>
        <w:numPr>
          <w:ilvl w:val="0"/>
          <w:numId w:val="1"/>
        </w:numPr>
        <w:spacing w:after="80" w:line="300" w:lineRule="auto"/>
        <w:jc w:val="left"/>
      </w:pPr>
      <w:r>
        <w:rPr>
          <w:rFonts w:ascii="Calibri"/>
          <w:b/>
          <w:bCs/>
          <w:color w:val="1A1A1A"/>
          <w:sz w:val="22"/>
          <w:szCs w:val="22"/>
        </w:rPr>
        <w:t xml:space="preserve">Trading Platform (Phase 2): </w:t>
      </w:r>
      <w:r>
        <w:rPr>
          <w:rFonts w:ascii="Calibri"/>
          <w:color w:val="1A1A1A"/>
          <w:sz w:val="22"/>
          <w:szCs w:val="22"/>
        </w:rPr>
        <w:t xml:space="preserve">Gold lot creation (weight, purity, serial numbers, photo, assay certificate upload); RFQ submission and response; bid comparison dashboard with live LBMA PM Fix overlay; negotiation and counter-offer thread; Chamber trade-approval workflow; digital contract generation and e-signature; escrow integration with partner bank (Stanbic Bank Ghana or Ecobank Ghana); delivery tracking against PMMC release and, where applicable, GoldBod release.</w:t>
      </w:r>
    </w:p>
    <w:p>
      <w:pPr>
        <w:pStyle w:val="ListParagraph"/>
        <w:numPr>
          <w:ilvl w:val="0"/>
          <w:numId w:val="1"/>
        </w:numPr>
        <w:spacing w:after="80" w:line="300" w:lineRule="auto"/>
        <w:jc w:val="left"/>
      </w:pPr>
      <w:r>
        <w:rPr>
          <w:rFonts w:ascii="Calibri"/>
          <w:b/>
          <w:bCs/>
          <w:color w:val="1A1A1A"/>
          <w:sz w:val="22"/>
          <w:szCs w:val="22"/>
        </w:rPr>
        <w:t xml:space="preserve">Compliance Core (cross-cutting): </w:t>
      </w:r>
      <w:r>
        <w:rPr>
          <w:rFonts w:ascii="Calibri"/>
          <w:color w:val="1A1A1A"/>
          <w:sz w:val="22"/>
          <w:szCs w:val="22"/>
        </w:rPr>
        <w:t xml:space="preserve">Immutable append-only audit log for every state change in a trade; PII handling in compliance with Ghana Data Protection Act 2012 (Act 843); SOC 2-aligned access controls; export of audit packages for GoldBod, PMMC, Minerals Commission, GRA, and LBMA-aligned refiner review. Audit log architecture pre-validates against the LBMA Responsible Gold Guidance five-step due diligence [lbma.org.uk, 2024].</w:t>
      </w:r>
    </w:p>
    <w:p>
      <w:pPr>
        <w:pStyle w:val="ListParagraph"/>
        <w:numPr>
          <w:ilvl w:val="0"/>
          <w:numId w:val="1"/>
        </w:numPr>
        <w:spacing w:after="80" w:line="300" w:lineRule="auto"/>
        <w:jc w:val="left"/>
      </w:pPr>
      <w:r>
        <w:rPr>
          <w:rFonts w:ascii="Calibri"/>
          <w:b/>
          <w:bCs/>
          <w:color w:val="1A1A1A"/>
          <w:sz w:val="22"/>
          <w:szCs w:val="22"/>
        </w:rPr>
        <w:t xml:space="preserve">Deferred to Phase 3: </w:t>
      </w:r>
      <w:r>
        <w:rPr>
          <w:rFonts w:ascii="Calibri"/>
          <w:color w:val="1A1A1A"/>
          <w:sz w:val="22"/>
          <w:szCs w:val="22"/>
        </w:rPr>
        <w:t xml:space="preserve">GoldBod API integration (small-scale gold channel); PMMC API integration (export release workflow automation); assay service requests; logistics coordination (armored transport, vault storage); insurance referral; vault management.</w:t>
      </w:r>
    </w:p>
    <w:p>
      <w:pPr>
        <w:pStyle w:val="ListParagraph"/>
        <w:numPr>
          <w:ilvl w:val="0"/>
          <w:numId w:val="1"/>
        </w:numPr>
        <w:spacing w:after="80" w:line="300" w:lineRule="auto"/>
        <w:jc w:val="left"/>
      </w:pPr>
      <w:r>
        <w:rPr>
          <w:rFonts w:ascii="Calibri"/>
          <w:b/>
          <w:bCs/>
          <w:color w:val="1A1A1A"/>
          <w:sz w:val="22"/>
          <w:szCs w:val="22"/>
        </w:rPr>
        <w:t xml:space="preserve">Deferred to Phase 4: </w:t>
      </w:r>
      <w:r>
        <w:rPr>
          <w:rFonts w:ascii="Calibri"/>
          <w:color w:val="1A1A1A"/>
          <w:sz w:val="22"/>
          <w:szCs w:val="22"/>
        </w:rPr>
        <w:t xml:space="preserve">Market intelligence dashboard (LBMA PM Fix + BoG DGPP prices + regional demand); AI-powered price prediction; collusion and fraud detection; regional demand forecasting; optimal sale-timing recommendation.</w:t>
      </w:r>
    </w:p>
    <w:p>
      <w:pPr>
        <w:pStyle w:val="Heading3"/>
        <w:spacing w:after="120" w:before="240" w:line="320" w:lineRule="atLeast"/>
      </w:pPr>
      <w:bookmarkStart w:id="100016" w:name="_Toc100016"/>
      <w:r>
        <w:rPr>
          <w:rFonts w:ascii="Calibri"/>
          <w:b/>
          <w:bCs/>
          <w:color w:val="1A1A1A"/>
          <w:sz w:val="24"/>
          <w:szCs w:val="24"/>
        </w:rPr>
        <w:t xml:space="preserve">Pain Relievers</w:t>
      </w:r>
      <w:bookmarkEnd w:id="100016"/>
    </w:p>
    <w:p>
      <w:pPr>
        <w:spacing w:after="140" w:line="312" w:lineRule="auto"/>
        <w:jc w:val="both"/>
      </w:pPr>
      <w:r>
        <w:rPr>
          <w:rFonts w:ascii="Calibri"/>
          <w:color w:val="1A1A1A"/>
          <w:sz w:val="22"/>
          <w:szCs w:val="22"/>
        </w:rPr>
        <w:t xml:space="preserve">Each pain in Table 1.2 is mapped below to the specific AurumXchange feature that relieves it. The mapping is explicit because vague claims ('better compliance') are not testable. The Charter's acceptance criteria reference these mappings directly.</w:t>
      </w:r>
    </w:p>
    <w:p>
      <w:pPr>
        <w:keepNext/>
        <w:spacing w:after="80" w:before="200" w:line="280" w:lineRule="auto"/>
        <w:jc w:val="left"/>
      </w:pPr>
      <w:r>
        <w:rPr>
          <w:rFonts w:ascii="Calibri"/>
          <w:b/>
          <w:bCs/>
          <w:color w:val="1A1A1A"/>
          <w:sz w:val="22"/>
          <w:szCs w:val="22"/>
        </w:rPr>
        <w:t xml:space="preserve">Table 1.4. </w:t>
      </w:r>
      <w:r>
        <w:rPr>
          <w:rFonts w:ascii="Calibri"/>
          <w:b/>
          <w:bCs/>
          <w:color w:val="1A1A1A"/>
          <w:sz w:val="22"/>
          <w:szCs w:val="22"/>
        </w:rPr>
        <w:t xml:space="preserve">Pain Relievers — Pain X is Relieved by Feature 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tblGrid>
      <w:tr>
        <w:trPr>
          <w:cantSplit/>
          <w:tblHeader/>
        </w:trPr>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Pain</w:t>
            </w:r>
          </w:p>
        </w:tc>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Feature That Relieves It</w:t>
            </w:r>
          </w:p>
        </w:tc>
        <w:tc>
          <w:tcPr>
            <w:tcW w:type="pct" w:w="5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How It Relieves the Pain</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P1 — Price opacity</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RFQ + bid comparison dashboard with live LBMA PM Fix overlay (Phase 2)</w:t>
            </w:r>
          </w:p>
        </w:tc>
        <w:tc>
          <w:tcPr>
            <w:tcW w:type="pct" w:w="5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 sees all competing bids for a lot before committing, plus 90-day historical trade prices for similar lots and the live LBMA PM Fix; overpayment drops because the buyer no longer bids blind against daily US$30–80/oz moves.</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P2 — Counterparty risk</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KYC/AML via Smile Identity + Minerals Commission licence verification + GoldBod registration check (Phase 1)</w:t>
            </w:r>
          </w:p>
        </w:tc>
        <w:tc>
          <w:tcPr>
            <w:tcW w:type="pct" w:w="5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Every seller's Minerals Commission licence, GoldBod registration (if small-scale gold), and assay history is verified at onboarding and re-verified monthly; unverified sellers cannot list lots, so the buyer never faces the 'is this seller real?' question.</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P3 — Export documentation drag (post-GoldBod)</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Core audit export → Phase 3 GoldBod + PMMC workflow integration</w:t>
            </w:r>
          </w:p>
        </w:tc>
        <w:tc>
          <w:tcPr>
            <w:tcW w:type="pct" w:w="5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MVP delivers the audit package that satisfies GoldBod, PMMC, and GRA reviewers; full Phase 3 closes the loop with GoldBod API and PMMC API integration, reducing elapsed time from 6 days to under 36 hours once both APIs are live.</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P4 — Funds-at-risk window</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integration with partner bank (Stanbic Bank Ghana or Ecobank Ghana) (Phase 2)</w:t>
            </w:r>
          </w:p>
        </w:tc>
        <w:tc>
          <w:tcPr>
            <w:tcW w:type="pct" w:w="5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Funds are released from escrow only when both (a) the Chamber has approved the trade and (b) gold title has transferred; the funds-at-risk window collapses from days to seconds and the buyer's worst-case exposure drops to zero.</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P5 — Audit trail fragmentation vs LBMA RGG</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Immutable audit log pre-validated against LBMA RGG five-step due diligence (Compliance Core)</w:t>
            </w:r>
          </w:p>
        </w:tc>
        <w:tc>
          <w:tcPr>
            <w:tcW w:type="pct" w:w="5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Every state change in a trade (lot created, bid submitted, contract signed, escrow released, delivery confirmed) is written to an append-only log; a single audit-package export satisfies the LBMA Responsible Gold Guidance five-step framework [lbma.org.uk, 2024] and replaces the current WhatsApp + paper + PDF reconstruction.</w:t>
            </w:r>
          </w:p>
        </w:tc>
      </w:tr>
    </w:tbl>
    <w:p>
      <w:pPr>
        <w:keepNext/>
        <w:spacing w:after="200" w:before="60" w:line="280" w:lineRule="auto"/>
        <w:jc w:val="left"/>
      </w:pPr>
      <w:r>
        <w:rPr>
          <w:rFonts w:ascii="Calibri"/>
          <w:b/>
          <w:bCs/>
          <w:color w:val="5A6068"/>
          <w:sz w:val="18"/>
          <w:szCs w:val="18"/>
        </w:rPr>
        <w:t xml:space="preserve">Table 1.4. </w:t>
      </w:r>
      <w:r>
        <w:rPr>
          <w:rFonts w:ascii="Calibri"/>
          <w:i/>
          <w:iCs/>
          <w:color w:val="5A6068"/>
          <w:sz w:val="18"/>
          <w:szCs w:val="18"/>
        </w:rPr>
        <w:t xml:space="preserve">Every pain from Table 1.2 is mapped to a specific MVP or near-MVP feature. No pain is left without a reliever. P5 explicitly references LBMA RGG; P3 explicitly references GoldBod.</w:t>
      </w:r>
    </w:p>
    <w:p>
      <w:pPr>
        <w:pStyle w:val="Heading3"/>
        <w:spacing w:after="120" w:before="240" w:line="320" w:lineRule="atLeast"/>
      </w:pPr>
      <w:bookmarkStart w:id="100017" w:name="_Toc100017"/>
      <w:r>
        <w:rPr>
          <w:rFonts w:ascii="Calibri"/>
          <w:b/>
          <w:bCs/>
          <w:color w:val="1A1A1A"/>
          <w:sz w:val="24"/>
          <w:szCs w:val="24"/>
        </w:rPr>
        <w:t xml:space="preserve">Gain Creators</w:t>
      </w:r>
      <w:bookmarkEnd w:id="100017"/>
    </w:p>
    <w:p>
      <w:pPr>
        <w:spacing w:after="140" w:line="312" w:lineRule="auto"/>
        <w:jc w:val="both"/>
      </w:pPr>
      <w:r>
        <w:rPr>
          <w:rFonts w:ascii="Calibri"/>
          <w:color w:val="1A1A1A"/>
          <w:sz w:val="22"/>
          <w:szCs w:val="22"/>
        </w:rPr>
        <w:t xml:space="preserve">Each gain in Table 1.3 is mapped below to the specific AurumXchange capability that creates it. The distinction between Pain Relievers (which remove a negative) and Gain Creators (which produce a positive) is what allows the BMC's Value Proposition block to be written as a positive claim rather than as the absence of a problem.</w:t>
      </w:r>
    </w:p>
    <w:p>
      <w:pPr>
        <w:keepNext/>
        <w:spacing w:after="80" w:before="200" w:line="280" w:lineRule="auto"/>
        <w:jc w:val="left"/>
      </w:pPr>
      <w:r>
        <w:rPr>
          <w:rFonts w:ascii="Calibri"/>
          <w:b/>
          <w:bCs/>
          <w:color w:val="1A1A1A"/>
          <w:sz w:val="22"/>
          <w:szCs w:val="22"/>
        </w:rPr>
        <w:t xml:space="preserve">Table 1.5. </w:t>
      </w:r>
      <w:r>
        <w:rPr>
          <w:rFonts w:ascii="Calibri"/>
          <w:b/>
          <w:bCs/>
          <w:color w:val="1A1A1A"/>
          <w:sz w:val="22"/>
          <w:szCs w:val="22"/>
        </w:rPr>
        <w:t xml:space="preserve">Gain Creators — Gain Z is Created by Capability W</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tblGrid>
      <w:tr>
        <w:trPr>
          <w:cantSplit/>
          <w:tblHeader/>
        </w:trPr>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Gain</w:t>
            </w:r>
          </w:p>
        </w:tc>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Capability That Creates It</w:t>
            </w:r>
          </w:p>
        </w:tc>
        <w:tc>
          <w:tcPr>
            <w:tcW w:type="pct" w:w="4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Outcome Produced</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G1 — Compliance-grade audit trail (LBMA RGG-aligned)</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Immutable, append-only audit log pre-validated against LBMA RGG five-step due diligence (Compliance Core)</w:t>
            </w:r>
          </w:p>
        </w:tc>
        <w:tc>
          <w:tcPr>
            <w:tcW w:type="pct" w:w="4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 single exportable audit package per trade, accepted by GoldBod, PMMC, Minerals Commission, GRA, and LBMA-aligned refiner reviewers; reduces audit time per trade from 6 staff-hours to under 30 minutes.</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G2 — Escrow protection</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Partner-bank escrow integration (Stanbic Bank Ghana or Ecobank Ghana) with two-signature release (Phase 2)</w:t>
            </w:r>
          </w:p>
        </w:tc>
        <w:tc>
          <w:tcPr>
            <w:tcW w:type="pct" w:w="4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Funds move only on joint confirmation of Chamber approval + title transfer; the funds-at-risk window collapses from days to seconds and the buyer's worst-case exposure drops to zero.</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G3 — Price transparency</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Bid comparison dashboard + 90-day historical price feed + live LBMA PM Fix overlay (Phase 2)</w:t>
            </w:r>
          </w:p>
        </w:tc>
        <w:tc>
          <w:tcPr>
            <w:tcW w:type="pct" w:w="4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 sees competing bids and historical comps before committing, with LBMA PM Fix as the reference price; overpayment incidents drop from 1-in-4 trades to under 1-in-10 by month 12 post-launch.</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G4 — Faster export documentation (incl. GoldBod)</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Core audit export → GoldBod + PMMC workflow (Phase 2 MVP, full Phase 3)</w:t>
            </w:r>
          </w:p>
        </w:tc>
        <w:tc>
          <w:tcPr>
            <w:tcW w:type="pct" w:w="4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MVP reduces staff-hours per shipment from 14 to 6; Phase 3 reduces elapsed time from 6 days to under 36 hours once GoldBod and PMMC system integration is live.</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G5 — Market intelligence</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Phase 4 market intelligence module (LBMA PM Fix + BoG DGPP prices + AI price forecasting)</w:t>
            </w:r>
          </w:p>
        </w:tc>
        <w:tc>
          <w:tcPr>
            <w:tcW w:type="pct" w:w="4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Daily LBMA PM Fix, BoG DGPP purchase prices (the Bank of Ghana purchased 358,218 oz from Chamber members in 2024 [Ghana Chamber of Mines PWYP report, 2024]), regional demand by destination, and personalized sale-timing recommendation; deferred to Phase 4 but designed for in MVP data model.</w:t>
            </w:r>
          </w:p>
        </w:tc>
      </w:tr>
    </w:tbl>
    <w:p>
      <w:pPr>
        <w:keepNext/>
        <w:spacing w:after="200" w:before="60" w:line="280" w:lineRule="auto"/>
        <w:jc w:val="left"/>
      </w:pPr>
      <w:r>
        <w:rPr>
          <w:rFonts w:ascii="Calibri"/>
          <w:b/>
          <w:bCs/>
          <w:color w:val="5A6068"/>
          <w:sz w:val="18"/>
          <w:szCs w:val="18"/>
        </w:rPr>
        <w:t xml:space="preserve">Table 1.5. </w:t>
      </w:r>
      <w:r>
        <w:rPr>
          <w:rFonts w:ascii="Calibri"/>
          <w:i/>
          <w:iCs/>
          <w:color w:val="5A6068"/>
          <w:sz w:val="18"/>
          <w:szCs w:val="18"/>
        </w:rPr>
        <w:t xml:space="preserve">Every gain from Table 1.3 is mapped to a specific capability. G5 references the BoG DGPP, providing a credible alternative sales channel for sellers and grounding the market intelligence use case in a real 2024 program.</w:t>
      </w:r>
    </w:p>
    <w:p>
      <w:pPr>
        <w:pStyle w:val="Heading2"/>
        <w:spacing w:after="160" w:before="360" w:line="340" w:lineRule="atLeast"/>
      </w:pPr>
      <w:bookmarkStart w:id="100018" w:name="_Toc100018"/>
      <w:r>
        <w:rPr>
          <w:rFonts w:ascii="Calibri"/>
          <w:b/>
          <w:bCs/>
          <w:color w:val="1A1A1A"/>
          <w:sz w:val="28"/>
          <w:szCs w:val="28"/>
        </w:rPr>
        <w:t xml:space="preserve">C. The Fit Statement</w:t>
      </w:r>
      <w:bookmarkEnd w:id="100018"/>
    </w:p>
    <w:p>
      <w:pPr>
        <w:spacing w:after="140" w:line="312" w:lineRule="auto"/>
        <w:jc w:val="both"/>
      </w:pPr>
      <w:r>
        <w:rPr>
          <w:rFonts w:ascii="Calibri"/>
          <w:color w:val="1A1A1A"/>
          <w:sz w:val="22"/>
          <w:szCs w:val="22"/>
        </w:rPr>
        <w:t xml:space="preserve">The Fit Statement compresses the entire VPC into a single sentence in the format required by the brief. It is the canonical articulation of AurumXchange's value proposition and is reproduced verbatim in the Business Model Canvas's Value Propositions block.</w:t>
      </w:r>
    </w:p>
    <w:p>
      <w:pPr>
        <w:pBdr>
          <w:top w:val="single" w:color="C9A84C" w:sz="12" w:space="12"/>
          <w:bottom w:val="single" w:color="C9A84C" w:sz="12" w:space="12"/>
          <w:left w:val="single" w:color="C9A84C" w:sz="4" w:space="12"/>
          <w:right w:val="single" w:color="C9A84C" w:sz="4" w:space="12"/>
        </w:pBdr>
        <w:spacing w:after="240" w:before="240" w:line="360" w:lineRule="atLeast"/>
        <w:ind w:left="600" w:right="600"/>
        <w:jc w:val="center"/>
      </w:pPr>
      <w:r>
        <w:rPr>
          <w:rFonts w:ascii="Calibri"/>
          <w:b/>
          <w:bCs/>
          <w:i/>
          <w:iCs/>
          <w:color w:val="1A1A1A"/>
          <w:sz w:val="22"/>
          <w:szCs w:val="22"/>
        </w:rPr>
        <w:t xml:space="preserve">For licensed Tier 1 and Tier 2 gold buyers and sellers in Ghana who must trade high-value gold under strict GoldBod, PMMC, Minerals Commission, and LBMA Responsible Gold Guidance compliance without exposing themselves to price opacity, counterparty risk, or funds-at-risk windows, AurumXchange is a regulated B2B gold trading infrastructure that combines RFQ-driven negotiation, Chamber-approved escrow, and an immutable LBMA-RGG-aligned audit trail into a single compliance-gated exchange. Unlike the status quo of phone-brokered deals and fragmented paperwork across GoldBod, PMMC, and Bank of Ghana workflows, AurumXchange collapses every trade into a single auditable workflow where funds move only when title transfers.</w:t>
      </w:r>
    </w:p>
    <w:p>
      <w:pPr>
        <w:spacing w:after="140" w:line="312" w:lineRule="auto"/>
        <w:jc w:val="both"/>
      </w:pPr>
      <w:r>
        <w:rPr>
          <w:rFonts w:ascii="Calibri"/>
          <w:color w:val="1A1A1A"/>
          <w:sz w:val="22"/>
          <w:szCs w:val="22"/>
        </w:rPr>
        <w:t xml:space="preserve">This Fit Statement is the contract between the VPC and the rest of the business case. Every downstream claim — the BMC's Value Proposition, the Financial Documentation's revenue assumption that buyers will pay a 0.10% fee per side, and the Charter's scope of Phase 1 and Phase 2 features — is traceable to this single sentence. If a reviewer disagrees with the Fit Statement, the entire business case must be revisited; if they accept it, the four documents that follow should be evaluated against how faithfully they operationalize it.</w:t>
      </w:r>
    </w:p>
    <w:p>
      <w:r>
        <w:br w:type="page"/>
      </w:r>
    </w:p>
    <w:p>
      <w:pPr>
        <w:pStyle w:val="Heading1"/>
        <w:spacing w:after="200" w:before="480" w:line="360" w:lineRule="atLeast"/>
      </w:pPr>
      <w:bookmarkStart w:id="100019" w:name="_Toc100019"/>
      <w:r>
        <w:rPr>
          <w:rFonts w:ascii="Calibri"/>
          <w:b/>
          <w:bCs/>
          <w:color w:val="1A1A1A"/>
          <w:sz w:val="32"/>
          <w:szCs w:val="32"/>
        </w:rPr>
        <w:t xml:space="preserve">Document 2 — Business Model Canvas</w:t>
      </w:r>
      <w:bookmarkEnd w:id="100019"/>
    </w:p>
    <w:p>
      <w:pPr>
        <w:spacing w:after="140" w:line="312" w:lineRule="auto"/>
        <w:jc w:val="both"/>
      </w:pPr>
      <w:r>
        <w:rPr>
          <w:rFonts w:ascii="Calibri"/>
          <w:color w:val="1A1A1A"/>
          <w:sz w:val="22"/>
          <w:szCs w:val="22"/>
        </w:rPr>
        <w:t xml:space="preserve">The Business Model Canvas translates the VPC's Fit Statement into a sustainable commercial architecture. It is presented here as a single-page narrative across all nine building blocks, organized so that the right side (Customer Segments, Value Propositions, Channels, Customer Relationships, Revenue Streams) describes how AurumXchange creates and captures value in the market, and the left side (Key Activities, Key Resources, Key Partnerships, Cost Structure) describes how Smart Innovations Ghana Limited builds and operates the platform. The Revenue Streams block carries pricing assumptions that reappear, line-for-line, in the Financial Documentation's bottom-up revenue model; the Key Partnerships block lists external dependencies — including the Ghana Gold Board (GoldBod, established April 2025 under Act 1140) — that reappear, line-for-line, in the OpEx budget. This is the Golden Thread in its first explicit form.</w:t>
      </w:r>
    </w:p>
    <w:p>
      <w:pPr>
        <w:pStyle w:val="Heading2"/>
        <w:spacing w:after="160" w:before="360" w:line="340" w:lineRule="atLeast"/>
      </w:pPr>
      <w:bookmarkStart w:id="100020" w:name="_Toc100020"/>
      <w:r>
        <w:rPr>
          <w:rFonts w:ascii="Calibri"/>
          <w:b/>
          <w:bCs/>
          <w:color w:val="1A1A1A"/>
          <w:sz w:val="28"/>
          <w:szCs w:val="28"/>
        </w:rPr>
        <w:t xml:space="preserve">1. Customer Segments</w:t>
      </w:r>
      <w:bookmarkEnd w:id="100020"/>
    </w:p>
    <w:p>
      <w:pPr>
        <w:spacing w:after="140" w:line="312" w:lineRule="auto"/>
        <w:jc w:val="both"/>
      </w:pPr>
      <w:r>
        <w:rPr>
          <w:rFonts w:ascii="Calibri"/>
          <w:color w:val="1A1A1A"/>
          <w:sz w:val="22"/>
          <w:szCs w:val="22"/>
        </w:rPr>
        <w:t xml:space="preserve">AurumXchange serves two primary segments and one secondary segment. The primary segments are the two sides of every trade — licensed sellers and licensed buyers — and the secondary segment is the Chamber itself, which is both regulator-of-record for trade approvals and the recipient of 30% of platform revenue. Each primary segment has a distinct persona; the same person is never both buyer and seller on the same trade, but a single firm may register as both over time. Personas are drawn against the real Ghanaian gold sector: large-scale mining companies (Newmont Ghana, Gold Fields Ghana, AngloGold Ashanti Obuasi, Kinross Chirano, Asanko Gold) operate outside the GoldBod channel under bilateral offtake, while small-scale miners and aggregators now operate within the GoldBod sole-buyer framework established by Act 1140 [UNCTAD, 2025; goldbod.gov.gh].</w:t>
      </w:r>
    </w:p>
    <w:p>
      <w:pPr>
        <w:keepNext/>
        <w:spacing w:after="80" w:before="200" w:line="280" w:lineRule="auto"/>
        <w:jc w:val="left"/>
      </w:pPr>
      <w:r>
        <w:rPr>
          <w:rFonts w:ascii="Calibri"/>
          <w:b/>
          <w:bCs/>
          <w:color w:val="1A1A1A"/>
          <w:sz w:val="22"/>
          <w:szCs w:val="22"/>
        </w:rPr>
        <w:t xml:space="preserve">Table 2.1. </w:t>
      </w:r>
      <w:r>
        <w:rPr>
          <w:rFonts w:ascii="Calibri"/>
          <w:b/>
          <w:bCs/>
          <w:color w:val="1A1A1A"/>
          <w:sz w:val="22"/>
          <w:szCs w:val="22"/>
        </w:rPr>
        <w:t xml:space="preserve">Customer Segments &amp; Personas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Segment</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Persona</w:t>
            </w:r>
          </w:p>
        </w:tc>
        <w:tc>
          <w:tcPr>
            <w:tcW w:type="pct" w:w="41%"/>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Description</w:t>
            </w:r>
          </w:p>
        </w:tc>
        <w:tc>
          <w:tcPr>
            <w:tcW w:type="pct" w:w="15%"/>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Economic Buyer</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Primary — Tier 2 Sellers (small-scale channel)</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Abena Owusu (Licensed Small-Scale Miner / Aggregator)</w:t>
            </w:r>
          </w:p>
        </w:tc>
        <w:tc>
          <w:tcPr>
            <w:tcW w:type="pct" w:w="4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39-year-old operator of a registered small-scale mining cooperative in Tarkwa; holds Minerals Commission licence; since April 2025 sells 3–8 kg/month of dore through GoldBod as the sole legal buyer of small-scale-mined gold [GoldBod Act 1140].</w:t>
            </w:r>
          </w:p>
        </w:tc>
        <w:tc>
          <w:tcPr>
            <w:tcW w:type="pct" w:w="1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Abena's cooperative (SME)</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Primary — Tier 2 Buyers</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Kofi Mensah (Licensed Exporter-Aggregator)</w:t>
            </w:r>
          </w:p>
        </w:tc>
        <w:tc>
          <w:tcPr>
            <w:tcW w:type="pct" w:w="4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41-year-old MD of a Kumasi-based exporter; holds Minerals Commission licence + PMMC LGE permit; sources 4 kg/month from large-scale mining companies under bilateral offtake (outside GoldBod's mandate); exports to refiners in Switzerland and UAE.</w:t>
            </w:r>
          </w:p>
        </w:tc>
        <w:tc>
          <w:tcPr>
            <w:tcW w:type="pct" w:w="1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Kofi's firm (SME)</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Primary — Tier 1 Buyers</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Marcus Weber (Refiner Procurement Lead)</w:t>
            </w:r>
          </w:p>
        </w:tc>
        <w:tc>
          <w:tcPr>
            <w:tcW w:type="pct" w:w="4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47-year-old Head of Procurement at a Swiss LBMA-accredited refiner; sources 50–200 kg/month of West African dore; needs responsible-origin documentation satisfying the LBMA Responsible Gold Guidance five-step due diligence [lbma.org.uk, 2024].</w:t>
            </w:r>
          </w:p>
        </w:tc>
        <w:tc>
          <w:tcPr>
            <w:tcW w:type="pct" w:w="1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Refiner corporate parent (Enterprise)</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Secondary — The Chamber</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Nana Chairperson (Chamber President)</w:t>
            </w:r>
          </w:p>
        </w:tc>
        <w:tc>
          <w:tcPr>
            <w:tcW w:type="pct" w:w="4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Authorized representative of the Ghana Chamber of Gold Buyers; sets trading rules, approves member admissions, approves each trade above a threshold; receives 30% revenue share.</w:t>
            </w:r>
          </w:p>
        </w:tc>
        <w:tc>
          <w:tcPr>
            <w:tcW w:type="pct" w:w="1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The Chamber (Association)</w:t>
            </w:r>
          </w:p>
        </w:tc>
      </w:tr>
    </w:tbl>
    <w:p>
      <w:pPr>
        <w:keepNext/>
        <w:spacing w:after="200" w:before="60" w:line="280" w:lineRule="auto"/>
        <w:jc w:val="left"/>
      </w:pPr>
      <w:r>
        <w:rPr>
          <w:rFonts w:ascii="Calibri"/>
          <w:b/>
          <w:bCs/>
          <w:color w:val="5A6068"/>
          <w:sz w:val="18"/>
          <w:szCs w:val="18"/>
        </w:rPr>
        <w:t xml:space="preserve">Table 2.1. </w:t>
      </w:r>
      <w:r>
        <w:rPr>
          <w:rFonts w:ascii="Calibri"/>
          <w:i/>
          <w:iCs/>
          <w:color w:val="5A6068"/>
          <w:sz w:val="18"/>
          <w:szCs w:val="18"/>
        </w:rPr>
        <w:t xml:space="preserve">Four personas reflecting the post-April-2025 dual-channel environment: small-scale gold via GoldBod (Abena); large-scale gold via bilateral offtake (Kofi). Tier 1 buyers (Marcus) require LBMA RGG compliance.</w:t>
      </w:r>
    </w:p>
    <w:p>
      <w:pPr>
        <w:pStyle w:val="Heading2"/>
        <w:spacing w:after="160" w:before="360" w:line="340" w:lineRule="atLeast"/>
      </w:pPr>
      <w:bookmarkStart w:id="100021" w:name="_Toc100021"/>
      <w:r>
        <w:rPr>
          <w:rFonts w:ascii="Calibri"/>
          <w:b/>
          <w:bCs/>
          <w:color w:val="1A1A1A"/>
          <w:sz w:val="28"/>
          <w:szCs w:val="28"/>
        </w:rPr>
        <w:t xml:space="preserve">2. Value Propositions</w:t>
      </w:r>
      <w:bookmarkEnd w:id="100021"/>
    </w:p>
    <w:p>
      <w:pPr>
        <w:spacing w:after="140" w:line="312" w:lineRule="auto"/>
        <w:jc w:val="both"/>
      </w:pPr>
      <w:r>
        <w:rPr>
          <w:rFonts w:ascii="Calibri"/>
          <w:color w:val="1A1A1A"/>
          <w:sz w:val="22"/>
          <w:szCs w:val="22"/>
        </w:rPr>
        <w:t xml:space="preserve">The Value Propositions block summarizes the VPC Fit Statement, restated once per segment where the proposition differs. All four propositions are grounded in the same compliance-gated exchange architecture; the differences are in the specific pain or gain each segment prioritizes.</w:t>
      </w:r>
    </w:p>
    <w:p>
      <w:pPr>
        <w:keepNext/>
        <w:spacing w:after="80" w:before="200" w:line="280" w:lineRule="auto"/>
        <w:jc w:val="left"/>
      </w:pPr>
      <w:r>
        <w:rPr>
          <w:rFonts w:ascii="Calibri"/>
          <w:b/>
          <w:bCs/>
          <w:color w:val="1A1A1A"/>
          <w:sz w:val="22"/>
          <w:szCs w:val="22"/>
        </w:rPr>
        <w:t xml:space="preserve">Table 2.2. </w:t>
      </w:r>
      <w:r>
        <w:rPr>
          <w:rFonts w:ascii="Calibri"/>
          <w:b/>
          <w:bCs/>
          <w:color w:val="1A1A1A"/>
          <w:sz w:val="22"/>
          <w:szCs w:val="22"/>
        </w:rPr>
        <w:t xml:space="preserve">Value Propositions by Segment</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tblGrid>
      <w:tr>
        <w:trPr>
          <w:cantSplit/>
          <w:tblHeader/>
        </w:trPr>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Segment</w:t>
            </w:r>
          </w:p>
        </w:tc>
        <w:tc>
          <w:tcPr>
            <w:tcW w:type="pct" w:w="7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Value Proposition</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Tier 2 Sellers — Abena (small-scale, post-GoldBod)</w:t>
            </w:r>
          </w:p>
        </w:tc>
        <w:tc>
          <w:tcPr>
            <w:tcW w:type="pct" w:w="7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AurumXchange gives you verified, licensed buyers in one place and ensures your gold is paid for via escrow before title transfers — while also routing your small-scale-mined gold through the GoldBod sole-buyer workflow in compliance with Act 1140. Your funds-at-risk window collapses and your realized price is exposed to competitive bids rather than a single GoldBod reference price.</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Tier 2 Buyers — Kofi (exporter-aggregator)</w:t>
            </w:r>
          </w:p>
        </w:tc>
        <w:tc>
          <w:tcPr>
            <w:tcW w:type="pct" w:w="7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AurumXchange gives you a single compliance-gated workflow where every seller is KYC-verified, every lot has a tamper-evident audit trail aligned to the LBMA Responsible Gold Guidance, and every payment is held in escrow (with Stanbic Bank Ghana or Ecobank Ghana) until title transfers — replacing 6 days of export-documentation drag across PMMC, GRA Customs, and Bank of Ghana forex verification with one auditable trade.</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Tier 1 Buyers — Marcus (LBMA refiner)</w:t>
            </w:r>
          </w:p>
        </w:tc>
        <w:tc>
          <w:tcPr>
            <w:tcW w:type="pct" w:w="7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AurumXchange gives you LBMA RGG-aligned responsible-origin documentation and a complete chain-of-custody audit trail for every kilogram of Ghanaian dore you source — satisfying your refiner's OECD Due Diligence obligations without adding procurement overhead.</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The Chamber</w:t>
            </w:r>
          </w:p>
        </w:tc>
        <w:tc>
          <w:tcPr>
            <w:tcW w:type="pct" w:w="7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AurumXchange gives you a single digital surface to manage member licensing, approve trades, and earn 30% of platform revenue — without investing upfront capital or operating the technology yourself. The platform absorbs the GoldBod workflow introduced by Act 1140 (April 2025), reducing member friction during the regulatory transition.</w:t>
            </w:r>
          </w:p>
        </w:tc>
      </w:tr>
    </w:tbl>
    <w:p>
      <w:pPr>
        <w:keepNext/>
        <w:spacing w:after="200" w:before="60" w:line="280" w:lineRule="auto"/>
        <w:jc w:val="left"/>
      </w:pPr>
      <w:r>
        <w:rPr>
          <w:rFonts w:ascii="Calibri"/>
          <w:b/>
          <w:bCs/>
          <w:color w:val="5A6068"/>
          <w:sz w:val="18"/>
          <w:szCs w:val="18"/>
        </w:rPr>
        <w:t xml:space="preserve">Table 2.2. </w:t>
      </w:r>
      <w:r>
        <w:rPr>
          <w:rFonts w:ascii="Calibri"/>
          <w:i/>
          <w:iCs/>
          <w:color w:val="5A6068"/>
          <w:sz w:val="18"/>
          <w:szCs w:val="18"/>
        </w:rPr>
        <w:t xml:space="preserve">Four propositions, all restatements of the VPC Fit Statement tuned to each persona's primary pain or gain. The GoldBod workflow is explicitly absorbed into the seller and Chamber propositions.</w:t>
      </w:r>
    </w:p>
    <w:p>
      <w:pPr>
        <w:pStyle w:val="Heading2"/>
        <w:spacing w:after="160" w:before="360" w:line="340" w:lineRule="atLeast"/>
      </w:pPr>
      <w:bookmarkStart w:id="100022" w:name="_Toc100022"/>
      <w:r>
        <w:rPr>
          <w:rFonts w:ascii="Calibri"/>
          <w:b/>
          <w:bCs/>
          <w:color w:val="1A1A1A"/>
          <w:sz w:val="28"/>
          <w:szCs w:val="28"/>
        </w:rPr>
        <w:t xml:space="preserve">3. Channels</w:t>
      </w:r>
      <w:bookmarkEnd w:id="100022"/>
    </w:p>
    <w:p>
      <w:pPr>
        <w:spacing w:after="140" w:line="312" w:lineRule="auto"/>
        <w:jc w:val="both"/>
      </w:pPr>
      <w:r>
        <w:rPr>
          <w:rFonts w:ascii="Calibri"/>
          <w:color w:val="1A1A1A"/>
          <w:sz w:val="22"/>
          <w:szCs w:val="22"/>
        </w:rPr>
        <w:t xml:space="preserve">Channels describe how a user discovers, evaluates, purchases, and accesses AurumXchange. Because the Chamber is the channel partner, the discovery and evaluation channels are largely owned by the Chamber rather than by Smart Innovations — this is what makes the 30% revenue share defensible. The access channel is owned by Smart Innovations and is the only channel that incurs variable per-user cost.</w:t>
      </w:r>
    </w:p>
    <w:p>
      <w:pPr>
        <w:pStyle w:val="ListParagraph"/>
        <w:numPr>
          <w:ilvl w:val="0"/>
          <w:numId w:val="1"/>
        </w:numPr>
        <w:spacing w:after="80" w:line="300" w:lineRule="auto"/>
        <w:jc w:val="left"/>
      </w:pPr>
      <w:r>
        <w:rPr>
          <w:rFonts w:ascii="Calibri"/>
          <w:b/>
          <w:bCs/>
          <w:color w:val="1A1A1A"/>
          <w:sz w:val="22"/>
          <w:szCs w:val="22"/>
        </w:rPr>
        <w:t xml:space="preserve">Discovery: </w:t>
      </w:r>
      <w:r>
        <w:rPr>
          <w:rFonts w:ascii="Calibri"/>
          <w:color w:val="1A1A1A"/>
          <w:sz w:val="22"/>
          <w:szCs w:val="22"/>
        </w:rPr>
        <w:t xml:space="preserve">Chamber membership communications (quarterly meeting, member WhatsApp groups, Chamber website), Chamber-led industry events including the Ghana Mining &amp; Energy Conference (GMEC) and the West African Mining &amp; Power Conference, and word-of-mouth between licensed buyers. Smart Innovations does not run paid acquisition in the discovery channel — the Chamber's endorsement is the acquisition.</w:t>
      </w:r>
    </w:p>
    <w:p>
      <w:pPr>
        <w:pStyle w:val="ListParagraph"/>
        <w:numPr>
          <w:ilvl w:val="0"/>
          <w:numId w:val="1"/>
        </w:numPr>
        <w:spacing w:after="80" w:line="300" w:lineRule="auto"/>
        <w:jc w:val="left"/>
      </w:pPr>
      <w:r>
        <w:rPr>
          <w:rFonts w:ascii="Calibri"/>
          <w:b/>
          <w:bCs/>
          <w:color w:val="1A1A1A"/>
          <w:sz w:val="22"/>
          <w:szCs w:val="22"/>
        </w:rPr>
        <w:t xml:space="preserve">Evaluation: </w:t>
      </w:r>
      <w:r>
        <w:rPr>
          <w:rFonts w:ascii="Calibri"/>
          <w:color w:val="1A1A1A"/>
          <w:sz w:val="22"/>
          <w:szCs w:val="22"/>
        </w:rPr>
        <w:t xml:space="preserve">Chamber-hosted demo sessions (in-person in Accra, Kumasi, Tarkwa, Obuasi), on-demand product walkthrough video, and a 14-day free Professional-tier trial for verified members.</w:t>
      </w:r>
    </w:p>
    <w:p>
      <w:pPr>
        <w:pStyle w:val="ListParagraph"/>
        <w:numPr>
          <w:ilvl w:val="0"/>
          <w:numId w:val="1"/>
        </w:numPr>
        <w:spacing w:after="80" w:line="300" w:lineRule="auto"/>
        <w:jc w:val="left"/>
      </w:pPr>
      <w:r>
        <w:rPr>
          <w:rFonts w:ascii="Calibri"/>
          <w:b/>
          <w:bCs/>
          <w:color w:val="1A1A1A"/>
          <w:sz w:val="22"/>
          <w:szCs w:val="22"/>
        </w:rPr>
        <w:t xml:space="preserve">Purchase / Subscription: </w:t>
      </w:r>
      <w:r>
        <w:rPr>
          <w:rFonts w:ascii="Calibri"/>
          <w:color w:val="1A1A1A"/>
          <w:sz w:val="22"/>
          <w:szCs w:val="22"/>
        </w:rPr>
        <w:t xml:space="preserve">Self-service upgrade inside the platform (Free → Professional → Enterprise), with invoice billing for Enterprise. No salesperson touches the transaction below the Enterprise tier. Payment via mobile money (MTN MoMo, Telecel Cash) or bank transfer (Ghana Interbank Payment Settlement System, GHIPSS).</w:t>
      </w:r>
    </w:p>
    <w:p>
      <w:pPr>
        <w:pStyle w:val="ListParagraph"/>
        <w:numPr>
          <w:ilvl w:val="0"/>
          <w:numId w:val="1"/>
        </w:numPr>
        <w:spacing w:after="80" w:line="300" w:lineRule="auto"/>
        <w:jc w:val="left"/>
      </w:pPr>
      <w:r>
        <w:rPr>
          <w:rFonts w:ascii="Calibri"/>
          <w:b/>
          <w:bCs/>
          <w:color w:val="1A1A1A"/>
          <w:sz w:val="22"/>
          <w:szCs w:val="22"/>
        </w:rPr>
        <w:t xml:space="preserve">Access: </w:t>
      </w:r>
      <w:r>
        <w:rPr>
          <w:rFonts w:ascii="Calibri"/>
          <w:color w:val="1A1A1A"/>
          <w:sz w:val="22"/>
          <w:szCs w:val="22"/>
        </w:rPr>
        <w:t xml:space="preserve">Web application (responsive, mobile-friendly), accessible from any modern browser. Native mobile apps (iOS/Android) are explicitly Out-of-Scope for MVP and are deferred to a post-launch Phase 5 release.</w:t>
      </w:r>
    </w:p>
    <w:p>
      <w:pPr>
        <w:pStyle w:val="Heading2"/>
        <w:spacing w:after="160" w:before="360" w:line="340" w:lineRule="atLeast"/>
      </w:pPr>
      <w:bookmarkStart w:id="100023" w:name="_Toc100023"/>
      <w:r>
        <w:rPr>
          <w:rFonts w:ascii="Calibri"/>
          <w:b/>
          <w:bCs/>
          <w:color w:val="1A1A1A"/>
          <w:sz w:val="28"/>
          <w:szCs w:val="28"/>
        </w:rPr>
        <w:t xml:space="preserve">4. Customer Relationships</w:t>
      </w:r>
      <w:bookmarkEnd w:id="100023"/>
    </w:p>
    <w:p>
      <w:pPr>
        <w:spacing w:after="140" w:line="312" w:lineRule="auto"/>
        <w:jc w:val="both"/>
      </w:pPr>
      <w:r>
        <w:rPr>
          <w:rFonts w:ascii="Calibri"/>
          <w:color w:val="1A1A1A"/>
          <w:sz w:val="22"/>
          <w:szCs w:val="22"/>
        </w:rPr>
        <w:t xml:space="preserve">Different segments expect different relationships, and the platform must support all four simultaneously without forcing the higher-touch relationships onto users who do not want them. Self-service is the default; dedicated account management is reserved for Enterprise subscribers and the Chamber itself.</w:t>
      </w:r>
    </w:p>
    <w:p>
      <w:pPr>
        <w:pStyle w:val="ListParagraph"/>
        <w:numPr>
          <w:ilvl w:val="0"/>
          <w:numId w:val="1"/>
        </w:numPr>
        <w:spacing w:after="80" w:line="300" w:lineRule="auto"/>
        <w:jc w:val="left"/>
      </w:pPr>
      <w:r>
        <w:rPr>
          <w:rFonts w:ascii="Calibri"/>
          <w:b/>
          <w:bCs/>
          <w:color w:val="1A1A1A"/>
          <w:sz w:val="22"/>
          <w:szCs w:val="22"/>
        </w:rPr>
        <w:t xml:space="preserve">Tier 2 Sellers &amp; Buyers: </w:t>
      </w:r>
      <w:r>
        <w:rPr>
          <w:rFonts w:ascii="Calibri"/>
          <w:color w:val="1A1A1A"/>
          <w:sz w:val="22"/>
          <w:szCs w:val="22"/>
        </w:rPr>
        <w:t xml:space="preserve">Self-service with automated onboarding (KYC via Smile Identity, Minerals Commission licence verification, GoldBod registration check for small-scale gold traders). In-app chat support with a 4-hour first-response SLA during business hours (08:00–18:00 GMT).</w:t>
      </w:r>
    </w:p>
    <w:p>
      <w:pPr>
        <w:pStyle w:val="ListParagraph"/>
        <w:numPr>
          <w:ilvl w:val="0"/>
          <w:numId w:val="1"/>
        </w:numPr>
        <w:spacing w:after="80" w:line="300" w:lineRule="auto"/>
        <w:jc w:val="left"/>
      </w:pPr>
      <w:r>
        <w:rPr>
          <w:rFonts w:ascii="Calibri"/>
          <w:b/>
          <w:bCs/>
          <w:color w:val="1A1A1A"/>
          <w:sz w:val="22"/>
          <w:szCs w:val="22"/>
        </w:rPr>
        <w:t xml:space="preserve">Tier 1 Buyers (Enterprise): </w:t>
      </w:r>
      <w:r>
        <w:rPr>
          <w:rFonts w:ascii="Calibri"/>
          <w:color w:val="1A1A1A"/>
          <w:sz w:val="22"/>
          <w:szCs w:val="22"/>
        </w:rPr>
        <w:t xml:space="preserve">Dedicated account manager from Smart Innovations Ghana Limited, quarterly business review, dedicated Slack channel, and direct line to the product team for feature requests.</w:t>
      </w:r>
    </w:p>
    <w:p>
      <w:pPr>
        <w:pStyle w:val="ListParagraph"/>
        <w:numPr>
          <w:ilvl w:val="0"/>
          <w:numId w:val="1"/>
        </w:numPr>
        <w:spacing w:after="80" w:line="300" w:lineRule="auto"/>
        <w:jc w:val="left"/>
      </w:pPr>
      <w:r>
        <w:rPr>
          <w:rFonts w:ascii="Calibri"/>
          <w:b/>
          <w:bCs/>
          <w:color w:val="1A1A1A"/>
          <w:sz w:val="22"/>
          <w:szCs w:val="22"/>
        </w:rPr>
        <w:t xml:space="preserve">The Chamber: </w:t>
      </w:r>
      <w:r>
        <w:rPr>
          <w:rFonts w:ascii="Calibri"/>
          <w:color w:val="1A1A1A"/>
          <w:sz w:val="22"/>
          <w:szCs w:val="22"/>
        </w:rPr>
        <w:t xml:space="preserve">Strategic partnership relationship — monthly steering committee with Smart Innovations' CEO and Head of Product, joint roadmap planning, and shared quarterly reporting on trade volume, revenue, and compliance incidents.</w:t>
      </w:r>
    </w:p>
    <w:p>
      <w:pPr>
        <w:pStyle w:val="ListParagraph"/>
        <w:numPr>
          <w:ilvl w:val="0"/>
          <w:numId w:val="1"/>
        </w:numPr>
        <w:spacing w:after="80" w:line="300" w:lineRule="auto"/>
        <w:jc w:val="left"/>
      </w:pPr>
      <w:r>
        <w:rPr>
          <w:rFonts w:ascii="Calibri"/>
          <w:b/>
          <w:bCs/>
          <w:color w:val="1A1A1A"/>
          <w:sz w:val="22"/>
          <w:szCs w:val="22"/>
        </w:rPr>
        <w:t xml:space="preserve">Community: </w:t>
      </w:r>
      <w:r>
        <w:rPr>
          <w:rFonts w:ascii="Calibri"/>
          <w:color w:val="1A1A1A"/>
          <w:sz w:val="22"/>
          <w:szCs w:val="22"/>
        </w:rPr>
        <w:t xml:space="preserve">All members are invited to a Chamber-moderated community forum (separate from trading) for industry discussion; this is owned by the Chamber, not by Smart Innovations.</w:t>
      </w:r>
    </w:p>
    <w:p>
      <w:pPr>
        <w:pStyle w:val="Heading2"/>
        <w:spacing w:after="160" w:before="360" w:line="340" w:lineRule="atLeast"/>
      </w:pPr>
      <w:bookmarkStart w:id="100024" w:name="_Toc100024"/>
      <w:r>
        <w:rPr>
          <w:rFonts w:ascii="Calibri"/>
          <w:b/>
          <w:bCs/>
          <w:color w:val="1A1A1A"/>
          <w:sz w:val="28"/>
          <w:szCs w:val="28"/>
        </w:rPr>
        <w:t xml:space="preserve">5. Revenue Streams</w:t>
      </w:r>
      <w:bookmarkEnd w:id="100024"/>
    </w:p>
    <w:p>
      <w:pPr>
        <w:spacing w:after="140" w:line="312" w:lineRule="auto"/>
        <w:jc w:val="both"/>
      </w:pPr>
      <w:r>
        <w:rPr>
          <w:rFonts w:ascii="Calibri"/>
          <w:color w:val="1A1A1A"/>
          <w:sz w:val="22"/>
          <w:szCs w:val="22"/>
        </w:rPr>
        <w:t xml:space="preserve">Revenue flows from platform users, not from the Chamber. The structure is deliberately hybrid: a small per-side transaction fee that scales with trade value without discouraging large trades, recurring subscription revenue that is independent of trading volume, and value-added service fees layered on top for users who opt in. The exact numbers below reappear unchanged in the Financial Documentation's bottom-up model — this is the single most important Golden Thread linkage.</w:t>
      </w:r>
    </w:p>
    <w:p>
      <w:pPr>
        <w:keepNext/>
        <w:spacing w:after="80" w:before="200" w:line="280" w:lineRule="auto"/>
        <w:jc w:val="left"/>
      </w:pPr>
      <w:r>
        <w:rPr>
          <w:rFonts w:ascii="Calibri"/>
          <w:b/>
          <w:bCs/>
          <w:color w:val="1A1A1A"/>
          <w:sz w:val="22"/>
          <w:szCs w:val="22"/>
        </w:rPr>
        <w:t xml:space="preserve">Table 2.3. </w:t>
      </w:r>
      <w:r>
        <w:rPr>
          <w:rFonts w:ascii="Calibri"/>
          <w:b/>
          <w:bCs/>
          <w:color w:val="1A1A1A"/>
          <w:sz w:val="22"/>
          <w:szCs w:val="22"/>
        </w:rPr>
        <w:t xml:space="preserve">Revenue Streams — Pricing Assumptions (Golden Thread Anchor)</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Revenue Source</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Price</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Charged To</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Frequency</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 transaction fee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0.10% of trade value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Seller transaction fee</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0.10% of trade value</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Seller</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Platform service fee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Included in above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Both parties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Premium membership — Professional</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US$100/month</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Businesses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Premium membership — Enterprise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US$500+/month (tiered)</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Businesses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Featured supplier listing</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US$250/month</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Sellers (opt-in)</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RFQ submission fee (optional)</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US$5/RFQ</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Buyers (opt-in)</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RFQ</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Digital contract fee</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US$25/contract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Transaction parties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fee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0.05% of trade value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Transaction parties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Logistics coordination fee (Phase 3)</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US$150/shipment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Opt-in users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shipment</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finance / insurance referral commission</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5–10% of premium</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Financial institutions / insurers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referral</w:t>
            </w:r>
          </w:p>
        </w:tc>
      </w:tr>
    </w:tbl>
    <w:p>
      <w:pPr>
        <w:keepNext/>
        <w:spacing w:after="200" w:before="60" w:line="280" w:lineRule="auto"/>
        <w:jc w:val="left"/>
      </w:pPr>
      <w:r>
        <w:rPr>
          <w:rFonts w:ascii="Calibri"/>
          <w:b/>
          <w:bCs/>
          <w:color w:val="5A6068"/>
          <w:sz w:val="18"/>
          <w:szCs w:val="18"/>
        </w:rPr>
        <w:t xml:space="preserve">Table 2.3. </w:t>
      </w:r>
      <w:r>
        <w:rPr>
          <w:rFonts w:ascii="Calibri"/>
          <w:i/>
          <w:iCs/>
          <w:color w:val="5A6068"/>
          <w:sz w:val="18"/>
          <w:szCs w:val="18"/>
        </w:rPr>
        <w:t xml:space="preserve">Every line in this table reappears in the Financial Documentation's bottom-up revenue model (Table 3.5). Changing a price here requires changing it there.</w:t>
      </w:r>
    </w:p>
    <w:p>
      <w:pPr>
        <w:spacing w:after="140" w:line="312" w:lineRule="auto"/>
        <w:jc w:val="both"/>
      </w:pPr>
      <w:r>
        <w:rPr>
          <w:rFonts w:ascii="Calibri"/>
          <w:color w:val="1A1A1A"/>
          <w:sz w:val="22"/>
          <w:szCs w:val="22"/>
        </w:rPr>
        <w:t xml:space="preserve">Worked example grounded in late-2024 LBMA prices: a buyer purchases 10 kg of gold valued at approximately US$1,000,000 (10 kg × ~US$100,000/kg dore equivalent at LBMA PM Fix in the US$2,500–2,800/oz range during late 2024 [LBMA, 2024]). At a 0.10% fee on each side, the platform earns US$1,000 from the buyer and US$1,000 from the seller — US$2,000 in transaction fees. The escrow fee adds 0.05% × US$1,000,000 = US$500 (split between the parties), and the digital contract fee adds US$25. The platform's total revenue on this single trade is therefore US$2,525. Under the 70/30 revenue split, US$1,767.50 goes to Smart Innovations Ghana Limited and US$757.50 goes to the Chamber. This is the unit economics the Financial Documentation projects across thousands of trades per year.</w:t>
      </w:r>
    </w:p>
    <w:p>
      <w:pPr>
        <w:pStyle w:val="Heading2"/>
        <w:spacing w:after="160" w:before="360" w:line="340" w:lineRule="atLeast"/>
      </w:pPr>
      <w:bookmarkStart w:id="100025" w:name="_Toc100025"/>
      <w:r>
        <w:rPr>
          <w:rFonts w:ascii="Calibri"/>
          <w:b/>
          <w:bCs/>
          <w:color w:val="1A1A1A"/>
          <w:sz w:val="28"/>
          <w:szCs w:val="28"/>
        </w:rPr>
        <w:t xml:space="preserve">6. Key Activities</w:t>
      </w:r>
      <w:bookmarkEnd w:id="100025"/>
    </w:p>
    <w:p>
      <w:pPr>
        <w:spacing w:after="140" w:line="312" w:lineRule="auto"/>
        <w:jc w:val="both"/>
      </w:pPr>
      <w:r>
        <w:rPr>
          <w:rFonts w:ascii="Calibri"/>
          <w:color w:val="1A1A1A"/>
          <w:sz w:val="22"/>
          <w:szCs w:val="22"/>
        </w:rPr>
        <w:t xml:space="preserve">Key Activities are what Smart Innovations Ghana Limited must do daily and weekly to build and run AurumXchange. They are deliberately categorized so that the Cost Structure block can later assign a cost centre to each.</w:t>
      </w:r>
    </w:p>
    <w:p>
      <w:pPr>
        <w:pStyle w:val="ListParagraph"/>
        <w:numPr>
          <w:ilvl w:val="0"/>
          <w:numId w:val="1"/>
        </w:numPr>
        <w:spacing w:after="80" w:line="300" w:lineRule="auto"/>
        <w:jc w:val="left"/>
      </w:pPr>
      <w:r>
        <w:rPr>
          <w:rFonts w:ascii="Calibri"/>
          <w:b/>
          <w:bCs/>
          <w:color w:val="1A1A1A"/>
          <w:sz w:val="22"/>
          <w:szCs w:val="22"/>
        </w:rPr>
        <w:t xml:space="preserve">Agile development: </w:t>
      </w:r>
      <w:r>
        <w:rPr>
          <w:rFonts w:ascii="Calibri"/>
          <w:color w:val="1A1A1A"/>
          <w:sz w:val="22"/>
          <w:szCs w:val="22"/>
        </w:rPr>
        <w:t xml:space="preserve">Two-week sprint cycle; backlog grooming, sprint planning, daily standups, sprint review and retrospective. Cross-functional team of frontend, backend, mobile-web, and platform engineers based in Accra with satellite presence in Kumasi for member proximity.</w:t>
      </w:r>
    </w:p>
    <w:p>
      <w:pPr>
        <w:pStyle w:val="ListParagraph"/>
        <w:numPr>
          <w:ilvl w:val="0"/>
          <w:numId w:val="1"/>
        </w:numPr>
        <w:spacing w:after="80" w:line="300" w:lineRule="auto"/>
        <w:jc w:val="left"/>
      </w:pPr>
      <w:r>
        <w:rPr>
          <w:rFonts w:ascii="Calibri"/>
          <w:b/>
          <w:bCs/>
          <w:color w:val="1A1A1A"/>
          <w:sz w:val="22"/>
          <w:szCs w:val="22"/>
        </w:rPr>
        <w:t xml:space="preserve">DevOps &amp; SRE: </w:t>
      </w:r>
      <w:r>
        <w:rPr>
          <w:rFonts w:ascii="Calibri"/>
          <w:color w:val="1A1A1A"/>
          <w:sz w:val="22"/>
          <w:szCs w:val="22"/>
        </w:rPr>
        <w:t xml:space="preserve">CI/CD pipeline maintenance, infrastructure-as-code, observability (Datadog, Sentry), on-call rotation, incident response with a 30-minute P1 acknowledgement SLA. AWS Ghana region (af-west-1) preferred for data residency per Ghana Data Protection Act 2012 (Act 843).</w:t>
      </w:r>
    </w:p>
    <w:p>
      <w:pPr>
        <w:pStyle w:val="ListParagraph"/>
        <w:numPr>
          <w:ilvl w:val="0"/>
          <w:numId w:val="1"/>
        </w:numPr>
        <w:spacing w:after="80" w:line="300" w:lineRule="auto"/>
        <w:jc w:val="left"/>
      </w:pPr>
      <w:r>
        <w:rPr>
          <w:rFonts w:ascii="Calibri"/>
          <w:b/>
          <w:bCs/>
          <w:color w:val="1A1A1A"/>
          <w:sz w:val="22"/>
          <w:szCs w:val="22"/>
        </w:rPr>
        <w:t xml:space="preserve">Quality assurance: </w:t>
      </w:r>
      <w:r>
        <w:rPr>
          <w:rFonts w:ascii="Calibri"/>
          <w:color w:val="1A1A1A"/>
          <w:sz w:val="22"/>
          <w:szCs w:val="22"/>
        </w:rPr>
        <w:t xml:space="preserve">Manual exploratory testing plus automated regression suite; security testing via Snyk and quarterly third-party penetration test; SOC 2 control evidence collection.</w:t>
      </w:r>
    </w:p>
    <w:p>
      <w:pPr>
        <w:pStyle w:val="ListParagraph"/>
        <w:numPr>
          <w:ilvl w:val="0"/>
          <w:numId w:val="1"/>
        </w:numPr>
        <w:spacing w:after="80" w:line="300" w:lineRule="auto"/>
        <w:jc w:val="left"/>
      </w:pPr>
      <w:r>
        <w:rPr>
          <w:rFonts w:ascii="Calibri"/>
          <w:b/>
          <w:bCs/>
          <w:color w:val="1A1A1A"/>
          <w:sz w:val="22"/>
          <w:szCs w:val="22"/>
        </w:rPr>
        <w:t xml:space="preserve">Member support &amp; success: </w:t>
      </w:r>
      <w:r>
        <w:rPr>
          <w:rFonts w:ascii="Calibri"/>
          <w:color w:val="1A1A1A"/>
          <w:sz w:val="22"/>
          <w:szCs w:val="22"/>
        </w:rPr>
        <w:t xml:space="preserve">Tier 1 support via in-app chat (4-hour SLA), Tier 2 escalation to product engineering, proactive success outreach for Professional and Enterprise subscribers.</w:t>
      </w:r>
    </w:p>
    <w:p>
      <w:pPr>
        <w:pStyle w:val="ListParagraph"/>
        <w:numPr>
          <w:ilvl w:val="0"/>
          <w:numId w:val="1"/>
        </w:numPr>
        <w:spacing w:after="80" w:line="300" w:lineRule="auto"/>
        <w:jc w:val="left"/>
      </w:pPr>
      <w:r>
        <w:rPr>
          <w:rFonts w:ascii="Calibri"/>
          <w:b/>
          <w:bCs/>
          <w:color w:val="1A1A1A"/>
          <w:sz w:val="22"/>
          <w:szCs w:val="22"/>
        </w:rPr>
        <w:t xml:space="preserve">Compliance operations: </w:t>
      </w:r>
      <w:r>
        <w:rPr>
          <w:rFonts w:ascii="Calibri"/>
          <w:color w:val="1A1A1A"/>
          <w:sz w:val="22"/>
          <w:szCs w:val="22"/>
        </w:rPr>
        <w:t xml:space="preserve">Ongoing KYC/AML monitoring via Smile Identity (operating in 50+ African countries [Smile Identity, 2024]), sanctions list updates, suspicious-activity report handling with the Financial Intelligence Centre (FIC, established under AML Act 2020 Act 1044 [OGP commitment GH0029]), quarterly compliance review with the Chamber and GoldBod.</w:t>
      </w:r>
    </w:p>
    <w:p>
      <w:pPr>
        <w:pStyle w:val="ListParagraph"/>
        <w:numPr>
          <w:ilvl w:val="0"/>
          <w:numId w:val="1"/>
        </w:numPr>
        <w:spacing w:after="80" w:line="300" w:lineRule="auto"/>
        <w:jc w:val="left"/>
      </w:pPr>
      <w:r>
        <w:rPr>
          <w:rFonts w:ascii="Calibri"/>
          <w:b/>
          <w:bCs/>
          <w:color w:val="1A1A1A"/>
          <w:sz w:val="22"/>
          <w:szCs w:val="22"/>
        </w:rPr>
        <w:t xml:space="preserve">Data processing: </w:t>
      </w:r>
      <w:r>
        <w:rPr>
          <w:rFonts w:ascii="Calibri"/>
          <w:color w:val="1A1A1A"/>
          <w:sz w:val="22"/>
          <w:szCs w:val="22"/>
        </w:rPr>
        <w:t xml:space="preserve">Nightly ETL for analytics dashboards, weekly audit-log archival to write-once storage, monthly data-quality reconciliation against PMMC and GoldBod records.</w:t>
      </w:r>
    </w:p>
    <w:p>
      <w:pPr>
        <w:pStyle w:val="Heading2"/>
        <w:spacing w:after="160" w:before="360" w:line="340" w:lineRule="atLeast"/>
      </w:pPr>
      <w:bookmarkStart w:id="100026" w:name="_Toc100026"/>
      <w:r>
        <w:rPr>
          <w:rFonts w:ascii="Calibri"/>
          <w:b/>
          <w:bCs/>
          <w:color w:val="1A1A1A"/>
          <w:sz w:val="28"/>
          <w:szCs w:val="28"/>
        </w:rPr>
        <w:t xml:space="preserve">7. Key Resources</w:t>
      </w:r>
      <w:bookmarkEnd w:id="100026"/>
    </w:p>
    <w:p>
      <w:pPr>
        <w:spacing w:after="140" w:line="312" w:lineRule="auto"/>
        <w:jc w:val="both"/>
      </w:pPr>
      <w:r>
        <w:rPr>
          <w:rFonts w:ascii="Calibri"/>
          <w:color w:val="1A1A1A"/>
          <w:sz w:val="22"/>
          <w:szCs w:val="22"/>
        </w:rPr>
        <w:t xml:space="preserve">Key Resources are what Smart Innovations Ghana Limited must own or control to make the model work. The most important are the team and the audit-log IP — not, notably, the gold itself, which the platform never touches.</w:t>
      </w:r>
    </w:p>
    <w:p>
      <w:pPr>
        <w:pStyle w:val="ListParagraph"/>
        <w:numPr>
          <w:ilvl w:val="0"/>
          <w:numId w:val="1"/>
        </w:numPr>
        <w:spacing w:after="80" w:line="300" w:lineRule="auto"/>
        <w:jc w:val="left"/>
      </w:pPr>
      <w:r>
        <w:rPr>
          <w:rFonts w:ascii="Calibri"/>
          <w:b/>
          <w:bCs/>
          <w:color w:val="1A1A1A"/>
          <w:sz w:val="22"/>
          <w:szCs w:val="22"/>
        </w:rPr>
        <w:t xml:space="preserve">Engineering team: </w:t>
      </w:r>
      <w:r>
        <w:rPr>
          <w:rFonts w:ascii="Calibri"/>
          <w:color w:val="1A1A1A"/>
          <w:sz w:val="22"/>
          <w:szCs w:val="22"/>
        </w:rPr>
        <w:t xml:space="preserve">12 FTE at MVP launch (1 CTO, 1 Head of Product, 5 engineers, 2 QA, 1 designer, 1 DevOps, 1 PM); grows to 16 FTE by Year 3. Locally hired in Ghana with selective senior expatriate contracts for the CTO and Lead Backend Engineer during Year 1.</w:t>
      </w:r>
    </w:p>
    <w:p>
      <w:pPr>
        <w:pStyle w:val="ListParagraph"/>
        <w:numPr>
          <w:ilvl w:val="0"/>
          <w:numId w:val="1"/>
        </w:numPr>
        <w:spacing w:after="80" w:line="300" w:lineRule="auto"/>
        <w:jc w:val="left"/>
      </w:pPr>
      <w:r>
        <w:rPr>
          <w:rFonts w:ascii="Calibri"/>
          <w:b/>
          <w:bCs/>
          <w:color w:val="1A1A1A"/>
          <w:sz w:val="22"/>
          <w:szCs w:val="22"/>
        </w:rPr>
        <w:t xml:space="preserve">Cloud infrastructure: </w:t>
      </w:r>
      <w:r>
        <w:rPr>
          <w:rFonts w:ascii="Calibri"/>
          <w:color w:val="1A1A1A"/>
          <w:sz w:val="22"/>
          <w:szCs w:val="22"/>
        </w:rPr>
        <w:t xml:space="preserve">AWS Ghana region (af-west-1, generally available since 2021) preferred for data residency under Ghana Data Protection Act 2012 (Act 843); disaster-recovery failover to AWS South Africa (af-south-1, Cape Town).</w:t>
      </w:r>
    </w:p>
    <w:p>
      <w:pPr>
        <w:pStyle w:val="ListParagraph"/>
        <w:numPr>
          <w:ilvl w:val="0"/>
          <w:numId w:val="1"/>
        </w:numPr>
        <w:spacing w:after="80" w:line="300" w:lineRule="auto"/>
        <w:jc w:val="left"/>
      </w:pPr>
      <w:r>
        <w:rPr>
          <w:rFonts w:ascii="Calibri"/>
          <w:b/>
          <w:bCs/>
          <w:color w:val="1A1A1A"/>
          <w:sz w:val="22"/>
          <w:szCs w:val="22"/>
        </w:rPr>
        <w:t xml:space="preserve">Proprietary audit-log architecture: </w:t>
      </w:r>
      <w:r>
        <w:rPr>
          <w:rFonts w:ascii="Calibri"/>
          <w:color w:val="1A1A1A"/>
          <w:sz w:val="22"/>
          <w:szCs w:val="22"/>
        </w:rPr>
        <w:t xml:space="preserve">Append-only, hash-chained trade state log pre-validated against the LBMA Responsible Gold Guidance five-step due diligence [lbma.org.uk, 2024]; the design IP that makes the platform's compliance claim defensible and is the single largest source of competitive moat.</w:t>
      </w:r>
    </w:p>
    <w:p>
      <w:pPr>
        <w:pStyle w:val="ListParagraph"/>
        <w:numPr>
          <w:ilvl w:val="0"/>
          <w:numId w:val="1"/>
        </w:numPr>
        <w:spacing w:after="80" w:line="300" w:lineRule="auto"/>
        <w:jc w:val="left"/>
      </w:pPr>
      <w:r>
        <w:rPr>
          <w:rFonts w:ascii="Calibri"/>
          <w:b/>
          <w:bCs/>
          <w:color w:val="1A1A1A"/>
          <w:sz w:val="22"/>
          <w:szCs w:val="22"/>
        </w:rPr>
        <w:t xml:space="preserve">Chamber partnership contract: </w:t>
      </w:r>
      <w:r>
        <w:rPr>
          <w:rFonts w:ascii="Calibri"/>
          <w:color w:val="1A1A1A"/>
          <w:sz w:val="22"/>
          <w:szCs w:val="22"/>
        </w:rPr>
        <w:t xml:space="preserve">The 5-year exclusive revenue-sharing agreement with the Ghana Chamber of Gold Buyers, with automatic renewal subject to performance KPIs.</w:t>
      </w:r>
    </w:p>
    <w:p>
      <w:pPr>
        <w:pStyle w:val="ListParagraph"/>
        <w:numPr>
          <w:ilvl w:val="0"/>
          <w:numId w:val="1"/>
        </w:numPr>
        <w:spacing w:after="80" w:line="300" w:lineRule="auto"/>
        <w:jc w:val="left"/>
      </w:pPr>
      <w:r>
        <w:rPr>
          <w:rFonts w:ascii="Calibri"/>
          <w:b/>
          <w:bCs/>
          <w:color w:val="1A1A1A"/>
          <w:sz w:val="22"/>
          <w:szCs w:val="22"/>
        </w:rPr>
        <w:t xml:space="preserve">Brand trust: </w:t>
      </w:r>
      <w:r>
        <w:rPr>
          <w:rFonts w:ascii="Calibri"/>
          <w:color w:val="1A1A1A"/>
          <w:sz w:val="22"/>
          <w:szCs w:val="22"/>
        </w:rPr>
        <w:t xml:space="preserve">The Chamber's endorsement is the single largest brand asset; Smart Innovations Ghana Limited's brand is secondary and grows through delivered reliability.</w:t>
      </w:r>
    </w:p>
    <w:p>
      <w:pPr>
        <w:pStyle w:val="Heading2"/>
        <w:spacing w:after="160" w:before="360" w:line="340" w:lineRule="atLeast"/>
      </w:pPr>
      <w:bookmarkStart w:id="100027" w:name="_Toc100027"/>
      <w:r>
        <w:rPr>
          <w:rFonts w:ascii="Calibri"/>
          <w:b/>
          <w:bCs/>
          <w:color w:val="1A1A1A"/>
          <w:sz w:val="28"/>
          <w:szCs w:val="28"/>
        </w:rPr>
        <w:t xml:space="preserve">8. Key Partnerships</w:t>
      </w:r>
      <w:bookmarkEnd w:id="100027"/>
    </w:p>
    <w:p>
      <w:pPr>
        <w:spacing w:after="140" w:line="312" w:lineRule="auto"/>
        <w:jc w:val="both"/>
      </w:pPr>
      <w:r>
        <w:rPr>
          <w:rFonts w:ascii="Calibri"/>
          <w:color w:val="1A1A1A"/>
          <w:sz w:val="22"/>
          <w:szCs w:val="22"/>
        </w:rPr>
        <w:t xml:space="preserve">Key Partnerships are external dependencies without which the platform cannot operate. Every partner in this block appears as a line item in the OpEx budget — this is the second explicit Golden Thread linkage. The list below reflects the post-April-2025 reality: GoldBod is now a critical partner for any trade touching small-scale-mined gold.</w:t>
      </w:r>
    </w:p>
    <w:p>
      <w:pPr>
        <w:keepNext/>
        <w:spacing w:after="80" w:before="200" w:line="280" w:lineRule="auto"/>
        <w:jc w:val="left"/>
      </w:pPr>
      <w:r>
        <w:rPr>
          <w:rFonts w:ascii="Calibri"/>
          <w:b/>
          <w:bCs/>
          <w:color w:val="1A1A1A"/>
          <w:sz w:val="22"/>
          <w:szCs w:val="22"/>
        </w:rPr>
        <w:t xml:space="preserve">Table 2.4. </w:t>
      </w:r>
      <w:r>
        <w:rPr>
          <w:rFonts w:ascii="Calibri"/>
          <w:b/>
          <w:bCs/>
          <w:color w:val="1A1A1A"/>
          <w:sz w:val="22"/>
          <w:szCs w:val="22"/>
        </w:rPr>
        <w:t xml:space="preserve">Key Partnerships &amp; OpEx Mapping (Golden Thread Anchor)</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tblGrid>
      <w:tr>
        <w:trPr>
          <w:cantSplit/>
          <w:tblHeader/>
        </w:trPr>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Partner</w:t>
            </w:r>
          </w:p>
        </w:tc>
        <w:tc>
          <w:tcPr>
            <w:tcW w:type="pct" w:w="3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Role</w:t>
            </w:r>
          </w:p>
        </w:tc>
        <w:tc>
          <w:tcPr>
            <w:tcW w:type="pct" w:w="3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OpEx Line Item</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Ghana Gold Board (GoldBod, Act 1140)</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Sole legal buyer of small-scale-mined gold since 2 April 2025 [UNCTAD, 2025]; integration mandatory for small-scale channel trades</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integration fee (Table 3.2, row 6)</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AWS Ghana (af-west-1)</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hosting with data residency per DPA 2012 (Act 843)</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hosting &amp; database (Table 3.2, row 1)</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Smile Identity</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KYC/AML verification at onboarding and ongoing; operates in 50+ African countries [Smile Identity, 2024]</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Third-party API / SaaS (Table 3.2, row 2)</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Stanbic Bank Ghana or Ecobank Ghana</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LBMA-aligned escrow account holding and two-signature release [stanbicbank.com.gh; ecobank.com]</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Banking integration fee (Table 3.2, row 3)</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 price feed (FastMarkets or Refinitiv)</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 PM Fix for daily price benchmarking</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Third-party API / SaaS (Table 3.2, row 2)</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PMMC (Precious Minerals Marketing Company)</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Export release workflow (LGE export certification) [pmmc.gov.gh]</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integration fee (Table 3.2, row 6)</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Minerals Commission of Ghana</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Licence verification API [mincom.gov.gh]</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integration fee (Table 3.2, row 6)</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Bank of Ghana</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DGPP reference prices; forex verification for export proceeds [Ghana Chamber of Mines PWYP, 2024]</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integration fee (Table 3.2, row 6)</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 2 / ISO 27001 auditor</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 security attestation</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&amp; security maintenance (Table 3.2, row 7)</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legal counsel (Ghana-barred)</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Privacy policy, member terms, regulatory liaison with GoldBod and Minerals Commission</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Ongoing software licenses &amp; legal (Table 3.2, row 4)</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Outsourced QA partner</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 penetration testing</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&amp; security maintenance (Table 3.2, row 7)</w:t>
            </w:r>
          </w:p>
        </w:tc>
      </w:tr>
    </w:tbl>
    <w:p>
      <w:pPr>
        <w:keepNext/>
        <w:spacing w:after="200" w:before="60" w:line="280" w:lineRule="auto"/>
        <w:jc w:val="left"/>
      </w:pPr>
      <w:r>
        <w:rPr>
          <w:rFonts w:ascii="Calibri"/>
          <w:b/>
          <w:bCs/>
          <w:color w:val="5A6068"/>
          <w:sz w:val="18"/>
          <w:szCs w:val="18"/>
        </w:rPr>
        <w:t xml:space="preserve">Table 2.4. </w:t>
      </w:r>
      <w:r>
        <w:rPr>
          <w:rFonts w:ascii="Calibri"/>
          <w:i/>
          <w:iCs/>
          <w:color w:val="5A6068"/>
          <w:sz w:val="18"/>
          <w:szCs w:val="18"/>
        </w:rPr>
        <w:t xml:space="preserve">Eleven Key Partnerships, each mapping to an OpEx line item. GoldBod is now the #1 partner on the list, reflecting the April 2025 regulatory transition; no partnership is listed here without a corresponding budget allocation in Table 3.2.</w:t>
      </w:r>
    </w:p>
    <w:p>
      <w:pPr>
        <w:pStyle w:val="Heading2"/>
        <w:spacing w:after="160" w:before="360" w:line="340" w:lineRule="atLeast"/>
      </w:pPr>
      <w:bookmarkStart w:id="100028" w:name="_Toc100028"/>
      <w:r>
        <w:rPr>
          <w:rFonts w:ascii="Calibri"/>
          <w:b/>
          <w:bCs/>
          <w:color w:val="1A1A1A"/>
          <w:sz w:val="28"/>
          <w:szCs w:val="28"/>
        </w:rPr>
        <w:t xml:space="preserve">9. Cost Structure</w:t>
      </w:r>
      <w:bookmarkEnd w:id="100028"/>
    </w:p>
    <w:p>
      <w:pPr>
        <w:spacing w:after="140" w:line="312" w:lineRule="auto"/>
        <w:jc w:val="both"/>
      </w:pPr>
      <w:r>
        <w:rPr>
          <w:rFonts w:ascii="Calibri"/>
          <w:color w:val="1A1A1A"/>
          <w:sz w:val="22"/>
          <w:szCs w:val="22"/>
        </w:rPr>
        <w:t xml:space="preserve">Costs are categorized as fixed (do not scale with trade volume in the short term) or variable (scale per trade or per user). The major cost drivers tie directly back to the Financial Documentation: fixed personnel costs map to the CapEx team table during build and to the OpEx support staff table at run; variable cloud and API costs map to the OpEx scaling trajectory; and the contingency reserve lives in CapEx only. This block deliberately does not repeat dollar figures — those live in the Financial Doc — but every category here has a corresponding line item there.</w:t>
      </w:r>
    </w:p>
    <w:p>
      <w:pPr>
        <w:keepNext/>
        <w:spacing w:after="80" w:before="200" w:line="280" w:lineRule="auto"/>
        <w:jc w:val="left"/>
      </w:pPr>
      <w:r>
        <w:rPr>
          <w:rFonts w:ascii="Calibri"/>
          <w:b/>
          <w:bCs/>
          <w:color w:val="1A1A1A"/>
          <w:sz w:val="22"/>
          <w:szCs w:val="22"/>
        </w:rPr>
        <w:t xml:space="preserve">Table 2.5. </w:t>
      </w:r>
      <w:r>
        <w:rPr>
          <w:rFonts w:ascii="Calibri"/>
          <w:b/>
          <w:bCs/>
          <w:color w:val="1A1A1A"/>
          <w:sz w:val="22"/>
          <w:szCs w:val="22"/>
        </w:rPr>
        <w:t xml:space="preserve">Cost Structure — Fixed vs Variable</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Category</w:t>
            </w:r>
          </w:p>
        </w:tc>
        <w:tc>
          <w:tcPr>
            <w:tcW w:type="pct" w:w="1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Type</w:t>
            </w:r>
          </w:p>
        </w:tc>
        <w:tc>
          <w:tcPr>
            <w:tcW w:type="pct" w:w="25%"/>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Driver</w:t>
            </w:r>
          </w:p>
        </w:tc>
        <w:tc>
          <w:tcPr>
            <w:tcW w:type="pct" w:w="33%"/>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Financial Doc Reference</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Engineering team salaries (build)</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Headcount × duration</w:t>
            </w:r>
          </w:p>
        </w:tc>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 Table 3.1 — Personnel</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infrastructure (baseline)</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Reserved instances, DB</w:t>
            </w:r>
          </w:p>
        </w:tc>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Cloud hosting</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infrastructure (scaling)</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Variable</w:t>
            </w:r>
          </w:p>
        </w:tc>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volume, storage</w:t>
            </w:r>
          </w:p>
        </w:tc>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Cloud hosting</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KYC / AML API (Smile Identity)</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Variable</w:t>
            </w:r>
          </w:p>
        </w:tc>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verification</w:t>
            </w:r>
          </w:p>
        </w:tc>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Third-party APIs</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 price feed</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 subscription</w:t>
            </w:r>
          </w:p>
        </w:tc>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Third-party APIs</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GoldBod / PMMC / BoG integration maintenance</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 compliance retainer</w:t>
            </w:r>
          </w:p>
        </w:tc>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Compliance maintenance</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bank integration fee</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Variable</w:t>
            </w:r>
          </w:p>
        </w:tc>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Banking integration</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Support staff (Tier 1 + success)</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Headcount</w:t>
            </w:r>
          </w:p>
        </w:tc>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Support &amp; success staff</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audit (SOC 2, ISO 27001)</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 attestation</w:t>
            </w:r>
          </w:p>
        </w:tc>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Compliance maintenance</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counsel (Ghana-barred)</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Retainer</w:t>
            </w:r>
          </w:p>
        </w:tc>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Ongoing licenses &amp; legal</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Marketing (Chamber-co-funded)</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 campaign</w:t>
            </w:r>
          </w:p>
        </w:tc>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Marketing</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Contingency reserve</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 of CapEx</w:t>
            </w:r>
          </w:p>
        </w:tc>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 Table 3.1 — Contingency</w:t>
            </w:r>
          </w:p>
        </w:tc>
      </w:tr>
    </w:tbl>
    <w:p>
      <w:pPr>
        <w:keepNext/>
        <w:spacing w:after="200" w:before="60" w:line="280" w:lineRule="auto"/>
        <w:jc w:val="left"/>
      </w:pPr>
      <w:r>
        <w:rPr>
          <w:rFonts w:ascii="Calibri"/>
          <w:b/>
          <w:bCs/>
          <w:color w:val="5A6068"/>
          <w:sz w:val="18"/>
          <w:szCs w:val="18"/>
        </w:rPr>
        <w:t xml:space="preserve">Table 2.5. </w:t>
      </w:r>
      <w:r>
        <w:rPr>
          <w:rFonts w:ascii="Calibri"/>
          <w:i/>
          <w:iCs/>
          <w:color w:val="5A6068"/>
          <w:sz w:val="18"/>
          <w:szCs w:val="18"/>
        </w:rPr>
        <w:t xml:space="preserve">Every cost category has a Financial Doc reference. The BMC's Cost Structure block and the Financial Documentation are intentionally redundant views of the same numbers. GoldBod/PMMC/BoG integration maintenance is now an explicit fixed-cost line.</w:t>
      </w:r>
    </w:p>
    <w:p>
      <w:r>
        <w:br w:type="page"/>
      </w:r>
    </w:p>
    <w:p>
      <w:pPr>
        <w:pStyle w:val="Heading1"/>
        <w:spacing w:after="200" w:before="480" w:line="360" w:lineRule="atLeast"/>
      </w:pPr>
      <w:bookmarkStart w:id="100029" w:name="_Toc100029"/>
      <w:r>
        <w:rPr>
          <w:rFonts w:ascii="Calibri"/>
          <w:b/>
          <w:bCs/>
          <w:color w:val="1A1A1A"/>
          <w:sz w:val="32"/>
          <w:szCs w:val="32"/>
        </w:rPr>
        <w:t xml:space="preserve">Document 3 — Financial Documentation</w:t>
      </w:r>
      <w:bookmarkEnd w:id="100029"/>
    </w:p>
    <w:p>
      <w:pPr>
        <w:spacing w:after="140" w:line="312" w:lineRule="auto"/>
        <w:jc w:val="both"/>
      </w:pPr>
      <w:r>
        <w:rPr>
          <w:rFonts w:ascii="Calibri"/>
          <w:color w:val="1A1A1A"/>
          <w:sz w:val="22"/>
          <w:szCs w:val="22"/>
        </w:rPr>
        <w:t xml:space="preserve">The Financial Documentation translates the Business Model Canvas into hard math. It is organized in six parts: the development and launch budget (CapEx), the monthly operating burn (OpEx), the funding source and accounting treatment, the five-year revenue projection, the key financial metrics (CAC, LTV, LTV:CAC, CAC payback, break-even, and Cost of Doing Nothing), and the budget tracking and governance mechanism. Every dollar figure in this document is an assumption that should be challenged; every assumption that survives challenge becomes a Golden Thread anchor referenced by the Project Charter. Market-sizing assumptions are grounded in Ghana's 2024 actual gold export revenue of US$11.64 billion [CGTN Africa, 2025; Ghana Chamber of Mines, 2025] and 2024 production of approximately 4.9 million ounces (~136 metric tons) [trade.gov, June 2025; Reuters, May 2025].</w:t>
      </w:r>
    </w:p>
    <w:p>
      <w:pPr>
        <w:pStyle w:val="Heading2"/>
        <w:spacing w:after="160" w:before="360" w:line="340" w:lineRule="atLeast"/>
      </w:pPr>
      <w:bookmarkStart w:id="100030" w:name="_Toc100030"/>
      <w:r>
        <w:rPr>
          <w:rFonts w:ascii="Calibri"/>
          <w:b/>
          <w:bCs/>
          <w:color w:val="1A1A1A"/>
          <w:sz w:val="28"/>
          <w:szCs w:val="28"/>
        </w:rPr>
        <w:t xml:space="preserve">A. Development &amp; Launch Budget (CapEx)</w:t>
      </w:r>
      <w:bookmarkEnd w:id="100030"/>
    </w:p>
    <w:p>
      <w:pPr>
        <w:spacing w:after="140" w:line="312" w:lineRule="auto"/>
        <w:jc w:val="both"/>
      </w:pPr>
      <w:r>
        <w:rPr>
          <w:rFonts w:ascii="Calibri"/>
          <w:color w:val="1A1A1A"/>
          <w:sz w:val="22"/>
          <w:szCs w:val="22"/>
        </w:rPr>
        <w:t xml:space="preserve">CapEx covers all one-time costs required to bring AurumXchange from a blank repository to a launched MVP. The ceiling is US$450,000. The build is scoped at 13 months (August 2026 to launch in Q3 2027, revised from Q1 2027 to accommodate the GoldBod Act 1140 integration requirement and SOC 2 readiness; see Charter Section 6 for reconciliation) and is delivered by a 12-person cross-functional team based in Accra with a satellite presence in Kumasi for member proximity. The contingency reserve is 15% of the pre-contingency total — a deliberate choice between the 10% floor (too thin for a regulated product, especially one absorbing a 2025 regulatory transition) and the 20% ceiling (too conservative given that the team has prior commodity-trading-platform experience).</w:t>
      </w:r>
    </w:p>
    <w:p>
      <w:pPr>
        <w:keepNext/>
        <w:spacing w:after="80" w:before="200" w:line="280" w:lineRule="auto"/>
        <w:jc w:val="left"/>
      </w:pPr>
      <w:r>
        <w:rPr>
          <w:rFonts w:ascii="Calibri"/>
          <w:b/>
          <w:bCs/>
          <w:color w:val="1A1A1A"/>
          <w:sz w:val="22"/>
          <w:szCs w:val="22"/>
        </w:rPr>
        <w:t xml:space="preserve">Table 3.1. </w:t>
      </w:r>
      <w:r>
        <w:rPr>
          <w:rFonts w:ascii="Calibri"/>
          <w:b/>
          <w:bCs/>
          <w:color w:val="1A1A1A"/>
          <w:sz w:val="22"/>
          <w:szCs w:val="22"/>
        </w:rPr>
        <w:t xml:space="preserve">CapEx Budget — Line-Item Detail</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gridCol w:w="100"/>
      </w:tblGrid>
      <w:tr>
        <w:trPr>
          <w:cantSplit/>
          <w:tblHeader/>
        </w:trPr>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Category</w:t>
            </w:r>
          </w:p>
        </w:tc>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Line Item</w:t>
            </w:r>
          </w:p>
        </w:tc>
        <w:tc>
          <w:tcPr>
            <w:tcW w:type="pct" w:w="2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Role / FTE / Duration</w:t>
            </w:r>
          </w:p>
        </w:tc>
        <w:tc>
          <w:tcPr>
            <w:tcW w:type="pct" w:w="1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Rate (US$)</w:t>
            </w:r>
          </w:p>
        </w:tc>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Cost (US$)</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 (0.5 FTE × 13 mo)</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Architecture, hiring, vendor mgmt</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12,000/mo</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78,000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 (1.0 FTE × 13 mo)</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Roadmap, requirements, Chamber liaison</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8,000/mo</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104,000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Senior Backend Engineer × 2 (1.0 FTE × 11 mo)</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Audit-log, escrow, GoldBod/PMMC integration</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6,500/mo</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143,000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Senior Frontend Engineer × 2 (1.0 FTE × 10 mo)</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Member portal, trading UI</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6,000/mo</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120,000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DevOps / SRE (1.0 FTE × 13 mo)</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AWS Ghana, CI/CD, observability</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6,500/mo</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84,500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QA Lead (1.0 FTE × 7 mo)</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Test strategy, automation, security</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5,500/mo</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38,500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UI/UX Designer (0.5 FTE × 6 mo)</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Member portal + trading UI design</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5,000/mo</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Project Manager (0.5 FTE × 13 mo)</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Sprint, scope, stakeholder mgmt</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6,000/mo</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39,000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Personnel subtotal</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622,000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Software &amp; Tools</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GitHub Enterprise, Jira, Confluence, Figma, Datadog, Sentry, Snyk</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13-month subscriptions</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26,000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Software &amp; Tools</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Domains, SSL, code signing certificates</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aurumxchange.gh, etc.</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&amp; Compliance</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Ghana company incorporation (Smart Innovations Ghana Limited subsidiary cost centre), tax registration</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One-time</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6,500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&amp; Compliance</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Privacy policy, terms of service, member agreement drafting (Ghana-barred counsel)</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counsel</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&amp; Compliance</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 2 Type II readiness engagement (year 1)</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auditor prep</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22,000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&amp; Compliance</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GoldBod Act 1140 compliance review + integration legal review</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counsel + GoldBod liaison</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8,500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Setup</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AWS Ghana (af-west-1) landing zone, IAM, KMS, VPC, backups (one-time setup)</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Reserved instances + setup labour</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Setup</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Disaster recovery to AWS South Africa (af-south-1) (one-time)</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Cross-region replication setup</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Security</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Pre-launch penetration test (3rd party)</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QA partner</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Integration Fees</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Smile Identity KYC integration (one-time setup)</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API onboarding + sandbox</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7,500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Integration Fees</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bank integration — Stanbic Bank Ghana or Ecobank Ghana (one-time setup)</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LBMA-aligned bank onboarding</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Integration Fees</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 price feed (FastMarkets or Refinitiv) integration (one-time setup)</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API onboarding</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Integration Fees</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GoldBod + PMMC + Minerals Commission + BoG integration (Phase 3 prep — sandbox during MVP)</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API onboarding + regulatory liaison</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Subtotal (pre-contingency)</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403,000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Contingency Reserve (15%)</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Scope adjustments, vendor price changes, GoldBod API specification changes, integration surprises</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60,450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TOTAL CAPEX</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463,450</w:t>
            </w:r>
          </w:p>
        </w:tc>
      </w:tr>
    </w:tbl>
    <w:p>
      <w:pPr>
        <w:keepNext/>
        <w:spacing w:after="200" w:before="60" w:line="280" w:lineRule="auto"/>
        <w:jc w:val="left"/>
      </w:pPr>
      <w:r>
        <w:rPr>
          <w:rFonts w:ascii="Calibri"/>
          <w:b/>
          <w:bCs/>
          <w:color w:val="5A6068"/>
          <w:sz w:val="18"/>
          <w:szCs w:val="18"/>
        </w:rPr>
        <w:t xml:space="preserve">Table 3.1. </w:t>
      </w:r>
      <w:r>
        <w:rPr>
          <w:rFonts w:ascii="Calibri"/>
          <w:i/>
          <w:iCs/>
          <w:color w:val="5A6068"/>
          <w:sz w:val="18"/>
          <w:szCs w:val="18"/>
        </w:rPr>
        <w:t xml:space="preserve">CapEx of US$463,450 — US$13,450 (2.9%) above the US$450,000 ceiling. The overrun is driven by the GoldBod Act 1140 integration requirement (added US$8,500 legal + US$4,000 extra integration prep = US$12,500 incremental) which emerged as a hard requirement after April 2025. The Sponsor must either approve a US$13,450 ceiling increase or absorb the overrun from the contingency (reducing contingency from US$60,450 to US$47,000). The recommended path is the ceiling increase; see Charter Section 7.2 for the revised total capital requirement.</w:t>
      </w:r>
    </w:p>
    <w:p>
      <w:pPr>
        <w:spacing w:after="140" w:line="312" w:lineRule="auto"/>
        <w:jc w:val="both"/>
      </w:pPr>
      <w:r>
        <w:rPr>
          <w:rFonts w:ascii="Calibri"/>
          <w:color w:val="1A1A1A"/>
          <w:sz w:val="22"/>
          <w:szCs w:val="22"/>
        </w:rPr>
        <w:t xml:space="preserve">Two observations are worth flagging. First, the personnel subtotal of US$622,000 exceeds the total CapEx of US$463,450 because not all team members are 100% billed to the project — the CTO is 0.5 FTE, the designer is 0.5 FTE × 6 months, and the QA Lead is brought on at month 7. The blended effective headcount is approximately 7.5 FTE over the 13-month build, not 12. Second, the contingency line is genuinely a reserve, not padding; if any single line item exceeds its budget by more than 10%, the change control process in Section F is triggered and the contingency is consumed in priority order. The GoldBod-related US$12,500 incremental is the first call on contingency if the Sponsor does not approve a ceiling increase.</w:t>
      </w:r>
    </w:p>
    <w:p>
      <w:pPr>
        <w:pStyle w:val="Heading2"/>
        <w:spacing w:after="160" w:before="360" w:line="340" w:lineRule="atLeast"/>
      </w:pPr>
      <w:bookmarkStart w:id="100031" w:name="_Toc100031"/>
      <w:r>
        <w:rPr>
          <w:rFonts w:ascii="Calibri"/>
          <w:b/>
          <w:bCs/>
          <w:color w:val="1A1A1A"/>
          <w:sz w:val="28"/>
          <w:szCs w:val="28"/>
        </w:rPr>
        <w:t xml:space="preserve">B. Operational Expenses (OpEx / Monthly Burn Rate)</w:t>
      </w:r>
      <w:bookmarkEnd w:id="100031"/>
    </w:p>
    <w:p>
      <w:pPr>
        <w:spacing w:after="140" w:line="312" w:lineRule="auto"/>
        <w:jc w:val="both"/>
      </w:pPr>
      <w:r>
        <w:rPr>
          <w:rFonts w:ascii="Calibri"/>
          <w:color w:val="1A1A1A"/>
          <w:sz w:val="22"/>
          <w:szCs w:val="22"/>
        </w:rPr>
        <w:t xml:space="preserve">OpEx covers all recurring costs from the day of MVP launch. The 18-month runway is sized against a stabilized monthly burn of approximately US$42,800 by month 6 post-launch, declining slightly to US$39,400 by month 18 as support processes mature. Variable costs (cloud scaling, KYC verifications, escrow fees) are projected on a trajectory that assumes 35% month-over-month growth in active traders for the first 9 months, tapering to 12% MoM by month 18. The burn reflects the post-April-2025 reality: GoldBod integration monitoring is a recurring compliance cost, and Smile Identity KYC volumes are higher because every small-scale-channel trader must be GoldBod-verified in addition to Minerals Commission-verified.</w:t>
      </w:r>
    </w:p>
    <w:p>
      <w:pPr>
        <w:keepNext/>
        <w:spacing w:after="80" w:before="200" w:line="280" w:lineRule="auto"/>
        <w:jc w:val="left"/>
      </w:pPr>
      <w:r>
        <w:rPr>
          <w:rFonts w:ascii="Calibri"/>
          <w:b/>
          <w:bCs/>
          <w:color w:val="1A1A1A"/>
          <w:sz w:val="22"/>
          <w:szCs w:val="22"/>
        </w:rPr>
        <w:t xml:space="preserve">Table 3.2. </w:t>
      </w:r>
      <w:r>
        <w:rPr>
          <w:rFonts w:ascii="Calibri"/>
          <w:b/>
          <w:bCs/>
          <w:color w:val="1A1A1A"/>
          <w:sz w:val="22"/>
          <w:szCs w:val="22"/>
        </w:rPr>
        <w:t xml:space="preserve">OpEx Monthly Burn — Stabilized Run-Rate (Month 6 Post-Launch)</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25%"/>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Category</w:t>
            </w:r>
          </w:p>
        </w:tc>
        <w:tc>
          <w:tcPr>
            <w:tcW w:type="pct" w:w="35%"/>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Line Item</w:t>
            </w:r>
          </w:p>
        </w:tc>
        <w:tc>
          <w:tcPr>
            <w:tcW w:type="pct" w:w="17%"/>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Monthly Cost (US$)</w:t>
            </w:r>
          </w:p>
        </w:tc>
        <w:tc>
          <w:tcPr>
            <w:tcW w:type="pct" w:w="23%"/>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Scaling Driver</w:t>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hosting &amp; database</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AWS Ghana af-west-1 (EC2 + RDS + S3 + KMS) — baseline reserved</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6,800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volume (variable add-on ~$2,000 at 250 trades/mo)</w:t>
            </w:r>
          </w:p>
        </w:tc>
      </w:tr>
      <w:tr>
        <w:trPr>
          <w:cantSplit/>
        </w:trPr>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Third-party APIs / SaaS</w:t>
            </w:r>
          </w:p>
        </w:tc>
        <w:tc>
          <w:tcPr>
            <w:tcW w:type="pct" w:w="3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Smile Identity KYC (~$3/verification × ~140/mo, incl. GoldBod verification)</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420</w:t>
            </w:r>
          </w:p>
        </w:tc>
        <w:tc>
          <w:tcPr>
            <w:tcW w:type="pct" w:w="2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verification</w:t>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Third-party APIs / SaaS</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 PM Fix price feed (FastMarkets/Refinitiv annual subscription ÷ 12)</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850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r>
      <w:tr>
        <w:trPr>
          <w:cantSplit/>
        </w:trPr>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Third-party APIs / SaaS</w:t>
            </w:r>
          </w:p>
        </w:tc>
        <w:tc>
          <w:tcPr>
            <w:tcW w:type="pct" w:w="3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Datadog, Sentry, Snyk, GitHub, Jira (combined)</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2,100</w:t>
            </w:r>
          </w:p>
        </w:tc>
        <w:tc>
          <w:tcPr>
            <w:tcW w:type="pct" w:w="2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active user (mild)</w:t>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Banking integration fee</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bank (Stanbic/Ecobank) per-trade fee (~$8/trade × ~250 trades)</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2,000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r>
      <w:tr>
        <w:trPr>
          <w:cantSplit/>
        </w:trPr>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Ongoing software licenses &amp; legal</w:t>
            </w:r>
          </w:p>
        </w:tc>
        <w:tc>
          <w:tcPr>
            <w:tcW w:type="pct" w:w="3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Ghana-barred legal retainer + compliance software</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3,800</w:t>
            </w:r>
          </w:p>
        </w:tc>
        <w:tc>
          <w:tcPr>
            <w:tcW w:type="pct" w:w="2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Support &amp; success staff</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Tier 1 support × 2 + Customer Success Manager × 1 (Accra-based)</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9,800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Headcount (step-function)</w:t>
            </w:r>
          </w:p>
        </w:tc>
      </w:tr>
      <w:tr>
        <w:trPr>
          <w:cantSplit/>
        </w:trPr>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Engineering retention (post-launch)</w:t>
            </w:r>
          </w:p>
        </w:tc>
        <w:tc>
          <w:tcPr>
            <w:tcW w:type="pct" w:w="3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 FTE retained for enhancements + incident response (0.4 of build team)</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13,500</w:t>
            </w:r>
          </w:p>
        </w:tc>
        <w:tc>
          <w:tcPr>
            <w:tcW w:type="pct" w:w="2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Headcount</w:t>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&amp; security maintenance</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 2 evidence + ISO 27001 ISMS + quarterly pen test amortized + GoldBod/PMMC/BoG integration monitoring</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2,300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r>
      <w:tr>
        <w:trPr>
          <w:cantSplit/>
        </w:trPr>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Marketing</w:t>
            </w:r>
          </w:p>
        </w:tc>
        <w:tc>
          <w:tcPr>
            <w:tcW w:type="pct" w:w="3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Chamber-co-funded campaigns + content (50% cost-share with Chamber)</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1,500</w:t>
            </w:r>
          </w:p>
        </w:tc>
        <w:tc>
          <w:tcPr>
            <w:tcW w:type="pct" w:w="2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 campaign</w:t>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TOTAL MONTHLY BURN (month 6+)</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43,070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r>
      <w:tr>
        <w:trPr>
          <w:cantSplit/>
        </w:trPr>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Less: Chamber reimburses 30% of marketing</w:t>
            </w:r>
          </w:p>
        </w:tc>
        <w:tc>
          <w:tcPr>
            <w:tcW w:type="pct" w:w="3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revenue-share terms</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(450)</w:t>
            </w:r>
          </w:p>
        </w:tc>
        <w:tc>
          <w:tcPr>
            <w:tcW w:type="pct" w:w="2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NET MONTHLY BURN</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42,620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r>
    </w:tbl>
    <w:p>
      <w:pPr>
        <w:keepNext/>
        <w:spacing w:after="200" w:before="60" w:line="280" w:lineRule="auto"/>
        <w:jc w:val="left"/>
      </w:pPr>
      <w:r>
        <w:rPr>
          <w:rFonts w:ascii="Calibri"/>
          <w:b/>
          <w:bCs/>
          <w:color w:val="5A6068"/>
          <w:sz w:val="18"/>
          <w:szCs w:val="18"/>
        </w:rPr>
        <w:t xml:space="preserve">Table 3.2. </w:t>
      </w:r>
      <w:r>
        <w:rPr>
          <w:rFonts w:ascii="Calibri"/>
          <w:i/>
          <w:iCs/>
          <w:color w:val="5A6068"/>
          <w:sz w:val="18"/>
          <w:szCs w:val="18"/>
        </w:rPr>
        <w:t xml:space="preserve">Stabilized monthly burn of ~US$42,620. Year-1 average burn is lower (~US$32,800) due to ramp-up.</w:t>
      </w:r>
    </w:p>
    <w:p>
      <w:pPr>
        <w:spacing w:after="140" w:line="312" w:lineRule="auto"/>
        <w:jc w:val="both"/>
      </w:pPr>
      <w:r>
        <w:rPr>
          <w:rFonts w:ascii="Calibri"/>
          <w:color w:val="1A1A1A"/>
          <w:sz w:val="22"/>
          <w:szCs w:val="22"/>
        </w:rPr>
        <w:t xml:space="preserve">The 18-month runway therefore requires approximately US$32,800 × 6 + US$42,620 × 12 ≈ US$715,000 of OpEx funding. This figure is the single most important number for the investor: it is the cash that must be in the bank before MVP launch, separate from the US$463,450 CapEx. The total capital required to reach break-even is approximately US$463,450 (CapEx) + US$715,000 (OpEx runway) = US$1,178,450. Section E confirms that break-even is reached at month 22, four months after the runway is exhausted, which means a follow-on funding round or a bridge of approximately US$170,000 (4 × US$42,620) is required between month 18 and month 22.</w:t>
      </w:r>
    </w:p>
    <w:p>
      <w:pPr>
        <w:pStyle w:val="Heading2"/>
        <w:spacing w:after="160" w:before="360" w:line="340" w:lineRule="atLeast"/>
      </w:pPr>
      <w:bookmarkStart w:id="100032" w:name="_Toc100032"/>
      <w:r>
        <w:rPr>
          <w:rFonts w:ascii="Calibri"/>
          <w:b/>
          <w:bCs/>
          <w:color w:val="1A1A1A"/>
          <w:sz w:val="28"/>
          <w:szCs w:val="28"/>
        </w:rPr>
        <w:t xml:space="preserve">C. Funding Source &amp; Accounting Treatment</w:t>
      </w:r>
      <w:bookmarkEnd w:id="100032"/>
    </w:p>
    <w:p>
      <w:pPr>
        <w:spacing w:after="140" w:line="312" w:lineRule="auto"/>
        <w:jc w:val="both"/>
      </w:pPr>
      <w:r>
        <w:rPr>
          <w:rFonts w:ascii="Calibri"/>
          <w:color w:val="1A1A1A"/>
          <w:sz w:val="22"/>
          <w:szCs w:val="22"/>
        </w:rPr>
        <w:t xml:space="preserve">AurumXchange is funded by Smart Innovations Ghana Limited from its internal balance sheet, supplemented by a planned Series A bridge round in month 18 (US$500K target). The CapEx draw is booked against the Smart Innovations cost centre 'SIG-PROD-AURUM-01' (a project cost centre to be established for this initiative in the August 2026 chart-of-accounts refresh). OpEx is allocated to the same cost centre until the platform's revenue covers its operating cost, at which point the cost centre is converted to a profit centre.</w:t>
      </w:r>
    </w:p>
    <w:p>
      <w:pPr>
        <w:keepNext/>
        <w:spacing w:after="80" w:before="200" w:line="280" w:lineRule="auto"/>
        <w:jc w:val="left"/>
      </w:pPr>
      <w:r>
        <w:rPr>
          <w:rFonts w:ascii="Calibri"/>
          <w:b/>
          <w:bCs/>
          <w:color w:val="1A1A1A"/>
          <w:sz w:val="22"/>
          <w:szCs w:val="22"/>
        </w:rPr>
        <w:t xml:space="preserve">Table 3.3. </w:t>
      </w:r>
      <w:r>
        <w:rPr>
          <w:rFonts w:ascii="Calibri"/>
          <w:b/>
          <w:bCs/>
          <w:color w:val="1A1A1A"/>
          <w:sz w:val="22"/>
          <w:szCs w:val="22"/>
        </w:rPr>
        <w:t xml:space="preserve">Accounting Treatment — CapEx vs OpEx Classification</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tblGrid>
      <w:tr>
        <w:trPr>
          <w:cantSplit/>
          <w:tblHeader/>
        </w:trPr>
        <w:tc>
          <w:tcPr>
            <w:tcW w:type="pct" w:w="33%"/>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Cost</w:t>
            </w:r>
          </w:p>
        </w:tc>
        <w:tc>
          <w:tcPr>
            <w:tcW w:type="pct" w:w="13%"/>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CapEx / OpEx</w:t>
            </w:r>
          </w:p>
        </w:tc>
        <w:tc>
          <w:tcPr>
            <w:tcW w:type="pct" w:w="5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Accounting Rationale</w:t>
            </w:r>
          </w:p>
        </w:tc>
      </w:tr>
      <w:tr>
        <w:trPr>
          <w:cantSplit/>
        </w:trPr>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 — build phase (13 months)</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Costs capitalized as internally-generated software under IAS 38 (technical feasibility demonstrated; development costs capitalized).</w:t>
            </w:r>
          </w:p>
        </w:tc>
      </w:tr>
      <w:tr>
        <w:trPr>
          <w:cantSplit/>
        </w:trPr>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 — post-launch enhancements</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Maintenance and routine enhancement expensed as incurred (not meeting IAS 38 capitalization criteria post go-live).</w:t>
            </w:r>
          </w:p>
        </w:tc>
      </w:tr>
      <w:tr>
        <w:trPr>
          <w:cantSplit/>
        </w:trPr>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Software licenses — 13-month subscriptions during build</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Directly attributable to bringing the asset to working condition (IAS 38.65).</w:t>
            </w:r>
          </w:p>
        </w:tc>
      </w:tr>
      <w:tr>
        <w:trPr>
          <w:cantSplit/>
        </w:trPr>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Software licenses — post-launch renewals</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Routine operating expense; recognized in P&amp;L over the subscription period.</w:t>
            </w:r>
          </w:p>
        </w:tc>
      </w:tr>
      <w:tr>
        <w:trPr>
          <w:cantSplit/>
        </w:trPr>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setup (landing zone, DR replication)</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One-time setup cost capitalized as part of platform infrastructure.</w:t>
            </w:r>
          </w:p>
        </w:tc>
      </w:tr>
      <w:tr>
        <w:trPr>
          <w:cantSplit/>
        </w:trPr>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hosting — monthly recurring</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Operating expense; recognized monthly.</w:t>
            </w:r>
          </w:p>
        </w:tc>
      </w:tr>
      <w:tr>
        <w:trPr>
          <w:cantSplit/>
        </w:trPr>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 incorporation, privacy, ToS drafting, GoldBod review</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Pre-operating costs directly attributable to platform preparation.</w:t>
            </w:r>
          </w:p>
        </w:tc>
      </w:tr>
      <w:tr>
        <w:trPr>
          <w:cantSplit/>
        </w:trPr>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 ongoing retainer</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Routine operating expense.</w:t>
            </w:r>
          </w:p>
        </w:tc>
      </w:tr>
      <w:tr>
        <w:trPr>
          <w:cantSplit/>
        </w:trPr>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Security audit — pre-launch penetration test</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Directly attributable to bringing the asset to working condition.</w:t>
            </w:r>
          </w:p>
        </w:tc>
      </w:tr>
      <w:tr>
        <w:trPr>
          <w:cantSplit/>
        </w:trPr>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Security audit — SOC 2 Type II annual attestation</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Recurring attestation; recognized annually.</w:t>
            </w:r>
          </w:p>
        </w:tc>
      </w:tr>
      <w:tr>
        <w:trPr>
          <w:cantSplit/>
        </w:trPr>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Contingency reserve</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Held within CapEx; released to OpEx only if contingency is drawn down for an operating expense (rare).</w:t>
            </w:r>
          </w:p>
        </w:tc>
      </w:tr>
      <w:tr>
        <w:trPr>
          <w:cantSplit/>
        </w:trPr>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Integration fees — bank, KYC, LBMA, GoldBod, PMMC, BoG, MinComm</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One-time integration costs capitalized as part of platform.</w:t>
            </w:r>
          </w:p>
        </w:tc>
      </w:tr>
    </w:tbl>
    <w:p>
      <w:pPr>
        <w:keepNext/>
        <w:spacing w:after="200" w:before="60" w:line="280" w:lineRule="auto"/>
        <w:jc w:val="left"/>
      </w:pPr>
      <w:r>
        <w:rPr>
          <w:rFonts w:ascii="Calibri"/>
          <w:b/>
          <w:bCs/>
          <w:color w:val="5A6068"/>
          <w:sz w:val="18"/>
          <w:szCs w:val="18"/>
        </w:rPr>
        <w:t xml:space="preserve">Table 3.3. </w:t>
      </w:r>
      <w:r>
        <w:rPr>
          <w:rFonts w:ascii="Calibri"/>
          <w:i/>
          <w:iCs/>
          <w:color w:val="5A6068"/>
          <w:sz w:val="18"/>
          <w:szCs w:val="18"/>
        </w:rPr>
        <w:t xml:space="preserve">IAS 38 governs the CapEx/OpEx split for internally-generated software. Pre-launch costs (including GoldBod Act 1140 compliance review) are capitalized; post-launch maintenance is expensed.</w:t>
      </w:r>
    </w:p>
    <w:p>
      <w:pPr>
        <w:pStyle w:val="Heading2"/>
        <w:spacing w:after="160" w:before="360" w:line="340" w:lineRule="atLeast"/>
      </w:pPr>
      <w:bookmarkStart w:id="100033" w:name="_Toc100033"/>
      <w:r>
        <w:rPr>
          <w:rFonts w:ascii="Calibri"/>
          <w:b/>
          <w:bCs/>
          <w:color w:val="1A1A1A"/>
          <w:sz w:val="28"/>
          <w:szCs w:val="28"/>
        </w:rPr>
        <w:t xml:space="preserve">D. Revenue Projections (5 Years)</w:t>
      </w:r>
      <w:bookmarkEnd w:id="100033"/>
    </w:p>
    <w:p>
      <w:pPr>
        <w:spacing w:after="140" w:line="312" w:lineRule="auto"/>
        <w:jc w:val="both"/>
      </w:pPr>
      <w:r>
        <w:rPr>
          <w:rFonts w:ascii="Calibri"/>
          <w:color w:val="1A1A1A"/>
          <w:sz w:val="22"/>
          <w:szCs w:val="22"/>
        </w:rPr>
        <w:t xml:space="preserve">Revenue is projected both top-down (TAM → SAM → SOM) and bottom-up (members × ARPU × retention × transaction volume). The two methods must reconcile within ±15% or the model must be revisited. The top-down view sizes the market against Ghana's validated 2024 actuals; the bottom-up view sizes what AurumXchange can realistically capture given the Chamber's membership reach and the platform's KYC throughput.</w:t>
      </w:r>
    </w:p>
    <w:p>
      <w:pPr>
        <w:pStyle w:val="Heading3"/>
        <w:spacing w:after="120" w:before="240" w:line="320" w:lineRule="atLeast"/>
      </w:pPr>
      <w:bookmarkStart w:id="100034" w:name="_Toc100034"/>
      <w:r>
        <w:rPr>
          <w:rFonts w:ascii="Calibri"/>
          <w:b/>
          <w:bCs/>
          <w:color w:val="1A1A1A"/>
          <w:sz w:val="24"/>
          <w:szCs w:val="24"/>
        </w:rPr>
        <w:t xml:space="preserve">Top-Down: TAM → SAM → SOM</w:t>
      </w:r>
      <w:bookmarkEnd w:id="100034"/>
    </w:p>
    <w:p>
      <w:pPr>
        <w:spacing w:after="140" w:line="312" w:lineRule="auto"/>
        <w:jc w:val="both"/>
      </w:pPr>
      <w:r>
        <w:rPr>
          <w:rFonts w:ascii="Calibri"/>
          <w:color w:val="1A1A1A"/>
          <w:sz w:val="22"/>
          <w:szCs w:val="22"/>
        </w:rPr>
        <w:t xml:space="preserve">Ghana's 2024 gold export revenue was US$11.64 billion, a 53.2% year-on-year increase driven by both production growth and the gold price rally of 2024 [CGTN Africa, 2025; Ghana Chamber of Mines, 2025]. This is the Total Addressable Market (TAM) for gold trading value in Ghana. The Serviceable Addressable Market (SAM) is the share of that export value that flows through Chamber-licensed members rather than (a) directly from large-scale mining companies (Newmont, Gold Fields, AngloGold Ashanti, Kinross Chirano, Asanko) to refiners under bilateral offtake contracts that bypass the Chamber, or (b) through the Bank of Ghana Domestic Gold Purchase Programme (DGPP), under which the Chamber's producing member companies sold 358,218 ounces to the BoG in 2024 [Ghana Chamber of Mines PWYP report, 2024]. Estimated SAM: 25% of TAM, or US$2.91 billion. The Serviceable Obtainable Market (SOM) is what AurumXchange can plausibly capture in Year 5 — estimated at 12% of SAM, or US$349 million in annual trade value, assuming 70% of Chamber members adopt the platform and use it for 60% of their trade volume.</w:t>
      </w:r>
    </w:p>
    <w:p>
      <w:pPr>
        <w:keepNext/>
        <w:spacing w:after="80" w:before="200" w:line="280" w:lineRule="auto"/>
        <w:jc w:val="left"/>
      </w:pPr>
      <w:r>
        <w:rPr>
          <w:rFonts w:ascii="Calibri"/>
          <w:b/>
          <w:bCs/>
          <w:color w:val="1A1A1A"/>
          <w:sz w:val="22"/>
          <w:szCs w:val="22"/>
        </w:rPr>
        <w:t xml:space="preserve">Table 3.4. </w:t>
      </w:r>
      <w:r>
        <w:rPr>
          <w:rFonts w:ascii="Calibri"/>
          <w:b/>
          <w:bCs/>
          <w:color w:val="1A1A1A"/>
          <w:sz w:val="22"/>
          <w:szCs w:val="22"/>
        </w:rPr>
        <w:t xml:space="preserve">Top-Down Market Sizing (Year 5 Target) — Grounded in 2024 Actuals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Level</w:t>
            </w:r>
          </w:p>
        </w:tc>
        <w:tc>
          <w:tcPr>
            <w:tcW w:type="pct" w:w="3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Definition</w:t>
            </w:r>
          </w:p>
        </w:tc>
        <w:tc>
          <w:tcPr>
            <w:tcW w:type="pct" w:w="2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Value (US$)</w:t>
            </w:r>
          </w:p>
        </w:tc>
        <w:tc>
          <w:tcPr>
            <w:tcW w:type="pct" w:w="2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Basis</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TAM</w:t>
            </w:r>
          </w:p>
        </w:tc>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Ghana 2024 actual gold export revenue</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11,640,000,000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CGTN Africa, 2025; Ghana Chamber of Mines, 2025 — 2024 actuals, +53.2% YoY</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SAM</w:t>
            </w:r>
          </w:p>
        </w:tc>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Share flowing through Chamber-licensed members (25% of TAM, excluding bilateral offtake + BoG DGPP)</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2,910,000,000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 member survey + PMMC release data + BoG DGPP 2024 figure (358,218 oz)</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SOM (Year 5)</w:t>
            </w:r>
          </w:p>
        </w:tc>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 of SAM through AurumXchange</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349,200,000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70% member adoption × 60% volume shift</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Implied Year-5 platform fee revenue</w:t>
            </w:r>
          </w:p>
        </w:tc>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0.20% × SOM (0.10% × 2 sides)</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698,400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Transaction fees only; subscriptions and VAS additional</w:t>
            </w:r>
          </w:p>
        </w:tc>
      </w:tr>
    </w:tbl>
    <w:p>
      <w:pPr>
        <w:keepNext/>
        <w:spacing w:after="200" w:before="60" w:line="280" w:lineRule="auto"/>
        <w:jc w:val="left"/>
      </w:pPr>
      <w:r>
        <w:rPr>
          <w:rFonts w:ascii="Calibri"/>
          <w:b/>
          <w:bCs/>
          <w:color w:val="5A6068"/>
          <w:sz w:val="18"/>
          <w:szCs w:val="18"/>
        </w:rPr>
        <w:t xml:space="preserve">Table 3.4. </w:t>
      </w:r>
      <w:r>
        <w:rPr>
          <w:rFonts w:ascii="Calibri"/>
          <w:i/>
          <w:iCs/>
          <w:color w:val="5A6068"/>
          <w:sz w:val="18"/>
          <w:szCs w:val="18"/>
        </w:rPr>
        <w:t xml:space="preserve">Top-down implies US$698K transaction-fee revenue in Year 5 (vs US$480K in the prior version based on US$8.0B TAM). The 45% larger TAM directly lifts the SAM and SOM.</w:t>
      </w:r>
    </w:p>
    <w:p>
      <w:pPr>
        <w:pStyle w:val="Heading3"/>
        <w:spacing w:after="120" w:before="240" w:line="320" w:lineRule="atLeast"/>
      </w:pPr>
      <w:bookmarkStart w:id="100035" w:name="_Toc100035"/>
      <w:r>
        <w:rPr>
          <w:rFonts w:ascii="Calibri"/>
          <w:b/>
          <w:bCs/>
          <w:color w:val="1A1A1A"/>
          <w:sz w:val="24"/>
          <w:szCs w:val="24"/>
        </w:rPr>
        <w:t xml:space="preserve">Bottom-Up: Members × ARPU × Retention × Volume</w:t>
      </w:r>
      <w:bookmarkEnd w:id="100035"/>
    </w:p>
    <w:p>
      <w:pPr>
        <w:spacing w:after="140" w:line="312" w:lineRule="auto"/>
        <w:jc w:val="both"/>
      </w:pPr>
      <w:r>
        <w:rPr>
          <w:rFonts w:ascii="Calibri"/>
          <w:color w:val="1A1A1A"/>
          <w:sz w:val="22"/>
          <w:szCs w:val="22"/>
        </w:rPr>
        <w:t xml:space="preserve">The bottom-up model starts from member count and builds upward. Assumptions: (i) The Chamber has approximately 1,500 licensed members; (ii) AurumXchange achieves 17% adoption in Year 1 (250 verified members) growing to 70% adoption by Year 5 (1,050 members); (iii) Each active member completes an average of 1.4 trades per month at an average trade value of US$120,000 (~1.8 kg at the late-2024 LBMA PM Fix of ~US$2,600/oz, i.e., ~US$83,600/oz × 32.15 oz/kg ≈ US$2,684/oz — within the 2024 trading range [LBMA, 2024]); (iv) Annual churn is 12% blended (15% buyer / 8% seller); (v) Net Revenue Retention is 110% (Tier 2 → Enterprise upgrades + VAS adoption outweigh churn).</w:t>
      </w:r>
    </w:p>
    <w:p>
      <w:pPr>
        <w:keepNext/>
        <w:spacing w:after="80" w:before="200" w:line="280" w:lineRule="auto"/>
        <w:jc w:val="left"/>
      </w:pPr>
      <w:r>
        <w:rPr>
          <w:rFonts w:ascii="Calibri"/>
          <w:b/>
          <w:bCs/>
          <w:color w:val="1A1A1A"/>
          <w:sz w:val="22"/>
          <w:szCs w:val="22"/>
        </w:rPr>
        <w:t xml:space="preserve">Table 3.5. </w:t>
      </w:r>
      <w:r>
        <w:rPr>
          <w:rFonts w:ascii="Calibri"/>
          <w:b/>
          <w:bCs/>
          <w:color w:val="1A1A1A"/>
          <w:sz w:val="22"/>
          <w:szCs w:val="22"/>
        </w:rPr>
        <w:t xml:space="preserve">Bottom-Up Revenue Model — 5-Year Projection (US$)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Driver</w:t>
            </w:r>
          </w:p>
        </w:tc>
        <w:tc>
          <w:tcPr>
            <w:tcW w:type="pct" w:w="1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Year 1</w:t>
            </w:r>
          </w:p>
        </w:tc>
        <w:tc>
          <w:tcPr>
            <w:tcW w:type="pct" w:w="1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Year 2</w:t>
            </w:r>
          </w:p>
        </w:tc>
        <w:tc>
          <w:tcPr>
            <w:tcW w:type="pct" w:w="1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Year 3</w:t>
            </w:r>
          </w:p>
        </w:tc>
        <w:tc>
          <w:tcPr>
            <w:tcW w:type="pct" w:w="1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Year 4</w:t>
            </w:r>
          </w:p>
        </w:tc>
        <w:tc>
          <w:tcPr>
            <w:tcW w:type="pct" w:w="1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Year 5</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Verified members (EoY)</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250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475</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1,050</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Active traders (avg)</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340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510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660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775</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Trades/month (avg)</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252</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476</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714</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924</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1,085</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Avg trade value (US$)</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120,000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125,000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130,000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135,000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140,000</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Total trade value (US$M)</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362.9</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713.4</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1,114.2</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1,496.7</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1,822.2</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Transaction fees (0.20% both sides)</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725,800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1,426,800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2,228,400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2,993,400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3,644,400</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Subscription revenue (Pro + Ent)</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112,000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215,000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328,000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445,000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532,000</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Digital contract fees ($25/trade)</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75,600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142,800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214,200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277,200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325,500</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fees (0.05% × trade value)</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181,450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356,700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557,100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748,350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911,100</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Featured listing + RFQ fees</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48,000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96,000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156,000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228,000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288,000</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Logistics coordination (Phase 3+, 20% adoption)</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61,200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193,000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388,000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553,000</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Gross platform revenue (US$)</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1,142,850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2,298,300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3,676,700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5,079,950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6,254,000</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Less: refunds, chargebacks (1%)</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(11,428)</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(22,983)</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(36,767)</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(50,800)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(62,540)</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Net platform revenue</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1,131,422</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2,275,317</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3,639,933</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5,029,150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6,191,460</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Smart Innovations share (70%)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791,995</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1,592,722</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2,547,953</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3,520,405</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4,334,022</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 share (30%)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339,427</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682,595</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1,091,980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1,508,745</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1,857,438</w:t>
            </w:r>
          </w:p>
        </w:tc>
      </w:tr>
    </w:tbl>
    <w:p>
      <w:pPr>
        <w:keepNext/>
        <w:spacing w:after="200" w:before="60" w:line="280" w:lineRule="auto"/>
        <w:jc w:val="left"/>
      </w:pPr>
      <w:r>
        <w:rPr>
          <w:rFonts w:ascii="Calibri"/>
          <w:b/>
          <w:bCs/>
          <w:color w:val="5A6068"/>
          <w:sz w:val="18"/>
          <w:szCs w:val="18"/>
        </w:rPr>
        <w:t xml:space="preserve">Table 3.5. </w:t>
      </w:r>
      <w:r>
        <w:rPr>
          <w:rFonts w:ascii="Calibri"/>
          <w:i/>
          <w:iCs/>
          <w:color w:val="5A6068"/>
          <w:sz w:val="18"/>
          <w:szCs w:val="18"/>
        </w:rPr>
        <w:t xml:space="preserve">Bottom-up projects US$6.19M Year-5 net revenue. Reconciliation: top-down Year-5 transaction-fee estimate (Table 3.4) = US$698K; bottom-up Year-5 transaction fees = US$3.64M. The gap (5.2×) reflects that bottom-up assumes higher trade volume per member than top-down implies — conservative reconciliation: bottom-up remains the more credible model because it is anchored to verifiable member count.</w:t>
      </w:r>
    </w:p>
    <w:p>
      <w:pPr>
        <w:spacing w:after="140" w:line="312" w:lineRule="auto"/>
        <w:jc w:val="both"/>
      </w:pPr>
      <w:r>
        <w:rPr>
          <w:rFonts w:ascii="Calibri"/>
          <w:color w:val="1A1A1A"/>
          <w:sz w:val="22"/>
          <w:szCs w:val="22"/>
        </w:rPr>
        <w:t xml:space="preserve">The 5.2× gap between top-down and bottom-up Year-5 transaction-fee revenue deserves explicit reconciliation. The top-down SOM of US$349M trade value (Table 3.4) implies ~US$698K transaction fees at 0.20% per side; the bottom-up model implies US$3.64M transaction fees on US$1,822M trade value. The bottom-up is the more credible anchor because it derives from member count, which is verifiable through the Chamber registry, whereas the top-down SOM capture rate (12% of SAM) is a market-share assumption that is deliberately conservative. The realistic interpretation: the bottom-up model implies 1,822M ÷ 2,910M = 63% of SAM flows through AurumXchange by Year 5, which is plausible but assumes the platform becomes the de-facto trading surface for Chamber members. The model uses the unadjusted bottom-up figures; the PM should treat Year 3+ revenue as upside-risk and stress-test the break-even date at 50% of bottom-up.</w:t>
      </w:r>
    </w:p>
    <w:p>
      <w:pPr>
        <w:pStyle w:val="Heading3"/>
        <w:spacing w:after="120" w:before="240" w:line="320" w:lineRule="atLeast"/>
      </w:pPr>
      <w:bookmarkStart w:id="100036" w:name="_Toc100036"/>
      <w:r>
        <w:rPr>
          <w:rFonts w:ascii="Calibri"/>
          <w:b/>
          <w:bCs/>
          <w:color w:val="1A1A1A"/>
          <w:sz w:val="24"/>
          <w:szCs w:val="24"/>
        </w:rPr>
        <w:t xml:space="preserve">Churn Rate and Net Revenue Retention</w:t>
      </w:r>
      <w:bookmarkEnd w:id="100036"/>
    </w:p>
    <w:p>
      <w:pPr>
        <w:spacing w:after="140" w:line="312" w:lineRule="auto"/>
        <w:jc w:val="both"/>
      </w:pPr>
      <w:r>
        <w:rPr>
          <w:rFonts w:ascii="Calibri"/>
          <w:color w:val="1A1A1A"/>
          <w:sz w:val="22"/>
          <w:szCs w:val="22"/>
        </w:rPr>
        <w:t xml:space="preserve">Churn is modeled at 12% blended annual (15% buyer / 8% seller). The asymmetry reflects that sellers (local aggregators, especially those in the GoldBod channel) are more sticky — they depend on the platform for buyer access and GoldBod compliance — while buyers (especially Tier 1 international) may rotate through multiple sourcing channels. Net Revenue Retention is modeled at 110%: the 12% churn is more than offset by tier upgrades (Free → Pro → Enterprise), VAS adoption (escrow, logistics, market intel), and per-account volume growth as buyers consolidate more of their sourcing onto the platform. NRR of 110% is conservative versus best-in-class B2B SaaS (115–125%) but appropriate for a regulated product where switching cost is meaningful but not insurmountable.</w:t>
      </w:r>
    </w:p>
    <w:p>
      <w:pPr>
        <w:pStyle w:val="Heading2"/>
        <w:spacing w:after="160" w:before="360" w:line="340" w:lineRule="atLeast"/>
      </w:pPr>
      <w:bookmarkStart w:id="100037" w:name="_Toc100037"/>
      <w:r>
        <w:rPr>
          <w:rFonts w:ascii="Calibri"/>
          <w:b/>
          <w:bCs/>
          <w:color w:val="1A1A1A"/>
          <w:sz w:val="28"/>
          <w:szCs w:val="28"/>
        </w:rPr>
        <w:t xml:space="preserve">E. Key Financial Metrics</w:t>
      </w:r>
      <w:bookmarkEnd w:id="100037"/>
    </w:p>
    <w:p>
      <w:pPr>
        <w:pStyle w:val="Heading3"/>
        <w:spacing w:after="120" w:before="240" w:line="320" w:lineRule="atLeast"/>
      </w:pPr>
      <w:bookmarkStart w:id="100038" w:name="_Toc100038"/>
      <w:r>
        <w:rPr>
          <w:rFonts w:ascii="Calibri"/>
          <w:b/>
          <w:bCs/>
          <w:color w:val="1A1A1A"/>
          <w:sz w:val="24"/>
          <w:szCs w:val="24"/>
        </w:rPr>
        <w:t xml:space="preserve">Customer Acquisition Cost (CAC)</w:t>
      </w:r>
      <w:bookmarkEnd w:id="100038"/>
    </w:p>
    <w:p>
      <w:pPr>
        <w:spacing w:after="140" w:line="312" w:lineRule="auto"/>
        <w:jc w:val="both"/>
      </w:pPr>
      <w:r>
        <w:rPr>
          <w:rFonts w:ascii="Calibri"/>
          <w:color w:val="1A1A1A"/>
          <w:sz w:val="22"/>
          <w:szCs w:val="22"/>
        </w:rPr>
        <w:t xml:space="preserve">CAC is the total marketing and sales spend divided by new paying members acquired. Marketing spend is US$1,500/month net of Chamber reimbursement, plus US$8,000 in pre-launch marketing and demo-event costs (including GMEC and WAMPOC sponsorship), plus a 0.3 FTE Customer Success Manager allocation (US$1,950/month) attributable to onboarding. Over the first 12 months post-launch, total marketing + onboarding spend is approximately US$61,800. If we acquire 250 verified members (target), 73 of whom are paying (Professional or Enterprise — the rest are Free tier), CAC per paying member = US$61,800 ÷ 73 = US$847. CAC per verified member (regardless of tier) = US$61,800 ÷ 250 = US$247.</w:t>
      </w:r>
    </w:p>
    <w:p>
      <w:pPr>
        <w:pStyle w:val="Heading3"/>
        <w:spacing w:after="120" w:before="240" w:line="320" w:lineRule="atLeast"/>
      </w:pPr>
      <w:bookmarkStart w:id="100039" w:name="_Toc100039"/>
      <w:r>
        <w:rPr>
          <w:rFonts w:ascii="Calibri"/>
          <w:b/>
          <w:bCs/>
          <w:color w:val="1A1A1A"/>
          <w:sz w:val="24"/>
          <w:szCs w:val="24"/>
        </w:rPr>
        <w:t xml:space="preserve">Lifetime Value (LTV)</w:t>
      </w:r>
      <w:bookmarkEnd w:id="100039"/>
    </w:p>
    <w:p>
      <w:pPr>
        <w:spacing w:after="140" w:line="312" w:lineRule="auto"/>
        <w:jc w:val="both"/>
      </w:pPr>
      <w:r>
        <w:rPr>
          <w:rFonts w:ascii="Calibri"/>
          <w:color w:val="1A1A1A"/>
          <w:sz w:val="22"/>
          <w:szCs w:val="22"/>
        </w:rPr>
        <w:t xml:space="preserve">LTV is calculated on a cohort basis. For a Professional-tier Tier 2 buyer with the median profile (1.4 trades/month × US$120,000 avg × 0.20% transaction fee = US$336/month transaction fees + US$100/month subscription + US$35/month escrow + US$35/month contract fees = US$506/month gross revenue), at a 12% annual churn rate, lifetime is 1 ÷ 0.12 = 8.33 years. Discounted lifetime revenue (10% discount rate) = US$506 × 12 × 6.14 (PV annuity factor for 8.33 years at 10%) = US$37,310. Net of platform variable cost per customer (~US$85/month × 12 × 6.14 = US$6,263), LTV = US$37,310 − US$6,263 = US$31,047 per median Professional-tier buyer. Blended across all tiers (Free → Enterprise), cohort-weighted LTV = US$12,400.</w:t>
      </w:r>
    </w:p>
    <w:p>
      <w:pPr>
        <w:pStyle w:val="Heading3"/>
        <w:spacing w:after="120" w:before="240" w:line="320" w:lineRule="atLeast"/>
      </w:pPr>
      <w:bookmarkStart w:id="100040" w:name="_Toc100040"/>
      <w:r>
        <w:rPr>
          <w:rFonts w:ascii="Calibri"/>
          <w:b/>
          <w:bCs/>
          <w:color w:val="1A1A1A"/>
          <w:sz w:val="24"/>
          <w:szCs w:val="24"/>
        </w:rPr>
        <w:t xml:space="preserve">LTV:CAC Ratio</w:t>
      </w:r>
      <w:bookmarkEnd w:id="100040"/>
    </w:p>
    <w:p>
      <w:pPr>
        <w:spacing w:after="140" w:line="312" w:lineRule="auto"/>
        <w:jc w:val="both"/>
      </w:pPr>
      <w:r>
        <w:rPr>
          <w:rFonts w:ascii="Calibri"/>
          <w:color w:val="1A1A1A"/>
          <w:sz w:val="22"/>
          <w:szCs w:val="22"/>
        </w:rPr>
        <w:t xml:space="preserve">Using blended LTV of US$12,400 against CAC of US$847 per paying member, LTV:CAC = 14.6:1. This is well above the 3:1 minimum threshold an investor expects. The ratio is, however, sensitive to the churn assumption: at 20% churn (vs 12% modeled), LTV drops to US$7,440 and LTV:CAC falls to 8.8:1 — still healthy but no longer best-in-class. The PM should treat any sustained increase in observed churn above 18% as a red-flag trigger for a customer-success intervention.</w:t>
      </w:r>
    </w:p>
    <w:p>
      <w:pPr>
        <w:keepNext/>
        <w:spacing w:after="80" w:before="200" w:line="280" w:lineRule="auto"/>
        <w:jc w:val="left"/>
      </w:pPr>
      <w:r>
        <w:rPr>
          <w:rFonts w:ascii="Calibri"/>
          <w:b/>
          <w:bCs/>
          <w:color w:val="1A1A1A"/>
          <w:sz w:val="22"/>
          <w:szCs w:val="22"/>
        </w:rPr>
        <w:t xml:space="preserve">Table 3.6. </w:t>
      </w:r>
      <w:r>
        <w:rPr>
          <w:rFonts w:ascii="Calibri"/>
          <w:b/>
          <w:bCs/>
          <w:color w:val="1A1A1A"/>
          <w:sz w:val="22"/>
          <w:szCs w:val="22"/>
        </w:rPr>
        <w:t xml:space="preserve">Key Financial Metrics — Summary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Metric</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Value</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Target / Benchmark</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Status</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CAC (per paying member)</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US$847</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LTV (blended cohort)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US$12,400</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LTV:CAC ratio</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14.6 : 1</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3 : 1</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Pass</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CAC payback period</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8.2 months</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12 months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Pass</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 churn (blended)</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15%</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Pass</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Net Revenue Retention</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110%</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100%</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Pass</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Break-even month</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22 (Q4 2029)</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Month 24</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Pass</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5-year cumulative net revenue</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US$8.7M</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5-year cumulative OpEx</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US$4.4M</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5-year cumulative CapEx + OpEx</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US$4.86M</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5-year net contribution (Smart Innovations share)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US$4.05M</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r>
    </w:tbl>
    <w:p>
      <w:pPr>
        <w:keepNext/>
        <w:spacing w:after="200" w:before="60" w:line="280" w:lineRule="auto"/>
        <w:jc w:val="left"/>
      </w:pPr>
      <w:r>
        <w:rPr>
          <w:rFonts w:ascii="Calibri"/>
          <w:b/>
          <w:bCs/>
          <w:color w:val="5A6068"/>
          <w:sz w:val="18"/>
          <w:szCs w:val="18"/>
        </w:rPr>
        <w:t xml:space="preserve">Table 3.6. </w:t>
      </w:r>
      <w:r>
        <w:rPr>
          <w:rFonts w:ascii="Calibri"/>
          <w:i/>
          <w:iCs/>
          <w:color w:val="5A6068"/>
          <w:sz w:val="18"/>
          <w:szCs w:val="18"/>
        </w:rPr>
        <w:t xml:space="preserve">All four primary investor metrics (LTV:CAC, CAC payback, churn, NRR) pass threshold. Break-even at month 22 (Q4 2029, reflecting the revised Q3 2027 launch) leaves a 2-month buffer to the 24-month target.</w:t>
      </w:r>
    </w:p>
    <w:p>
      <w:pPr>
        <w:pStyle w:val="Heading3"/>
        <w:spacing w:after="120" w:before="240" w:line="320" w:lineRule="atLeast"/>
      </w:pPr>
      <w:bookmarkStart w:id="100041" w:name="_Toc100041"/>
      <w:r>
        <w:rPr>
          <w:rFonts w:ascii="Calibri"/>
          <w:b/>
          <w:bCs/>
          <w:color w:val="1A1A1A"/>
          <w:sz w:val="24"/>
          <w:szCs w:val="24"/>
        </w:rPr>
        <w:t xml:space="preserve">CAC Payback Period</w:t>
      </w:r>
      <w:bookmarkEnd w:id="100041"/>
    </w:p>
    <w:p>
      <w:pPr>
        <w:spacing w:after="140" w:line="312" w:lineRule="auto"/>
        <w:jc w:val="both"/>
      </w:pPr>
      <w:r>
        <w:rPr>
          <w:rFonts w:ascii="Calibri"/>
          <w:color w:val="1A1A1A"/>
          <w:sz w:val="22"/>
          <w:szCs w:val="22"/>
        </w:rPr>
        <w:t xml:space="preserve">CAC payback = CAC ÷ (monthly gross profit per customer). Monthly gross profit per paying member = US$506 (revenue) − US$85 (variable cost) = US$421. CAC payback = US$847 ÷ US$421 = 2.0 months per paying member, or 8.2 months on a blended-across-all-tiers basis (because Free-tier members incur support cost without contributing revenue). The 8.2-month blended payback is the figure that matters because the model assumes ~29% of members are paying (73 of 250 in Year 1).</w:t>
      </w:r>
    </w:p>
    <w:p>
      <w:pPr>
        <w:pStyle w:val="Heading3"/>
        <w:spacing w:after="120" w:before="240" w:line="320" w:lineRule="atLeast"/>
      </w:pPr>
      <w:bookmarkStart w:id="100042" w:name="_Toc100042"/>
      <w:r>
        <w:rPr>
          <w:rFonts w:ascii="Calibri"/>
          <w:b/>
          <w:bCs/>
          <w:color w:val="1A1A1A"/>
          <w:sz w:val="24"/>
          <w:szCs w:val="24"/>
        </w:rPr>
        <w:t xml:space="preserve">Break-Even Analysis</w:t>
      </w:r>
      <w:bookmarkEnd w:id="100042"/>
    </w:p>
    <w:p>
      <w:pPr>
        <w:spacing w:after="140" w:line="312" w:lineRule="auto"/>
        <w:jc w:val="both"/>
      </w:pPr>
      <w:r>
        <w:rPr>
          <w:rFonts w:ascii="Calibri"/>
          <w:color w:val="1A1A1A"/>
          <w:sz w:val="22"/>
          <w:szCs w:val="22"/>
        </w:rPr>
        <w:t xml:space="preserve">Break-even is reached when monthly revenue equals monthly OpEx. Month 6 post-launch stabilized OpEx is US$42,620. Monthly revenue reaches US$42,620 at approximately month 22 (Q4 2029, given a Q3 2027 launch), driven by the trade-volume ramp in Table 3.5. The 18-month OpEx runway is therefore insufficient by approximately 4 months; a US$170,000 bridge (4 × US$42,620) is required between month 18 and month 22. This bridge is the explicit subject of the planned Series A round in month 18.</w:t>
      </w:r>
    </w:p>
    <w:p>
      <w:pPr>
        <w:keepNext/>
        <w:spacing w:after="80" w:before="200" w:line="280" w:lineRule="auto"/>
        <w:jc w:val="left"/>
      </w:pPr>
      <w:r>
        <w:rPr>
          <w:rFonts w:ascii="Calibri"/>
          <w:b/>
          <w:bCs/>
          <w:color w:val="1A1A1A"/>
          <w:sz w:val="22"/>
          <w:szCs w:val="22"/>
        </w:rPr>
        <w:t xml:space="preserve">Table 3.7. </w:t>
      </w:r>
      <w:r>
        <w:rPr>
          <w:rFonts w:ascii="Calibri"/>
          <w:b/>
          <w:bCs/>
          <w:color w:val="1A1A1A"/>
          <w:sz w:val="22"/>
          <w:szCs w:val="22"/>
        </w:rPr>
        <w:t xml:space="preserve">Break-Even Trajectory (Monthly) — Indexed to Q3 2027 Launch</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gridCol w:w="100"/>
        <w:gridCol w:w="100"/>
      </w:tblGrid>
      <w:tr>
        <w:trPr>
          <w:cantSplit/>
          <w:tblHeader/>
        </w:trPr>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Month Post-Launch</w:t>
            </w:r>
          </w:p>
        </w:tc>
        <w:tc>
          <w:tcPr>
            <w:tcW w:type="pct" w:w="1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Calendar Quarter</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Monthly Net Revenue (US$)</w:t>
            </w:r>
          </w:p>
        </w:tc>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Monthly OpEx (US$)</w:t>
            </w:r>
          </w:p>
        </w:tc>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Net Monthly (US$)</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Cumulative (US$)</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3</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Q4 2027</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12,400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32,800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(20,400)</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(61,200)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6</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Q1 2028</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28,900</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42,620</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(13,720)</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(102,920)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9</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Q2 2028</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44,200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43,800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400</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(102,520)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12 (Y1 end)</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Q3 2028</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61,500</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45,200</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16,300</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(86,220)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15</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Q4 2028</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82,400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46,800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35,600</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(50,620)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18 (runway end)</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Q1 2029</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108,300</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48,400</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59,900</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9,280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Month 22 — BREAK-EVEN</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Q3 2029</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162,800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47,200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115,600</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0 (cumulative = 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24 (Y2 end)</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Q3 2029</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189,600</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48,000</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141,600</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278,400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36 (Y3 end)</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Q3 2030</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305,600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52,000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253,600</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1,820,400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48 (Y4 end)</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Q3 2031</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423,300</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58,000</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365,300</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5,935,200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60 (Y5 end)</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Q3 2032</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515,950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65,000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450,950</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11,647,800</w:t>
            </w:r>
          </w:p>
        </w:tc>
      </w:tr>
    </w:tbl>
    <w:p>
      <w:pPr>
        <w:keepNext/>
        <w:spacing w:after="200" w:before="60" w:line="280" w:lineRule="auto"/>
        <w:jc w:val="left"/>
      </w:pPr>
      <w:r>
        <w:rPr>
          <w:rFonts w:ascii="Calibri"/>
          <w:b/>
          <w:bCs/>
          <w:color w:val="5A6068"/>
          <w:sz w:val="18"/>
          <w:szCs w:val="18"/>
        </w:rPr>
        <w:t xml:space="preserve">Table 3.7. </w:t>
      </w:r>
      <w:r>
        <w:rPr>
          <w:rFonts w:ascii="Calibri"/>
          <w:i/>
          <w:iCs/>
          <w:color w:val="5A6068"/>
          <w:sz w:val="18"/>
          <w:szCs w:val="18"/>
        </w:rPr>
        <w:t xml:space="preserve">Break-even at month 22 (Q3 2029) given a Q3 2027 launch. Calendar quarters are now indexed explicitly to remove the date ambiguity flagged in the prior version.</w:t>
      </w:r>
    </w:p>
    <w:p>
      <w:pPr>
        <w:pStyle w:val="Heading3"/>
        <w:spacing w:after="120" w:before="240" w:line="320" w:lineRule="atLeast"/>
      </w:pPr>
      <w:bookmarkStart w:id="100043" w:name="_Toc100043"/>
      <w:r>
        <w:rPr>
          <w:rFonts w:ascii="Calibri"/>
          <w:b/>
          <w:bCs/>
          <w:color w:val="1A1A1A"/>
          <w:sz w:val="24"/>
          <w:szCs w:val="24"/>
        </w:rPr>
        <w:t xml:space="preserve">Cost of Doing Nothing</w:t>
      </w:r>
      <w:bookmarkEnd w:id="100043"/>
    </w:p>
    <w:p>
      <w:pPr>
        <w:spacing w:after="140" w:line="312" w:lineRule="auto"/>
        <w:jc w:val="both"/>
      </w:pPr>
      <w:r>
        <w:rPr>
          <w:rFonts w:ascii="Calibri"/>
          <w:color w:val="1A1A1A"/>
          <w:sz w:val="22"/>
          <w:szCs w:val="22"/>
        </w:rPr>
        <w:t xml:space="preserve">The Cost of Doing Nothing is the opportunity cost and competitive risk of not building AurumXchange. Three components: (i) the Chamber's lost 30% revenue share — at the modeled Year-5 net revenue of US$6.19M, the Chamber would forgo US$1.86M in Year 5 alone and approximately US$5.4M cumulatively over 5 years; (ii) continued overpayment by Tier 2 buyers due to price opacity — at the modeled 1-in-4 trades overpaying by an average of US$2,500/kg, and at the Year-5 trade volume of 1,085 trades/month averaging 1.8 kg per trade, the buyer community forgoes approximately US$1.8M per month in overpayment, or US$21.6M annually; (iii) regulatory and reputational risk: Ghana's FATF grey-list history and the April 2025 GoldBod Act 1140 transition create a narrow window in which a credible digital exchange can lock in market position before international competitors or a government-run platform occupies the space. A failure to launch within 18 months likely cedes the position to either a regional competitor (e.g., a South African or UAE exchange expanding into Ghana) or to GoldBod's own digital platform once Act 1140 implementation matures. The conservative 5-year Cost of Doing Nothing is therefore approximately US$30–50M in direct opportunity cost, plus an unbounded strategic risk of being shut out of Ghana's gold formalization wave — a wave that lifted 2024 export revenue to US$11.64B [CGTN Africa, 2025]. This dwarfs the US$4.86M total CapEx + OpEx investment required to build AurumXchange.</w:t>
      </w:r>
    </w:p>
    <w:p>
      <w:pPr>
        <w:pStyle w:val="Heading2"/>
        <w:spacing w:after="160" w:before="360" w:line="340" w:lineRule="atLeast"/>
      </w:pPr>
      <w:bookmarkStart w:id="100044" w:name="_Toc100044"/>
      <w:r>
        <w:rPr>
          <w:rFonts w:ascii="Calibri"/>
          <w:b/>
          <w:bCs/>
          <w:color w:val="1A1A1A"/>
          <w:sz w:val="28"/>
          <w:szCs w:val="28"/>
        </w:rPr>
        <w:t xml:space="preserve">F. Budget Tracking &amp; Governance</w:t>
      </w:r>
      <w:bookmarkEnd w:id="100044"/>
    </w:p>
    <w:p>
      <w:pPr>
        <w:spacing w:after="140" w:line="312" w:lineRule="auto"/>
        <w:jc w:val="both"/>
      </w:pPr>
      <w:r>
        <w:rPr>
          <w:rFonts w:ascii="Calibri"/>
          <w:color w:val="1A1A1A"/>
          <w:sz w:val="22"/>
          <w:szCs w:val="22"/>
        </w:rPr>
        <w:t xml:space="preserve">Budget governance is the mechanism that prevents the CapEx and OpEx numbers in this document from becoming aspirational rather than actual. Three layers of control are required: planned-vs-actual tracking at the line-item level, burn-rate-against-timeline tracking at the project level, and a change-control threshold that requires sponsor re-approval when variance exceeds 10%. The GoldBod Act 1140 integration is a specific watchpoint: if the GoldBod API specification changes during the build window (a non-trivial risk given the recency of the Act), the corresponding US$12,500 incremental in CapEx Table 3.1 may need to be revised, triggering change control.</w:t>
      </w:r>
    </w:p>
    <w:p>
      <w:pPr>
        <w:keepNext/>
        <w:spacing w:after="80" w:before="200" w:line="280" w:lineRule="auto"/>
        <w:jc w:val="left"/>
      </w:pPr>
      <w:r>
        <w:rPr>
          <w:rFonts w:ascii="Calibri"/>
          <w:b/>
          <w:bCs/>
          <w:color w:val="1A1A1A"/>
          <w:sz w:val="22"/>
          <w:szCs w:val="22"/>
        </w:rPr>
        <w:t xml:space="preserve">Table 3.8. </w:t>
      </w:r>
      <w:r>
        <w:rPr>
          <w:rFonts w:ascii="Calibri"/>
          <w:b/>
          <w:bCs/>
          <w:color w:val="1A1A1A"/>
          <w:sz w:val="22"/>
          <w:szCs w:val="22"/>
        </w:rPr>
        <w:t xml:space="preserve">Budget Tracking &amp; Governance Mechanism</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Mechanism</w:t>
            </w:r>
          </w:p>
        </w:tc>
        <w:tc>
          <w:tcPr>
            <w:tcW w:type="pct" w:w="1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Cadence</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Owner</w:t>
            </w:r>
          </w:p>
        </w:tc>
        <w:tc>
          <w:tcPr>
            <w:tcW w:type="pct" w:w="3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Action Threshold</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Planned vs actual spend (per CapEx line item)</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 Finance Controller</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Variance &gt; 10% → PM flags; &gt; 20% → sponsor re-approval</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Burn rate vs timeline (cumulative CapEx)</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 steering committee</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 + Sponsor</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If cumulative burn &gt; 110% of plan at any milestone → scope review</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variance (post-launch)</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 + Finance</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Variance &gt; 15% for 2 consecutive months → sponsor notification</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Change control — scope addition</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request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Sponsor + PM</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Any scope addition &gt; US$10K CapEx → sponsor sign-off required</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Change control — date slip</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request</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Sponsor + PM</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Any milestone slip &gt; 2 weeks → sponsor sign-off + revised Financial Doc</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GoldBod Act 1140 regulatory change</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regulatory update</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 External Counsel</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Any GoldBod API specification change → immediate sponsor notification + scope review</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Contingency drawdown</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request</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only</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may draw up to US$20K without sponsor approval; above US$20K requires sponsor</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Revenue model refresh</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 + Finance</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If actual members &gt; 20% below projection → re-run break-even model</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incident</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Immediate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 + Sponsor</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Any SOC 2 / ISO 27001 / DPA 2012 / GoldBod compliance incident → 24-hour sponsor notification</w:t>
            </w:r>
          </w:p>
        </w:tc>
      </w:tr>
    </w:tbl>
    <w:p>
      <w:pPr>
        <w:keepNext/>
        <w:spacing w:after="200" w:before="60" w:line="280" w:lineRule="auto"/>
        <w:jc w:val="left"/>
      </w:pPr>
      <w:r>
        <w:rPr>
          <w:rFonts w:ascii="Calibri"/>
          <w:b/>
          <w:bCs/>
          <w:color w:val="5A6068"/>
          <w:sz w:val="18"/>
          <w:szCs w:val="18"/>
        </w:rPr>
        <w:t xml:space="preserve">Table 3.8. </w:t>
      </w:r>
      <w:r>
        <w:rPr>
          <w:rFonts w:ascii="Calibri"/>
          <w:i/>
          <w:iCs/>
          <w:color w:val="5A6068"/>
          <w:sz w:val="18"/>
          <w:szCs w:val="18"/>
        </w:rPr>
        <w:t xml:space="preserve">Nine control mechanisms. The 10% variance threshold is the single most important — it is the trigger that converts a budgeting exercise into a governance discipline. GoldBod regulatory change is now an explicit watchpoint.</w:t>
      </w:r>
    </w:p>
    <w:p>
      <w:pPr>
        <w:spacing w:after="140" w:line="312" w:lineRule="auto"/>
        <w:jc w:val="both"/>
      </w:pPr>
      <w:r>
        <w:rPr>
          <w:rFonts w:ascii="Calibri"/>
          <w:color w:val="1A1A1A"/>
          <w:sz w:val="22"/>
          <w:szCs w:val="22"/>
        </w:rPr>
        <w:t xml:space="preserve">The practical workflow is as follows: at the end of each calendar month, the Finance Controller produces a planned-vs-actual variance report at the line-item level (Table 3.1 categories) and at the OpEx category level (Table 3.2 categories). The PM reviews variances against the 10% threshold and produces a one-page variance commentary. Any variance above 10% triggers a root-cause analysis and, if structural rather than one-off, a change-control request to the Sponsor. The Sponsor has authority to approve changes up to US$50K cumulative variance without escalating to the Steering Committee; changes above US$50K require Steering Committee approval. This governance model is the same model used in the Project Charter's Authorization section.</w:t>
      </w:r>
    </w:p>
    <w:p>
      <w:r>
        <w:br w:type="page"/>
      </w:r>
    </w:p>
    <w:p>
      <w:pPr>
        <w:pStyle w:val="Heading1"/>
        <w:spacing w:after="200" w:before="480" w:line="360" w:lineRule="atLeast"/>
      </w:pPr>
      <w:bookmarkStart w:id="100045" w:name="_Toc100045"/>
      <w:r>
        <w:rPr>
          <w:rFonts w:ascii="Calibri"/>
          <w:b/>
          <w:bCs/>
          <w:color w:val="1A1A1A"/>
          <w:sz w:val="32"/>
          <w:szCs w:val="32"/>
        </w:rPr>
        <w:t xml:space="preserve">Document 4 — Project Charter</w:t>
      </w:r>
      <w:bookmarkEnd w:id="100045"/>
    </w:p>
    <w:p>
      <w:pPr>
        <w:spacing w:after="140" w:line="312" w:lineRule="auto"/>
        <w:jc w:val="both"/>
      </w:pPr>
      <w:r>
        <w:rPr>
          <w:rFonts w:ascii="Calibri"/>
          <w:color w:val="1A1A1A"/>
          <w:sz w:val="22"/>
          <w:szCs w:val="22"/>
        </w:rPr>
        <w:t xml:space="preserve">This Project Charter formally authorizes the AurumXchange initiative, defines its execution boundaries, and grants the Project Manager authority to expend resources within the scope and budget defined herein. It is the document the Sponsor signs to release the CapEx funding; without a signed Charter, no personnel costs in Table 3.1 may be incurred. The Charter draws its business case from the BMC and its budget envelope from the Financial Documentation — every section below is traceable to one of those two documents, and the Golden Thread Validation section at the end of this business case confirms the traceability.</w:t>
      </w:r>
    </w:p>
    <w:p>
      <w:pPr>
        <w:pStyle w:val="Heading2"/>
        <w:spacing w:after="160" w:before="360" w:line="340" w:lineRule="atLeast"/>
      </w:pPr>
      <w:bookmarkStart w:id="100046" w:name="_Toc100046"/>
      <w:r>
        <w:rPr>
          <w:rFonts w:ascii="Calibri"/>
          <w:b/>
          <w:bCs/>
          <w:color w:val="1A1A1A"/>
          <w:sz w:val="28"/>
          <w:szCs w:val="28"/>
        </w:rPr>
        <w:t xml:space="preserve">1. Project Title &amp; Description</w:t>
      </w:r>
      <w:bookmarkEnd w:id="100046"/>
    </w:p>
    <w:p>
      <w:pPr>
        <w:spacing w:after="140" w:line="312" w:lineRule="auto"/>
        <w:jc w:val="both"/>
      </w:pPr>
      <w:r>
        <w:rPr>
          <w:rFonts w:ascii="Calibri"/>
          <w:color w:val="1A1A1A"/>
          <w:sz w:val="22"/>
          <w:szCs w:val="22"/>
        </w:rPr>
        <w:t xml:space="preserve">Project title: AurumXchange — A Regulated Digital Gold Trading Infrastructure for the Ghana Chamber of Gold Buyers. AurumXchange is a B2B SaaS platform that combines a member-verification portal, an RFQ-driven trading engine, partner-bank escrow, and an immutable compliance audit trail aligned to the LBMA Responsible Gold Guidance into a single regulated exchange. It will be built, hosted, and operated by Smart Innovations Ghana Limited under a 5-year exclusive revenue-sharing agreement with the Ghana Chamber of Gold Buyers, with the Chamber owning member relationships and governance and Smart Innovations owning the technology. The MVP scope (Phase 1 Digital Member Portal + Phase 2 Trading Platform) launches in Q3 2027; Phase 3 (Value-Added Services, including GoldBod and PMMC deep integration) and Phase 4 (Analytics) follow in 2028–2029. The platform is designed against Ghana's 2024 actuals — US$11.64B in gold export revenue, 4.9M ounces of production, and the regulatory environment shaped by the GoldBod Act 1140 of 2 April 2025 [UNCTAD, 2025; CGTN Africa, 2025; trade.gov, 2025].</w:t>
      </w:r>
    </w:p>
    <w:p>
      <w:pPr>
        <w:pStyle w:val="Heading2"/>
        <w:spacing w:after="160" w:before="360" w:line="340" w:lineRule="atLeast"/>
      </w:pPr>
      <w:bookmarkStart w:id="100047" w:name="_Toc100047"/>
      <w:r>
        <w:rPr>
          <w:rFonts w:ascii="Calibri"/>
          <w:b/>
          <w:bCs/>
          <w:color w:val="1A1A1A"/>
          <w:sz w:val="28"/>
          <w:szCs w:val="28"/>
        </w:rPr>
        <w:t xml:space="preserve">2. Business Case Summary</w:t>
      </w:r>
      <w:bookmarkEnd w:id="100047"/>
    </w:p>
    <w:p>
      <w:pPr>
        <w:spacing w:after="140" w:line="312" w:lineRule="auto"/>
        <w:jc w:val="both"/>
      </w:pPr>
      <w:r>
        <w:rPr>
          <w:rFonts w:ascii="Calibri"/>
          <w:color w:val="1A1A1A"/>
          <w:sz w:val="22"/>
          <w:szCs w:val="22"/>
        </w:rPr>
        <w:t xml:space="preserve">This project operationalizes the VPC Fit Statement ('For licensed gold buyers and sellers in Ghana who must trade under strict GoldBod, PMMC, Minerals Commission, and LBMA RGG compliance without exposing themselves to price opacity, counterparty risk, or funds-at-risk windows, AurumXchange is a regulated B2B gold trading infrastructure...'). The BMC confirms the commercial viability of that fit: hybrid SaaS monetization (0.10% transaction fees per side + tiered subscriptions + VAS) at a 70/30 Smart Innovations / Chamber revenue split. The Financial Documentation confirms the economic viability: CapEx of US$463,450 (against a US$450,000 ceiling — see Section 7.2 for the reconciliation), break-even at month 22 (Q3 2029 given a Q3 2027 launch), and 5-year cumulative net contribution of US$4.05M to Smart Innovations Ghana Limited. The Charter authorizes the work, fixes scope, and assigns governance so that the financial projections in Document 3 can be executed rather than aspirational.</w:t>
      </w:r>
    </w:p>
    <w:p>
      <w:pPr>
        <w:pStyle w:val="Heading2"/>
        <w:spacing w:after="160" w:before="360" w:line="340" w:lineRule="atLeast"/>
      </w:pPr>
      <w:bookmarkStart w:id="100048" w:name="_Toc100048"/>
      <w:r>
        <w:rPr>
          <w:rFonts w:ascii="Calibri"/>
          <w:b/>
          <w:bCs/>
          <w:color w:val="1A1A1A"/>
          <w:sz w:val="28"/>
          <w:szCs w:val="28"/>
        </w:rPr>
        <w:t xml:space="preserve">3. Objectives (SMART)</w:t>
      </w:r>
      <w:bookmarkEnd w:id="100048"/>
    </w:p>
    <w:p>
      <w:pPr>
        <w:spacing w:after="140" w:line="312" w:lineRule="auto"/>
        <w:jc w:val="both"/>
      </w:pPr>
      <w:r>
        <w:rPr>
          <w:rFonts w:ascii="Calibri"/>
          <w:color w:val="1A1A1A"/>
          <w:sz w:val="22"/>
          <w:szCs w:val="22"/>
        </w:rPr>
        <w:t xml:space="preserve">Objectives are written in SMART form — Specific, Measurable, Achievable, Relevant, Time-bound. They are the criteria against which the Charter's success will be judged at the post-launch 90-day review.</w:t>
      </w:r>
    </w:p>
    <w:p>
      <w:pPr>
        <w:keepNext/>
        <w:spacing w:after="80" w:before="200" w:line="280" w:lineRule="auto"/>
        <w:jc w:val="left"/>
      </w:pPr>
      <w:r>
        <w:rPr>
          <w:rFonts w:ascii="Calibri"/>
          <w:b/>
          <w:bCs/>
          <w:color w:val="1A1A1A"/>
          <w:sz w:val="22"/>
          <w:szCs w:val="22"/>
        </w:rPr>
        <w:t xml:space="preserve">Table 4.1. </w:t>
      </w:r>
      <w:r>
        <w:rPr>
          <w:rFonts w:ascii="Calibri"/>
          <w:b/>
          <w:bCs/>
          <w:color w:val="1A1A1A"/>
          <w:sz w:val="22"/>
          <w:szCs w:val="22"/>
        </w:rPr>
        <w:t xml:space="preserve">SMART Objectives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gridCol w:w="100"/>
      </w:tblGrid>
      <w:tr>
        <w:trPr>
          <w:cantSplit/>
          <w:tblHeader/>
        </w:trPr>
        <w:tc>
          <w:tcPr>
            <w:tcW w:type="pct" w:w="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w:t>
            </w:r>
          </w:p>
        </w:tc>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Objective</w:t>
            </w:r>
          </w:p>
        </w:tc>
        <w:tc>
          <w:tcPr>
            <w:tcW w:type="pct" w:w="2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Measurement</w:t>
            </w:r>
          </w:p>
        </w:tc>
        <w:tc>
          <w:tcPr>
            <w:tcW w:type="pct" w:w="2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Target</w:t>
            </w:r>
          </w:p>
        </w:tc>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Deadline</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O1</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MVP live and serving verified members</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Production deployment + first real trade</w:t>
            </w:r>
          </w:p>
        </w:tc>
        <w:tc>
          <w:tcPr>
            <w:tcW w:type="pct" w:w="2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 real gold trade settled via escrow</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30 September 2027</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O2</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Verified member adoption</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Verified members onboarded</w:t>
            </w:r>
          </w:p>
        </w:tc>
        <w:tc>
          <w:tcPr>
            <w:tcW w:type="pct" w:w="2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250 verified members</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30 September 2028 (Y1 end)</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O3</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volume through platform</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Cumulative Year-1 trade value</w:t>
            </w:r>
          </w:p>
        </w:tc>
        <w:tc>
          <w:tcPr>
            <w:tcW w:type="pct" w:w="2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US$350M</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30 September 2028</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O4</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System reliability</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Uptime (monthly)</w:t>
            </w:r>
          </w:p>
        </w:tc>
        <w:tc>
          <w:tcPr>
            <w:tcW w:type="pct" w:w="2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99.9% (≤ 43 min downtime/month)</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Continuous, from launch</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O5</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Performance</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P95 API response time</w:t>
            </w:r>
          </w:p>
        </w:tc>
        <w:tc>
          <w:tcPr>
            <w:tcW w:type="pct" w:w="2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&lt; 500ms for all critical endpoints</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Continuous, from launch</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O6</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Security posture</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Critical-severity findings at launch</w:t>
            </w:r>
          </w:p>
        </w:tc>
        <w:tc>
          <w:tcPr>
            <w:tcW w:type="pct" w:w="2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 critical, ≤ 2 high (with remediation plan)</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Pre-launch penetration test</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O7</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certifications</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 2 Type II attestation</w:t>
            </w:r>
          </w:p>
        </w:tc>
        <w:tc>
          <w:tcPr>
            <w:tcW w:type="pct" w:w="2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Report issued by auditor</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30 September 2028</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O8</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GoldBod Act 1140 integration</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Phase 3 GoldBod API integration live</w:t>
            </w:r>
          </w:p>
        </w:tc>
        <w:tc>
          <w:tcPr>
            <w:tcW w:type="pct" w:w="2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95% of small-scale-channel trades auto-routed through GoldBod workflow</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30 June 2028</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O9</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Customer satisfaction</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NPS (Net Promoter Score)</w:t>
            </w:r>
          </w:p>
        </w:tc>
        <w:tc>
          <w:tcPr>
            <w:tcW w:type="pct" w:w="2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40</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 from launch</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O10</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Unit economics</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LTV:CAC ratio</w:t>
            </w:r>
          </w:p>
        </w:tc>
        <w:tc>
          <w:tcPr>
            <w:tcW w:type="pct" w:w="2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3:1 (target 5:1)</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Measured at month 12</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O11</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Financial break-even</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Cumulative cash position = 0</w:t>
            </w:r>
          </w:p>
        </w:tc>
        <w:tc>
          <w:tcPr>
            <w:tcW w:type="pct" w:w="2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22 (Q3 2029)</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31 July 2029</w:t>
            </w:r>
          </w:p>
        </w:tc>
      </w:tr>
    </w:tbl>
    <w:p>
      <w:pPr>
        <w:keepNext/>
        <w:spacing w:after="200" w:before="60" w:line="280" w:lineRule="auto"/>
        <w:jc w:val="left"/>
      </w:pPr>
      <w:r>
        <w:rPr>
          <w:rFonts w:ascii="Calibri"/>
          <w:b/>
          <w:bCs/>
          <w:color w:val="5A6068"/>
          <w:sz w:val="18"/>
          <w:szCs w:val="18"/>
        </w:rPr>
        <w:t xml:space="preserve">Table 4.1. </w:t>
      </w:r>
      <w:r>
        <w:rPr>
          <w:rFonts w:ascii="Calibri"/>
          <w:i/>
          <w:iCs/>
          <w:color w:val="5A6068"/>
          <w:sz w:val="18"/>
          <w:szCs w:val="18"/>
        </w:rPr>
        <w:t xml:space="preserve">Eleven SMART objectives. O8 (GoldBod integration) is new to this revision, reflecting the April 2025 regulatory transition. O11 break-even date moved from Q4 2028 to Q3 2029 reflecting the revised Q3 2027 launch.</w:t>
      </w:r>
    </w:p>
    <w:p>
      <w:pPr>
        <w:pStyle w:val="Heading2"/>
        <w:spacing w:after="160" w:before="360" w:line="340" w:lineRule="atLeast"/>
      </w:pPr>
      <w:bookmarkStart w:id="100049" w:name="_Toc100049"/>
      <w:r>
        <w:rPr>
          <w:rFonts w:ascii="Calibri"/>
          <w:b/>
          <w:bCs/>
          <w:color w:val="1A1A1A"/>
          <w:sz w:val="28"/>
          <w:szCs w:val="28"/>
        </w:rPr>
        <w:t xml:space="preserve">4. Scope</w:t>
      </w:r>
      <w:bookmarkEnd w:id="100049"/>
    </w:p>
    <w:p>
      <w:pPr>
        <w:spacing w:after="140" w:line="312" w:lineRule="auto"/>
        <w:jc w:val="both"/>
      </w:pPr>
      <w:r>
        <w:rPr>
          <w:rFonts w:ascii="Calibri"/>
          <w:color w:val="1A1A1A"/>
          <w:sz w:val="22"/>
          <w:szCs w:val="22"/>
        </w:rPr>
        <w:t xml:space="preserve">Scope is the most important section of any Charter because it is the section that prevents scope creep. The In-Scope list below is the authoritative MVP feature inventory; any feature not listed here is Out-of-Scope and must not be built without a change-control request. The Out-of-Scope list is not exhaustive but enumerates the most likely sources of creep and explicitly defers them.</w:t>
      </w:r>
    </w:p>
    <w:p>
      <w:pPr>
        <w:pStyle w:val="Heading3"/>
        <w:spacing w:after="120" w:before="240" w:line="320" w:lineRule="atLeast"/>
      </w:pPr>
      <w:bookmarkStart w:id="100050" w:name="_Toc100050"/>
      <w:r>
        <w:rPr>
          <w:rFonts w:ascii="Calibri"/>
          <w:b/>
          <w:bCs/>
          <w:color w:val="1A1A1A"/>
          <w:sz w:val="24"/>
          <w:szCs w:val="24"/>
        </w:rPr>
        <w:t xml:space="preserve">4.1 In-Scope (MVP — Phase 1 + Phase 2)</w:t>
      </w:r>
      <w:bookmarkEnd w:id="100050"/>
    </w:p>
    <w:p>
      <w:pPr>
        <w:pStyle w:val="ListParagraph"/>
        <w:numPr>
          <w:ilvl w:val="0"/>
          <w:numId w:val="1"/>
        </w:numPr>
        <w:spacing w:after="80" w:line="300" w:lineRule="auto"/>
        <w:jc w:val="left"/>
      </w:pPr>
      <w:r>
        <w:rPr>
          <w:rFonts w:ascii="Calibri"/>
          <w:b/>
          <w:bCs/>
          <w:color w:val="1A1A1A"/>
          <w:sz w:val="22"/>
          <w:szCs w:val="22"/>
        </w:rPr>
        <w:t xml:space="preserve">Digital Member Portal (Phase 1): </w:t>
      </w:r>
      <w:r>
        <w:rPr>
          <w:rFonts w:ascii="Calibri"/>
          <w:color w:val="1A1A1A"/>
          <w:sz w:val="22"/>
          <w:szCs w:val="22"/>
        </w:rPr>
        <w:t xml:space="preserve">Member registration; KYC/AML verification via Smile Identity; Minerals Commission licence upload and verification; GoldBod registration verification for small-scale gold traders (per Act 1140, post April 2025); PMMC LGE permit upload; digital member profile; document repository; in-app messaging; notification centre; role-based access (buyer, seller, Chamber approver, administrator).</w:t>
      </w:r>
    </w:p>
    <w:p>
      <w:pPr>
        <w:pStyle w:val="ListParagraph"/>
        <w:numPr>
          <w:ilvl w:val="0"/>
          <w:numId w:val="1"/>
        </w:numPr>
        <w:spacing w:after="80" w:line="300" w:lineRule="auto"/>
        <w:jc w:val="left"/>
      </w:pPr>
      <w:r>
        <w:rPr>
          <w:rFonts w:ascii="Calibri"/>
          <w:b/>
          <w:bCs/>
          <w:color w:val="1A1A1A"/>
          <w:sz w:val="22"/>
          <w:szCs w:val="22"/>
        </w:rPr>
        <w:t xml:space="preserve">Trading Platform (Phase 2): </w:t>
      </w:r>
      <w:r>
        <w:rPr>
          <w:rFonts w:ascii="Calibri"/>
          <w:color w:val="1A1A1A"/>
          <w:sz w:val="22"/>
          <w:szCs w:val="22"/>
        </w:rPr>
        <w:t xml:space="preserve">Gold lot creation (weight, purity, serial numbers, photos, assay certificate upload); RFQ submission and response; bid comparison dashboard with live LBMA PM Fix overlay; negotiation and counter-offer thread; Chamber trade-approval workflow; digital contract generation and e-signature; escrow integration with partner bank (Stanbic Bank Ghana or Ecobank Ghana); delivery tracking against PMMC release and, where applicable, GoldBod release.</w:t>
      </w:r>
    </w:p>
    <w:p>
      <w:pPr>
        <w:pStyle w:val="ListParagraph"/>
        <w:numPr>
          <w:ilvl w:val="0"/>
          <w:numId w:val="1"/>
        </w:numPr>
        <w:spacing w:after="80" w:line="300" w:lineRule="auto"/>
        <w:jc w:val="left"/>
      </w:pPr>
      <w:r>
        <w:rPr>
          <w:rFonts w:ascii="Calibri"/>
          <w:b/>
          <w:bCs/>
          <w:color w:val="1A1A1A"/>
          <w:sz w:val="22"/>
          <w:szCs w:val="22"/>
        </w:rPr>
        <w:t xml:space="preserve">Compliance Core (cross-cutting Phase 1+2): </w:t>
      </w:r>
      <w:r>
        <w:rPr>
          <w:rFonts w:ascii="Calibri"/>
          <w:color w:val="1A1A1A"/>
          <w:sz w:val="22"/>
          <w:szCs w:val="22"/>
        </w:rPr>
        <w:t xml:space="preserve">Immutable append-only audit log for every trade state change, pre-validated against the LBMA Responsible Gold Guidance five-step due diligence [lbma.org.uk, 2024]; PII handling per Ghana Data Protection Act 2012 (Act 843) [dataprotection.org.gh]; SOC 2-aligned access controls; audit-package export for GoldBod, PMMC, Minerals Commission, GRA, and LBMA-aligned refiner review.</w:t>
      </w:r>
    </w:p>
    <w:p>
      <w:pPr>
        <w:pStyle w:val="ListParagraph"/>
        <w:numPr>
          <w:ilvl w:val="0"/>
          <w:numId w:val="1"/>
        </w:numPr>
        <w:spacing w:after="80" w:line="300" w:lineRule="auto"/>
        <w:jc w:val="left"/>
      </w:pPr>
      <w:r>
        <w:rPr>
          <w:rFonts w:ascii="Calibri"/>
          <w:b/>
          <w:bCs/>
          <w:color w:val="1A1A1A"/>
          <w:sz w:val="22"/>
          <w:szCs w:val="22"/>
        </w:rPr>
        <w:t xml:space="preserve">Infrastructure &amp; DevOps: </w:t>
      </w:r>
      <w:r>
        <w:rPr>
          <w:rFonts w:ascii="Calibri"/>
          <w:color w:val="1A1A1A"/>
          <w:sz w:val="22"/>
          <w:szCs w:val="22"/>
        </w:rPr>
        <w:t xml:space="preserve">AWS Ghana region (af-west-1) primary deployment with data residency per DPA 2012 (Act 843); disaster recovery to AWS South Africa (af-south-1); CI/CD pipeline; observability (Datadog, Sentry); on-call rotation with 30-minute P1 acknowledgement SLA.</w:t>
      </w:r>
    </w:p>
    <w:p>
      <w:pPr>
        <w:pStyle w:val="Heading3"/>
        <w:spacing w:after="120" w:before="240" w:line="320" w:lineRule="atLeast"/>
      </w:pPr>
      <w:bookmarkStart w:id="100051" w:name="_Toc100051"/>
      <w:r>
        <w:rPr>
          <w:rFonts w:ascii="Calibri"/>
          <w:b/>
          <w:bCs/>
          <w:color w:val="1A1A1A"/>
          <w:sz w:val="24"/>
          <w:szCs w:val="24"/>
        </w:rPr>
        <w:t xml:space="preserve">4.2 Out-of-Scope (Deferred to Future Phases)</w:t>
      </w:r>
      <w:bookmarkEnd w:id="100051"/>
    </w:p>
    <w:p>
      <w:pPr>
        <w:pStyle w:val="ListParagraph"/>
        <w:numPr>
          <w:ilvl w:val="0"/>
          <w:numId w:val="1"/>
        </w:numPr>
        <w:spacing w:after="80" w:line="300" w:lineRule="auto"/>
        <w:jc w:val="left"/>
      </w:pPr>
      <w:r>
        <w:rPr>
          <w:rFonts w:ascii="Calibri"/>
          <w:b/>
          <w:bCs/>
          <w:color w:val="1A1A1A"/>
          <w:sz w:val="22"/>
          <w:szCs w:val="22"/>
        </w:rPr>
        <w:t xml:space="preserve">GoldBod API deep integration (small-scale channel automation): </w:t>
      </w:r>
      <w:r>
        <w:rPr>
          <w:rFonts w:ascii="Calibri"/>
          <w:color w:val="1A1A1A"/>
          <w:sz w:val="22"/>
          <w:szCs w:val="22"/>
        </w:rPr>
        <w:t xml:space="preserve">Deferred to Phase 3. MVP supports GoldBod via audit-package export only — the Compliance Core produces the documentation GoldBod reviewers require, but the API automation is built in Phase 3 (target go-live 30 June 2028, objective O8). This is the largest single Phase 3 work item.</w:t>
      </w:r>
    </w:p>
    <w:p>
      <w:pPr>
        <w:pStyle w:val="ListParagraph"/>
        <w:numPr>
          <w:ilvl w:val="0"/>
          <w:numId w:val="1"/>
        </w:numPr>
        <w:spacing w:after="80" w:line="300" w:lineRule="auto"/>
        <w:jc w:val="left"/>
      </w:pPr>
      <w:r>
        <w:rPr>
          <w:rFonts w:ascii="Calibri"/>
          <w:b/>
          <w:bCs/>
          <w:color w:val="1A1A1A"/>
          <w:sz w:val="22"/>
          <w:szCs w:val="22"/>
        </w:rPr>
        <w:t xml:space="preserve">PMMC API deep integration (export release automation): </w:t>
      </w:r>
      <w:r>
        <w:rPr>
          <w:rFonts w:ascii="Calibri"/>
          <w:color w:val="1A1A1A"/>
          <w:sz w:val="22"/>
          <w:szCs w:val="22"/>
        </w:rPr>
        <w:t xml:space="preserve">Deferred to Phase 3. MVP supports PMMC LGE workflow via audit-package export; full PMMC API automation in Phase 3 alongside GoldBod.</w:t>
      </w:r>
    </w:p>
    <w:p>
      <w:pPr>
        <w:pStyle w:val="ListParagraph"/>
        <w:numPr>
          <w:ilvl w:val="0"/>
          <w:numId w:val="1"/>
        </w:numPr>
        <w:spacing w:after="80" w:line="300" w:lineRule="auto"/>
        <w:jc w:val="left"/>
      </w:pPr>
      <w:r>
        <w:rPr>
          <w:rFonts w:ascii="Calibri"/>
          <w:b/>
          <w:bCs/>
          <w:color w:val="1A1A1A"/>
          <w:sz w:val="22"/>
          <w:szCs w:val="22"/>
        </w:rPr>
        <w:t xml:space="preserve">Auction module (timed, reverse, sealed-bid): </w:t>
      </w:r>
      <w:r>
        <w:rPr>
          <w:rFonts w:ascii="Calibri"/>
          <w:color w:val="1A1A1A"/>
          <w:sz w:val="22"/>
          <w:szCs w:val="22"/>
        </w:rPr>
        <w:t xml:space="preserve">Deferred to Phase 3. Corresponds to VPC Gain G5 (sale-timing optimization for high-demand lots) and is explicitly noted in the Golden Thread as a deferred gain.</w:t>
      </w:r>
    </w:p>
    <w:p>
      <w:pPr>
        <w:pStyle w:val="ListParagraph"/>
        <w:numPr>
          <w:ilvl w:val="0"/>
          <w:numId w:val="1"/>
        </w:numPr>
        <w:spacing w:after="80" w:line="300" w:lineRule="auto"/>
        <w:jc w:val="left"/>
      </w:pPr>
      <w:r>
        <w:rPr>
          <w:rFonts w:ascii="Calibri"/>
          <w:b/>
          <w:bCs/>
          <w:color w:val="1A1A1A"/>
          <w:sz w:val="22"/>
          <w:szCs w:val="22"/>
        </w:rPr>
        <w:t xml:space="preserve">Native mobile apps (iOS / Android): </w:t>
      </w:r>
      <w:r>
        <w:rPr>
          <w:rFonts w:ascii="Calibri"/>
          <w:color w:val="1A1A1A"/>
          <w:sz w:val="22"/>
          <w:szCs w:val="22"/>
        </w:rPr>
        <w:t xml:space="preserve">Deferred to a post-launch Phase 5. The MVP is web-only (responsive, mobile-friendly).</w:t>
      </w:r>
    </w:p>
    <w:p>
      <w:pPr>
        <w:pStyle w:val="ListParagraph"/>
        <w:numPr>
          <w:ilvl w:val="0"/>
          <w:numId w:val="1"/>
        </w:numPr>
        <w:spacing w:after="80" w:line="300" w:lineRule="auto"/>
        <w:jc w:val="left"/>
      </w:pPr>
      <w:r>
        <w:rPr>
          <w:rFonts w:ascii="Calibri"/>
          <w:b/>
          <w:bCs/>
          <w:color w:val="1A1A1A"/>
          <w:sz w:val="22"/>
          <w:szCs w:val="22"/>
        </w:rPr>
        <w:t xml:space="preserve">Assay service coordination, armored transport booking, vault management, insurance referral: </w:t>
      </w:r>
      <w:r>
        <w:rPr>
          <w:rFonts w:ascii="Calibri"/>
          <w:color w:val="1A1A1A"/>
          <w:sz w:val="22"/>
          <w:szCs w:val="22"/>
        </w:rPr>
        <w:t xml:space="preserve">Deferred to Phase 3 Value-Added Services. The MVP supports upload of externally-produced assay certificates but does not itself request or coordinate assays.</w:t>
      </w:r>
    </w:p>
    <w:p>
      <w:pPr>
        <w:pStyle w:val="ListParagraph"/>
        <w:numPr>
          <w:ilvl w:val="0"/>
          <w:numId w:val="1"/>
        </w:numPr>
        <w:spacing w:after="80" w:line="300" w:lineRule="auto"/>
        <w:jc w:val="left"/>
      </w:pPr>
      <w:r>
        <w:rPr>
          <w:rFonts w:ascii="Calibri"/>
          <w:b/>
          <w:bCs/>
          <w:color w:val="1A1A1A"/>
          <w:sz w:val="22"/>
          <w:szCs w:val="22"/>
        </w:rPr>
        <w:t xml:space="preserve">Market intelligence dashboard, AI price prediction, fraud/collusion detection, regional demand forecasting, sale-timing recommendations: </w:t>
      </w:r>
      <w:r>
        <w:rPr>
          <w:rFonts w:ascii="Calibri"/>
          <w:color w:val="1A1A1A"/>
          <w:sz w:val="22"/>
          <w:szCs w:val="22"/>
        </w:rPr>
        <w:t xml:space="preserve">Deferred to Phase 4 Analytics. The MVP data model is designed to support these, but the features themselves are not built.</w:t>
      </w:r>
    </w:p>
    <w:p>
      <w:pPr>
        <w:pStyle w:val="ListParagraph"/>
        <w:numPr>
          <w:ilvl w:val="0"/>
          <w:numId w:val="1"/>
        </w:numPr>
        <w:spacing w:after="80" w:line="300" w:lineRule="auto"/>
        <w:jc w:val="left"/>
      </w:pPr>
      <w:r>
        <w:rPr>
          <w:rFonts w:ascii="Calibri"/>
          <w:b/>
          <w:bCs/>
          <w:color w:val="1A1A1A"/>
          <w:sz w:val="22"/>
          <w:szCs w:val="22"/>
        </w:rPr>
        <w:t xml:space="preserve">White-label versions for other commodity associations (cocoa, timber, diamonds): </w:t>
      </w:r>
      <w:r>
        <w:rPr>
          <w:rFonts w:ascii="Calibri"/>
          <w:color w:val="1A1A1A"/>
          <w:sz w:val="22"/>
          <w:szCs w:val="22"/>
        </w:rPr>
        <w:t xml:space="preserve">Deferred to a future strategic expansion; not budgeted in this Charter.</w:t>
      </w:r>
    </w:p>
    <w:p>
      <w:pPr>
        <w:pStyle w:val="ListParagraph"/>
        <w:numPr>
          <w:ilvl w:val="0"/>
          <w:numId w:val="1"/>
        </w:numPr>
        <w:spacing w:after="80" w:line="300" w:lineRule="auto"/>
        <w:jc w:val="left"/>
      </w:pPr>
      <w:r>
        <w:rPr>
          <w:rFonts w:ascii="Calibri"/>
          <w:b/>
          <w:bCs/>
          <w:color w:val="1A1A1A"/>
          <w:sz w:val="22"/>
          <w:szCs w:val="22"/>
        </w:rPr>
        <w:t xml:space="preserve">ERP integrations (SAP, Oracle, NetSuite) and bank API marketplaces: </w:t>
      </w:r>
      <w:r>
        <w:rPr>
          <w:rFonts w:ascii="Calibri"/>
          <w:color w:val="1A1A1A"/>
          <w:sz w:val="22"/>
          <w:szCs w:val="22"/>
        </w:rPr>
        <w:t xml:space="preserve">Out-of-Scope. The MVP exposes no public API; Tier 1 Enterprise buyers receive API access only at the Enterprise subscription tier (post-launch).</w:t>
      </w:r>
    </w:p>
    <w:p>
      <w:pPr>
        <w:pStyle w:val="ListParagraph"/>
        <w:numPr>
          <w:ilvl w:val="0"/>
          <w:numId w:val="1"/>
        </w:numPr>
        <w:spacing w:after="80" w:line="300" w:lineRule="auto"/>
        <w:jc w:val="left"/>
      </w:pPr>
      <w:r>
        <w:rPr>
          <w:rFonts w:ascii="Calibri"/>
          <w:b/>
          <w:bCs/>
          <w:color w:val="1A1A1A"/>
          <w:sz w:val="22"/>
          <w:szCs w:val="22"/>
        </w:rPr>
        <w:t xml:space="preserve">Offline desktop support and offline-first web: </w:t>
      </w:r>
      <w:r>
        <w:rPr>
          <w:rFonts w:ascii="Calibri"/>
          <w:color w:val="1A1A1A"/>
          <w:sz w:val="22"/>
          <w:szCs w:val="22"/>
        </w:rPr>
        <w:t xml:space="preserve">Out-of-Scope. The MVP requires internet connectivity; the regulatory workflow assumes real-time Chamber approval.</w:t>
      </w:r>
    </w:p>
    <w:p>
      <w:pPr>
        <w:pStyle w:val="Heading3"/>
        <w:spacing w:after="120" w:before="240" w:line="320" w:lineRule="atLeast"/>
      </w:pPr>
      <w:bookmarkStart w:id="100052" w:name="_Toc100052"/>
      <w:r>
        <w:rPr>
          <w:rFonts w:ascii="Calibri"/>
          <w:b/>
          <w:bCs/>
          <w:color w:val="1A1A1A"/>
          <w:sz w:val="24"/>
          <w:szCs w:val="24"/>
        </w:rPr>
        <w:t xml:space="preserve">4.3 Key Deliverables</w:t>
      </w:r>
      <w:bookmarkEnd w:id="100052"/>
    </w:p>
    <w:p>
      <w:pPr>
        <w:keepNext/>
        <w:spacing w:after="80" w:before="200" w:line="280" w:lineRule="auto"/>
        <w:jc w:val="left"/>
      </w:pPr>
      <w:r>
        <w:rPr>
          <w:rFonts w:ascii="Calibri"/>
          <w:b/>
          <w:bCs/>
          <w:color w:val="1A1A1A"/>
          <w:sz w:val="22"/>
          <w:szCs w:val="22"/>
        </w:rPr>
        <w:t xml:space="preserve">Table 4.2. </w:t>
      </w:r>
      <w:r>
        <w:rPr>
          <w:rFonts w:ascii="Calibri"/>
          <w:b/>
          <w:bCs/>
          <w:color w:val="1A1A1A"/>
          <w:sz w:val="22"/>
          <w:szCs w:val="22"/>
        </w:rPr>
        <w:t xml:space="preserve">Key Deliverables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Deliverable</w:t>
            </w:r>
          </w:p>
        </w:tc>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Format</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Owner</w:t>
            </w:r>
          </w:p>
        </w:tc>
        <w:tc>
          <w:tcPr>
            <w:tcW w:type="pct" w:w="2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Acceptance Criterion</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Working MVP software</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Production deployment on AWS Ghana (af-west-1)</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O1–O6 objectives met</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Technical documentation</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README + architecture decision records + runbooks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Reviewed and signed off by Lead Engineer</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Member onboarding documentation</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PDF + in-app help centre (English + Twi)</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Reviewed by Chamber + 3 pilot members</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certification package</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 2 Type II report (year 1)</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auditor</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Report issued by 30 Sep 2028 (O7)</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GoldBod Act 1140 compliance review</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counsel memo + GoldBod liaison sign-off</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counsel + PM</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Signed off before M3 Development begins</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Training materials</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Video walkthroughs + live training sessions ×3 (Accra, Kumasi, Tarkwa)</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80% pilot members complete onboarding within 14 days</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Source code repository</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GitHub Enterprise, with CI/CD</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All code reviewed; security scan clean</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Audit-log design document</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Architecture decision record pre-validated against LBMA RGG</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Lead Backend Engineer</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Reviewed by external security auditor + LBMA-aligned auditor</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 partnership contract</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Signed 5-year revenue-share agreement</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Smart Innovations CEO + Chamber President</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Signed before MVP launch</w:t>
            </w:r>
          </w:p>
        </w:tc>
      </w:tr>
    </w:tbl>
    <w:p>
      <w:pPr>
        <w:keepNext/>
        <w:spacing w:after="200" w:before="60" w:line="280" w:lineRule="auto"/>
        <w:jc w:val="left"/>
      </w:pPr>
      <w:r>
        <w:rPr>
          <w:rFonts w:ascii="Calibri"/>
          <w:b/>
          <w:bCs/>
          <w:color w:val="5A6068"/>
          <w:sz w:val="18"/>
          <w:szCs w:val="18"/>
        </w:rPr>
        <w:t xml:space="preserve">Table 4.2. </w:t>
      </w:r>
      <w:r>
        <w:rPr>
          <w:rFonts w:ascii="Calibri"/>
          <w:i/>
          <w:iCs/>
          <w:color w:val="5A6068"/>
          <w:sz w:val="18"/>
          <w:szCs w:val="18"/>
        </w:rPr>
        <w:t xml:space="preserve">Nine deliverables (one added: GoldBod Act 1140 compliance review). The Charter is not complete until each deliverable has met its acceptance criterion.</w:t>
      </w:r>
    </w:p>
    <w:p>
      <w:pPr>
        <w:pStyle w:val="Heading2"/>
        <w:spacing w:after="160" w:before="360" w:line="340" w:lineRule="atLeast"/>
      </w:pPr>
      <w:bookmarkStart w:id="100053" w:name="_Toc100053"/>
      <w:r>
        <w:rPr>
          <w:rFonts w:ascii="Calibri"/>
          <w:b/>
          <w:bCs/>
          <w:color w:val="1A1A1A"/>
          <w:sz w:val="28"/>
          <w:szCs w:val="28"/>
        </w:rPr>
        <w:t xml:space="preserve">5. Stakeholders &amp; Governance</w:t>
      </w:r>
      <w:bookmarkEnd w:id="100053"/>
    </w:p>
    <w:p>
      <w:pPr>
        <w:spacing w:after="140" w:line="312" w:lineRule="auto"/>
        <w:jc w:val="both"/>
      </w:pPr>
      <w:r>
        <w:rPr>
          <w:rFonts w:ascii="Calibri"/>
          <w:color w:val="1A1A1A"/>
          <w:sz w:val="22"/>
          <w:szCs w:val="22"/>
        </w:rPr>
        <w:t xml:space="preserve">Governance is the structure that converts a Charter from a planning document into a decision-making authority. The Sponsor is the single point of accountability for budget and scope; the PM is the single point of accountability for delivery. The Steering Committee meets monthly and is the escalation path for any decision above the PM's authority level.</w:t>
      </w:r>
    </w:p>
    <w:p>
      <w:pPr>
        <w:pStyle w:val="Heading3"/>
        <w:spacing w:after="120" w:before="240" w:line="320" w:lineRule="atLeast"/>
      </w:pPr>
      <w:bookmarkStart w:id="100054" w:name="_Toc100054"/>
      <w:r>
        <w:rPr>
          <w:rFonts w:ascii="Calibri"/>
          <w:b/>
          <w:bCs/>
          <w:color w:val="1A1A1A"/>
          <w:sz w:val="24"/>
          <w:szCs w:val="24"/>
        </w:rPr>
        <w:t xml:space="preserve">5.1 Sponsor</w:t>
      </w:r>
      <w:bookmarkEnd w:id="100054"/>
    </w:p>
    <w:p>
      <w:pPr>
        <w:pStyle w:val="ListParagraph"/>
        <w:numPr>
          <w:ilvl w:val="0"/>
          <w:numId w:val="1"/>
        </w:numPr>
        <w:spacing w:after="80" w:line="300" w:lineRule="auto"/>
        <w:jc w:val="left"/>
      </w:pPr>
      <w:r>
        <w:rPr>
          <w:rFonts w:ascii="Calibri"/>
          <w:b/>
          <w:bCs/>
          <w:color w:val="1A1A1A"/>
          <w:sz w:val="22"/>
          <w:szCs w:val="22"/>
        </w:rPr>
        <w:t xml:space="preserve">Name: </w:t>
      </w:r>
      <w:r>
        <w:rPr>
          <w:rFonts w:ascii="Calibri"/>
          <w:color w:val="1A1A1A"/>
          <w:sz w:val="22"/>
          <w:szCs w:val="22"/>
        </w:rPr>
        <w:t xml:space="preserve">【Sponsor name — to be filled in before sign-off】</w:t>
      </w:r>
    </w:p>
    <w:p>
      <w:pPr>
        <w:pStyle w:val="ListParagraph"/>
        <w:numPr>
          <w:ilvl w:val="0"/>
          <w:numId w:val="1"/>
        </w:numPr>
        <w:spacing w:after="80" w:line="300" w:lineRule="auto"/>
        <w:jc w:val="left"/>
      </w:pPr>
      <w:r>
        <w:rPr>
          <w:rFonts w:ascii="Calibri"/>
          <w:b/>
          <w:bCs/>
          <w:color w:val="1A1A1A"/>
          <w:sz w:val="22"/>
          <w:szCs w:val="22"/>
        </w:rPr>
        <w:t xml:space="preserve">Title: </w:t>
      </w:r>
      <w:r>
        <w:rPr>
          <w:rFonts w:ascii="Calibri"/>
          <w:color w:val="1A1A1A"/>
          <w:sz w:val="22"/>
          <w:szCs w:val="22"/>
        </w:rPr>
        <w:t xml:space="preserve">Chief Executive Officer, Smart Innovations Ghana Limited</w:t>
      </w:r>
    </w:p>
    <w:p>
      <w:pPr>
        <w:pStyle w:val="ListParagraph"/>
        <w:numPr>
          <w:ilvl w:val="0"/>
          <w:numId w:val="1"/>
        </w:numPr>
        <w:spacing w:after="80" w:line="300" w:lineRule="auto"/>
        <w:jc w:val="left"/>
      </w:pPr>
      <w:r>
        <w:rPr>
          <w:rFonts w:ascii="Calibri"/>
          <w:b/>
          <w:bCs/>
          <w:color w:val="1A1A1A"/>
          <w:sz w:val="22"/>
          <w:szCs w:val="22"/>
        </w:rPr>
        <w:t xml:space="preserve">Budget authority: </w:t>
      </w:r>
      <w:r>
        <w:rPr>
          <w:rFonts w:ascii="Calibri"/>
          <w:color w:val="1A1A1A"/>
          <w:sz w:val="22"/>
          <w:szCs w:val="22"/>
        </w:rPr>
        <w:t xml:space="preserve">Full authority over the US$450,000 CapEx ceiling (with the US$13,450 incremental for GoldBod integration pending Sponsor approval per Section 7.2) and the 18-month OpEx runway; authority to approve changes up to US$50K cumulative variance without Steering Committee escalation.</w:t>
      </w:r>
    </w:p>
    <w:p>
      <w:pPr>
        <w:pStyle w:val="Heading3"/>
        <w:spacing w:after="120" w:before="240" w:line="320" w:lineRule="atLeast"/>
      </w:pPr>
      <w:bookmarkStart w:id="100055" w:name="_Toc100055"/>
      <w:r>
        <w:rPr>
          <w:rFonts w:ascii="Calibri"/>
          <w:b/>
          <w:bCs/>
          <w:color w:val="1A1A1A"/>
          <w:sz w:val="24"/>
          <w:szCs w:val="24"/>
        </w:rPr>
        <w:t xml:space="preserve">5.2 Project Manager / Lead</w:t>
      </w:r>
      <w:bookmarkEnd w:id="100055"/>
    </w:p>
    <w:p>
      <w:pPr>
        <w:pStyle w:val="ListParagraph"/>
        <w:numPr>
          <w:ilvl w:val="0"/>
          <w:numId w:val="1"/>
        </w:numPr>
        <w:spacing w:after="80" w:line="300" w:lineRule="auto"/>
        <w:jc w:val="left"/>
      </w:pPr>
      <w:r>
        <w:rPr>
          <w:rFonts w:ascii="Calibri"/>
          <w:b/>
          <w:bCs/>
          <w:color w:val="1A1A1A"/>
          <w:sz w:val="22"/>
          <w:szCs w:val="22"/>
        </w:rPr>
        <w:t xml:space="preserve">Name: </w:t>
      </w:r>
      <w:r>
        <w:rPr>
          <w:rFonts w:ascii="Calibri"/>
          <w:color w:val="1A1A1A"/>
          <w:sz w:val="22"/>
          <w:szCs w:val="22"/>
        </w:rPr>
        <w:t xml:space="preserve">【PM name — to be filled in before sign-off】</w:t>
      </w:r>
    </w:p>
    <w:p>
      <w:pPr>
        <w:pStyle w:val="ListParagraph"/>
        <w:numPr>
          <w:ilvl w:val="0"/>
          <w:numId w:val="1"/>
        </w:numPr>
        <w:spacing w:after="80" w:line="300" w:lineRule="auto"/>
        <w:jc w:val="left"/>
      </w:pPr>
      <w:r>
        <w:rPr>
          <w:rFonts w:ascii="Calibri"/>
          <w:b/>
          <w:bCs/>
          <w:color w:val="1A1A1A"/>
          <w:sz w:val="22"/>
          <w:szCs w:val="22"/>
        </w:rPr>
        <w:t xml:space="preserve">Title: </w:t>
      </w:r>
      <w:r>
        <w:rPr>
          <w:rFonts w:ascii="Calibri"/>
          <w:color w:val="1A1A1A"/>
          <w:sz w:val="22"/>
          <w:szCs w:val="22"/>
        </w:rPr>
        <w:t xml:space="preserve">Project Manager, AurumXchange Initiative (Smart Innovations Ghana Limited)</w:t>
      </w:r>
    </w:p>
    <w:p>
      <w:pPr>
        <w:pStyle w:val="ListParagraph"/>
        <w:numPr>
          <w:ilvl w:val="0"/>
          <w:numId w:val="1"/>
        </w:numPr>
        <w:spacing w:after="80" w:line="300" w:lineRule="auto"/>
        <w:jc w:val="left"/>
      </w:pPr>
      <w:r>
        <w:rPr>
          <w:rFonts w:ascii="Calibri"/>
          <w:b/>
          <w:bCs/>
          <w:color w:val="1A1A1A"/>
          <w:sz w:val="22"/>
          <w:szCs w:val="22"/>
        </w:rPr>
        <w:t xml:space="preserve">Authority level: </w:t>
      </w:r>
      <w:r>
        <w:rPr>
          <w:rFonts w:ascii="Calibri"/>
          <w:color w:val="1A1A1A"/>
          <w:sz w:val="22"/>
          <w:szCs w:val="22"/>
        </w:rPr>
        <w:t xml:space="preserve">Authority to expend resources within the US$463,450 CapEx envelope (assuming Sponsor approves the GoldBod incremental); authority to draw down contingency up to US$20K without Sponsor approval; authority to make day-to-day scope and prioritization decisions; no authority to approve changes &gt; US$10K CapEx or &gt; 2 weeks schedule slip.</w:t>
      </w:r>
    </w:p>
    <w:p>
      <w:pPr>
        <w:pStyle w:val="Heading3"/>
        <w:spacing w:after="120" w:before="240" w:line="320" w:lineRule="atLeast"/>
      </w:pPr>
      <w:bookmarkStart w:id="100056" w:name="_Toc100056"/>
      <w:r>
        <w:rPr>
          <w:rFonts w:ascii="Calibri"/>
          <w:b/>
          <w:bCs/>
          <w:color w:val="1A1A1A"/>
          <w:sz w:val="24"/>
          <w:szCs w:val="24"/>
        </w:rPr>
        <w:t xml:space="preserve">5.3 Key Stakeholders &amp; Roles</w:t>
      </w:r>
      <w:bookmarkEnd w:id="100056"/>
    </w:p>
    <w:p>
      <w:pPr>
        <w:keepNext/>
        <w:spacing w:after="80" w:before="200" w:line="280" w:lineRule="auto"/>
        <w:jc w:val="left"/>
      </w:pPr>
      <w:r>
        <w:rPr>
          <w:rFonts w:ascii="Calibri"/>
          <w:b/>
          <w:bCs/>
          <w:color w:val="1A1A1A"/>
          <w:sz w:val="22"/>
          <w:szCs w:val="22"/>
        </w:rPr>
        <w:t xml:space="preserve">Table 4.3. </w:t>
      </w:r>
      <w:r>
        <w:rPr>
          <w:rFonts w:ascii="Calibri"/>
          <w:b/>
          <w:bCs/>
          <w:color w:val="1A1A1A"/>
          <w:sz w:val="22"/>
          <w:szCs w:val="22"/>
        </w:rPr>
        <w:t xml:space="preserve">Key Stakeholders — RACI Summary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Role</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Name</w:t>
            </w:r>
          </w:p>
        </w:tc>
        <w:tc>
          <w:tcPr>
            <w:tcW w:type="pct" w:w="3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Responsibility</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RACI on Major Decisions</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Sponsor (CEO, Smart Innovations Ghana Limited)</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【Sponsor name】</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Budget authority; ultimate accountability</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Accountable for budget, scope, Charter sign-off</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Project Manager</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name】</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Delivery; day-to-day scope &amp; prioritization</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Responsible for execution; Consulted on scope changes</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Product Owner / Head of Product</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【PO name】</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Roadmap; requirements; Chamber liaison</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Responsible for backlog; Accountable for acceptance</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Scrum Master (0.5 FTE)</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【SM name】</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Sprint process; impediment removal</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Responsible for sprint cadence</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Lead Engineer / Tech Lead</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 name】</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Architecture; code quality; technical risk</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Consulted on all technical decisions</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QA Lead</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【QA name】</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Test strategy; quality gate enforcement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Responsible for go/no-go on each release</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 name】</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Technical authority; vendor selection</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Accountable for architecture &amp; security</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Counsel (Ghana-barred)</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【Counsel firm】</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GoldBod Act 1140 compliance review; DPA 2012 compliance; member terms</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Consulted on regulatory decisions</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 Representative (Steering Committee)</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Nana Chairperson or delegate</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rules; member verification; trade approval policy</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Consulted on Chamber-affecting decisions</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End-User Representatives (3 pilot members)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Abena Owusu (Tarkwa, small-scale), Kofi Mensah (Kumasi, exporter), + 1 Tier 1 (Swiss refiner)</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Pilot feedback; UAT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Informed + Consulted on UX decisions</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Finance Controller</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【FC name】</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Variance reporting; accounting treatment</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Responsible for monthly variance report</w:t>
            </w:r>
          </w:p>
        </w:tc>
      </w:tr>
    </w:tbl>
    <w:p>
      <w:pPr>
        <w:keepNext/>
        <w:spacing w:after="200" w:before="60" w:line="280" w:lineRule="auto"/>
        <w:jc w:val="left"/>
      </w:pPr>
      <w:r>
        <w:rPr>
          <w:rFonts w:ascii="Calibri"/>
          <w:b/>
          <w:bCs/>
          <w:color w:val="5A6068"/>
          <w:sz w:val="18"/>
          <w:szCs w:val="18"/>
        </w:rPr>
        <w:t xml:space="preserve">Table 4.3. </w:t>
      </w:r>
      <w:r>
        <w:rPr>
          <w:rFonts w:ascii="Calibri"/>
          <w:i/>
          <w:iCs/>
          <w:color w:val="5A6068"/>
          <w:sz w:val="18"/>
          <w:szCs w:val="18"/>
        </w:rPr>
        <w:t xml:space="preserve">Eleven stakeholders (one added: External Counsel for GoldBod Act 1140 compliance). End-user representatives are now named against real Ghanaian gold-trading locations (Tarkwa, Kumasi) plus a Swiss refiner persona.</w:t>
      </w:r>
    </w:p>
    <w:p>
      <w:pPr>
        <w:pStyle w:val="Heading3"/>
        <w:spacing w:after="120" w:before="240" w:line="320" w:lineRule="atLeast"/>
      </w:pPr>
      <w:bookmarkStart w:id="100057" w:name="_Toc100057"/>
      <w:r>
        <w:rPr>
          <w:rFonts w:ascii="Calibri"/>
          <w:b/>
          <w:bCs/>
          <w:color w:val="1A1A1A"/>
          <w:sz w:val="24"/>
          <w:szCs w:val="24"/>
        </w:rPr>
        <w:t xml:space="preserve">5.4 Decision-Making Structure</w:t>
      </w:r>
      <w:bookmarkEnd w:id="100057"/>
    </w:p>
    <w:p>
      <w:pPr>
        <w:pStyle w:val="ListParagraph"/>
        <w:numPr>
          <w:ilvl w:val="0"/>
          <w:numId w:val="1"/>
        </w:numPr>
        <w:spacing w:after="80" w:line="300" w:lineRule="auto"/>
        <w:jc w:val="left"/>
      </w:pPr>
      <w:r>
        <w:rPr>
          <w:rFonts w:ascii="Calibri"/>
          <w:b/>
          <w:bCs/>
          <w:color w:val="1A1A1A"/>
          <w:sz w:val="22"/>
          <w:szCs w:val="22"/>
        </w:rPr>
        <w:t xml:space="preserve">Steering Committee cadence: </w:t>
      </w:r>
      <w:r>
        <w:rPr>
          <w:rFonts w:ascii="Calibri"/>
          <w:color w:val="1A1A1A"/>
          <w:sz w:val="22"/>
          <w:szCs w:val="22"/>
        </w:rPr>
        <w:t xml:space="preserve">Monthly, 90 minutes, first Tuesday of each month. Attendees: Sponsor, PM, CTO, Head of Product, Chamber Representative, Finance Controller, External Counsel (when regulatory items on agenda).</w:t>
      </w:r>
    </w:p>
    <w:p>
      <w:pPr>
        <w:pStyle w:val="ListParagraph"/>
        <w:numPr>
          <w:ilvl w:val="0"/>
          <w:numId w:val="1"/>
        </w:numPr>
        <w:spacing w:after="80" w:line="300" w:lineRule="auto"/>
        <w:jc w:val="left"/>
      </w:pPr>
      <w:r>
        <w:rPr>
          <w:rFonts w:ascii="Calibri"/>
          <w:b/>
          <w:bCs/>
          <w:color w:val="1A1A1A"/>
          <w:sz w:val="22"/>
          <w:szCs w:val="22"/>
        </w:rPr>
        <w:t xml:space="preserve">Sprint cadence: </w:t>
      </w:r>
      <w:r>
        <w:rPr>
          <w:rFonts w:ascii="Calibri"/>
          <w:color w:val="1A1A1A"/>
          <w:sz w:val="22"/>
          <w:szCs w:val="22"/>
        </w:rPr>
        <w:t xml:space="preserve">Two-week sprints; sprint review on the second Friday; sprint retrospective on the same Friday; backlog grooming on the Wednesday before sprint planning.</w:t>
      </w:r>
    </w:p>
    <w:p>
      <w:pPr>
        <w:pStyle w:val="ListParagraph"/>
        <w:numPr>
          <w:ilvl w:val="0"/>
          <w:numId w:val="1"/>
        </w:numPr>
        <w:spacing w:after="80" w:line="300" w:lineRule="auto"/>
        <w:jc w:val="left"/>
      </w:pPr>
      <w:r>
        <w:rPr>
          <w:rFonts w:ascii="Calibri"/>
          <w:b/>
          <w:bCs/>
          <w:color w:val="1A1A1A"/>
          <w:sz w:val="22"/>
          <w:szCs w:val="22"/>
        </w:rPr>
        <w:t xml:space="preserve">Escalation path: </w:t>
      </w:r>
      <w:r>
        <w:rPr>
          <w:rFonts w:ascii="Calibri"/>
          <w:color w:val="1A1A1A"/>
          <w:sz w:val="22"/>
          <w:szCs w:val="22"/>
        </w:rPr>
        <w:t xml:space="preserve">Team member → PM (same day) → Sponsor (within 24 hours if budget/scope) → Steering Committee (within 5 business days if &gt; US$50K or &gt; 2 weeks slip).</w:t>
      </w:r>
    </w:p>
    <w:p>
      <w:pPr>
        <w:pStyle w:val="ListParagraph"/>
        <w:numPr>
          <w:ilvl w:val="0"/>
          <w:numId w:val="1"/>
        </w:numPr>
        <w:spacing w:after="80" w:line="300" w:lineRule="auto"/>
        <w:jc w:val="left"/>
      </w:pPr>
      <w:r>
        <w:rPr>
          <w:rFonts w:ascii="Calibri"/>
          <w:b/>
          <w:bCs/>
          <w:color w:val="1A1A1A"/>
          <w:sz w:val="22"/>
          <w:szCs w:val="22"/>
        </w:rPr>
        <w:t xml:space="preserve">Chamber trade-approval policy: </w:t>
      </w:r>
      <w:r>
        <w:rPr>
          <w:rFonts w:ascii="Calibri"/>
          <w:color w:val="1A1A1A"/>
          <w:sz w:val="22"/>
          <w:szCs w:val="22"/>
        </w:rPr>
        <w:t xml:space="preserve">Chamber has authority to approve or reject each trade above the platform's auto-approval threshold (initially US$50,000); the Chamber's trade-approval workflow is integrated into the platform but the approval decision itself is the Chamber's, not Smart Innovations'.</w:t>
      </w:r>
    </w:p>
    <w:p>
      <w:pPr>
        <w:pStyle w:val="ListParagraph"/>
        <w:numPr>
          <w:ilvl w:val="0"/>
          <w:numId w:val="1"/>
        </w:numPr>
        <w:spacing w:after="80" w:line="300" w:lineRule="auto"/>
        <w:jc w:val="left"/>
      </w:pPr>
      <w:r>
        <w:rPr>
          <w:rFonts w:ascii="Calibri"/>
          <w:b/>
          <w:bCs/>
          <w:color w:val="1A1A1A"/>
          <w:sz w:val="22"/>
          <w:szCs w:val="22"/>
        </w:rPr>
        <w:t xml:space="preserve">GoldBod regulatory liaison: </w:t>
      </w:r>
      <w:r>
        <w:rPr>
          <w:rFonts w:ascii="Calibri"/>
          <w:color w:val="1A1A1A"/>
          <w:sz w:val="22"/>
          <w:szCs w:val="22"/>
        </w:rPr>
        <w:t xml:space="preserve">External Counsel maintains the GoldBod relationship; any change to Act 1140 implementing regulations or the GoldBod API specification triggers immediate Steering Committee notification per Table 3.8.</w:t>
      </w:r>
    </w:p>
    <w:p>
      <w:pPr>
        <w:pStyle w:val="Heading2"/>
        <w:spacing w:after="160" w:before="360" w:line="340" w:lineRule="atLeast"/>
      </w:pPr>
      <w:bookmarkStart w:id="100058" w:name="_Toc100058"/>
      <w:r>
        <w:rPr>
          <w:rFonts w:ascii="Calibri"/>
          <w:b/>
          <w:bCs/>
          <w:color w:val="1A1A1A"/>
          <w:sz w:val="28"/>
          <w:szCs w:val="28"/>
        </w:rPr>
        <w:t xml:space="preserve">6. High-Level Timeline &amp; Milestones</w:t>
      </w:r>
      <w:bookmarkEnd w:id="100058"/>
    </w:p>
    <w:p>
      <w:pPr>
        <w:spacing w:after="140" w:line="312" w:lineRule="auto"/>
        <w:jc w:val="both"/>
      </w:pPr>
      <w:r>
        <w:rPr>
          <w:rFonts w:ascii="Calibri"/>
          <w:color w:val="1A1A1A"/>
          <w:sz w:val="22"/>
          <w:szCs w:val="22"/>
        </w:rPr>
        <w:t xml:space="preserve">The 13-month build is structured in six phases: Discovery, Design, Development, QA, UAT, and Launch. The sprint cycle is two weeks. Each phase has a single accountable owner and an exit criterion that must be met before the next phase begins; missing a phase exit criterion is a Steering Committee escalation, not a re-planning exercise. The 13-month build (vs the originally assumed 12) accommodates the GoldBod Act 1140 integration requirement and the SOC 2 readiness engagement, both of which emerged as hard constraints after April 2025.</w:t>
      </w:r>
    </w:p>
    <w:p>
      <w:pPr>
        <w:keepNext/>
        <w:spacing w:after="80" w:before="200" w:line="280" w:lineRule="auto"/>
        <w:jc w:val="left"/>
      </w:pPr>
      <w:r>
        <w:rPr>
          <w:rFonts w:ascii="Calibri"/>
          <w:b/>
          <w:bCs/>
          <w:color w:val="1A1A1A"/>
          <w:sz w:val="22"/>
          <w:szCs w:val="22"/>
        </w:rPr>
        <w:t xml:space="preserve">Table 4.4. </w:t>
      </w:r>
      <w:r>
        <w:rPr>
          <w:rFonts w:ascii="Calibri"/>
          <w:b/>
          <w:bCs/>
          <w:color w:val="1A1A1A"/>
          <w:sz w:val="22"/>
          <w:szCs w:val="22"/>
        </w:rPr>
        <w:t xml:space="preserve">Phase Milestones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Phase</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Window</w:t>
            </w:r>
          </w:p>
        </w:tc>
        <w:tc>
          <w:tcPr>
            <w:tcW w:type="pct" w:w="3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Exit Criterion</w:t>
            </w:r>
          </w:p>
        </w:tc>
        <w:tc>
          <w:tcPr>
            <w:tcW w:type="pct" w:w="1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Owner</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M0 — Charter sign-off</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By 15 Aug 2026</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Signed Charter + CapEx released (US$463,450 pending GoldBod incremental approval)</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Sponsor</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M1 — Discovery</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 Aug – 30 Sep 2026</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Requirements backlog + technical spike results + Smile Identity KYC integration proof-of-concept + GoldBod Act 1140 compliance review complete</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 + External Counsel</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M2 — Design</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 Oct – 30 Nov 2026</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UX wireframes + audit-log architecture decision record (pre-validated against LBMA RGG) + Chamber sign-off on trade-approval workflow + GoldBod liaison sign-off on integration approach</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 + CTO</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M3 — Development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 Dec 2026 – 31 Jul 2027</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Phase 1 + Phase 2 features complete; CI/CD green; sandbox bank escrow integration verified (Stanbic Bank Ghana or Ecobank Ghana)</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M4 — QA</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 Aug – 31 Aug 2027</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Regression suite passing; pre-launch penetration test complete; 0 critical findings</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QA Lead</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M5 — UAT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 Sep – 20 Sep 2027</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 pilot members (Abena, Kofi, + 1 Tier 1) complete ≥ 1 trade end-to-end; NPS from pilot ≥ 30</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M6 — Launch</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30 September 2027 (Q3 2027)</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MVP live in production on AWS Ghana; first real gold trade settled via escrow</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 CTO</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M7 — SOC 2 Type II issued</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By 30 September 2028</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Auditor report issued</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auditor + CTO</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M8 — Phase 3 GoldBod + PMMC deep integration live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By 30 June 2028</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95% of small-scale-channel trades auto-routed through GoldBod workflow; PMMC release workflow automated end-to-end</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 + Head of Product</w:t>
            </w:r>
          </w:p>
        </w:tc>
      </w:tr>
    </w:tbl>
    <w:p>
      <w:pPr>
        <w:keepNext/>
        <w:spacing w:after="200" w:before="60" w:line="280" w:lineRule="auto"/>
        <w:jc w:val="left"/>
      </w:pPr>
      <w:r>
        <w:rPr>
          <w:rFonts w:ascii="Calibri"/>
          <w:b/>
          <w:bCs/>
          <w:color w:val="5A6068"/>
          <w:sz w:val="18"/>
          <w:szCs w:val="18"/>
        </w:rPr>
        <w:t xml:space="preserve">Table 4.4. </w:t>
      </w:r>
      <w:r>
        <w:rPr>
          <w:rFonts w:ascii="Calibri"/>
          <w:i/>
          <w:iCs/>
          <w:color w:val="5A6068"/>
          <w:sz w:val="18"/>
          <w:szCs w:val="18"/>
        </w:rPr>
        <w:t xml:space="preserve">Nine milestones. M6 Launch (30 Sep 2027) is the focal date. M8 (GoldBod + PMMC Phase 3 integration) is the new milestone added in this revision.</w:t>
      </w:r>
    </w:p>
    <w:p>
      <w:pPr>
        <w:spacing w:after="140" w:line="312" w:lineRule="auto"/>
        <w:jc w:val="both"/>
      </w:pPr>
      <w:r>
        <w:rPr>
          <w:rFonts w:ascii="Calibri"/>
          <w:color w:val="1A1A1A"/>
          <w:sz w:val="22"/>
          <w:szCs w:val="22"/>
        </w:rPr>
        <w:t xml:space="preserve">Date reconciliation note: the locked assumption was 'MVP launch Q1 2027.' On a 13-month build from an August 2026 Charter sign-off, the realistic launch window is Q3 2027 (30 September 2027). The original Q1 2027 target would have required an aggressive 6-month build, which is incompatible with the regulated nature of the platform — extended KYC integration, escrow bank onboarding, SOC 2 readiness, and (since April 2025) the GoldBod Act 1140 compliance review all require calendar time, not just engineering effort. The Charter therefore adopts Q3 2027 (30 September 2027) as the contractual launch date; the Financial Documentation's break-even at month 22 shifts accordingly to Q3 2029 (31 July 2029), not Q4 2028 as stated in the prior version of Table 3.7. This is the single reconciliation the Golden Thread must absorb — see the Golden Thread Validation section for the explicit reconciliation narrative.</w:t>
      </w:r>
    </w:p>
    <w:p>
      <w:pPr>
        <w:pStyle w:val="Heading2"/>
        <w:spacing w:after="160" w:before="360" w:line="340" w:lineRule="atLeast"/>
      </w:pPr>
      <w:bookmarkStart w:id="100059" w:name="_Toc100059"/>
      <w:r>
        <w:rPr>
          <w:rFonts w:ascii="Calibri"/>
          <w:b/>
          <w:bCs/>
          <w:color w:val="1A1A1A"/>
          <w:sz w:val="28"/>
          <w:szCs w:val="28"/>
        </w:rPr>
        <w:t xml:space="preserve">7. Resources</w:t>
      </w:r>
      <w:bookmarkEnd w:id="100059"/>
    </w:p>
    <w:p>
      <w:pPr>
        <w:pStyle w:val="Heading3"/>
        <w:spacing w:after="120" w:before="240" w:line="320" w:lineRule="atLeast"/>
      </w:pPr>
      <w:bookmarkStart w:id="100060" w:name="_Toc100060"/>
      <w:r>
        <w:rPr>
          <w:rFonts w:ascii="Calibri"/>
          <w:b/>
          <w:bCs/>
          <w:color w:val="1A1A1A"/>
          <w:sz w:val="24"/>
          <w:szCs w:val="24"/>
        </w:rPr>
        <w:t xml:space="preserve">7.1 Team Composition</w:t>
      </w:r>
      <w:bookmarkEnd w:id="100060"/>
    </w:p>
    <w:p>
      <w:pPr>
        <w:pStyle w:val="ListParagraph"/>
        <w:numPr>
          <w:ilvl w:val="0"/>
          <w:numId w:val="1"/>
        </w:numPr>
        <w:spacing w:after="80" w:line="300" w:lineRule="auto"/>
        <w:jc w:val="left"/>
      </w:pPr>
      <w:r>
        <w:rPr>
          <w:rFonts w:ascii="Calibri"/>
          <w:b/>
          <w:bCs/>
          <w:color w:val="1A1A1A"/>
          <w:sz w:val="22"/>
          <w:szCs w:val="22"/>
        </w:rPr>
        <w:t xml:space="preserve">12 FTE at peak build (December 2026 – July 2027): </w:t>
      </w:r>
      <w:r>
        <w:rPr>
          <w:rFonts w:ascii="Calibri"/>
          <w:color w:val="1A1A1A"/>
          <w:sz w:val="22"/>
          <w:szCs w:val="22"/>
        </w:rPr>
        <w:t xml:space="preserve">1 CTO (0.5 FTE), 1 Head of Product (1.0 FTE), 4 senior backend engineers (2.0 FTE during peak, 1.0 FTE earlier), 2 senior frontend engineers, 1 DevOps/SRE, 1 QA Lead (joined month 8), 1 UI/UX Designer (0.5 FTE × 6 months), 1 PM (0.5 FTE). Team based in Accra with a satellite presence in Kumasi for member proximity.</w:t>
      </w:r>
    </w:p>
    <w:p>
      <w:pPr>
        <w:pStyle w:val="ListParagraph"/>
        <w:numPr>
          <w:ilvl w:val="0"/>
          <w:numId w:val="1"/>
        </w:numPr>
        <w:spacing w:after="80" w:line="300" w:lineRule="auto"/>
        <w:jc w:val="left"/>
      </w:pPr>
      <w:r>
        <w:rPr>
          <w:rFonts w:ascii="Calibri"/>
          <w:b/>
          <w:bCs/>
          <w:color w:val="1A1A1A"/>
          <w:sz w:val="22"/>
          <w:szCs w:val="22"/>
        </w:rPr>
        <w:t xml:space="preserve">Post-launch (from October 2027): </w:t>
      </w:r>
      <w:r>
        <w:rPr>
          <w:rFonts w:ascii="Calibri"/>
          <w:color w:val="1A1A1A"/>
          <w:sz w:val="22"/>
          <w:szCs w:val="22"/>
        </w:rPr>
        <w:t xml:space="preserve">Retain 3 FTE for enhancements and incident response (1 backend, 1 frontend, 1 DevOps); add 2 Tier 1 support + 1 Customer Success Manager for a total of 6 FTE in steady-state operations. Engineering team scales back up to 8 FTE for Phase 3 build (Q1 2028), including GoldBod and PMMC API integration specialists.</w:t>
      </w:r>
    </w:p>
    <w:p>
      <w:pPr>
        <w:pStyle w:val="Heading3"/>
        <w:spacing w:after="120" w:before="240" w:line="320" w:lineRule="atLeast"/>
      </w:pPr>
      <w:bookmarkStart w:id="100061" w:name="_Toc100061"/>
      <w:r>
        <w:rPr>
          <w:rFonts w:ascii="Calibri"/>
          <w:b/>
          <w:bCs/>
          <w:color w:val="1A1A1A"/>
          <w:sz w:val="24"/>
          <w:szCs w:val="24"/>
        </w:rPr>
        <w:t xml:space="preserve">7.2 Estimated Budget Summary</w:t>
      </w:r>
      <w:bookmarkEnd w:id="100061"/>
    </w:p>
    <w:p>
      <w:pPr>
        <w:pStyle w:val="ListParagraph"/>
        <w:numPr>
          <w:ilvl w:val="0"/>
          <w:numId w:val="1"/>
        </w:numPr>
        <w:spacing w:after="80" w:line="300" w:lineRule="auto"/>
        <w:jc w:val="left"/>
      </w:pPr>
      <w:r>
        <w:rPr>
          <w:rFonts w:ascii="Calibri"/>
          <w:b/>
          <w:bCs/>
          <w:color w:val="1A1A1A"/>
          <w:sz w:val="22"/>
          <w:szCs w:val="22"/>
        </w:rPr>
        <w:t xml:space="preserve">CapEx (build, 13 months): </w:t>
      </w:r>
      <w:r>
        <w:rPr>
          <w:rFonts w:ascii="Calibri"/>
          <w:color w:val="1A1A1A"/>
          <w:sz w:val="22"/>
          <w:szCs w:val="22"/>
        </w:rPr>
        <w:t xml:space="preserve">US$463,450 (per Table 3.1) — US$13,450 (2.9%) above the US$450,000 ceiling. The overrun is the GoldBod Act 1140 incremental (US$8,500 legal compliance review + US$4,000 extra integration prep). Sponsor may either (a) approve a US$13,450 ceiling increase to US$463,450, or (b) absorb the overrun from contingency (reducing contingency from US$60,450 to US$47,000). Recommended path: (a) ceiling increase, preserving full contingency for unknowns.</w:t>
      </w:r>
    </w:p>
    <w:p>
      <w:pPr>
        <w:pStyle w:val="ListParagraph"/>
        <w:numPr>
          <w:ilvl w:val="0"/>
          <w:numId w:val="1"/>
        </w:numPr>
        <w:spacing w:after="80" w:line="300" w:lineRule="auto"/>
        <w:jc w:val="left"/>
      </w:pPr>
      <w:r>
        <w:rPr>
          <w:rFonts w:ascii="Calibri"/>
          <w:b/>
          <w:bCs/>
          <w:color w:val="1A1A1A"/>
          <w:sz w:val="22"/>
          <w:szCs w:val="22"/>
        </w:rPr>
        <w:t xml:space="preserve">OpEx runway (18 months post-launch): </w:t>
      </w:r>
      <w:r>
        <w:rPr>
          <w:rFonts w:ascii="Calibri"/>
          <w:color w:val="1A1A1A"/>
          <w:sz w:val="22"/>
          <w:szCs w:val="22"/>
        </w:rPr>
        <w:t xml:space="preserve">Approximately US$715,000 (per Financial Doc Section B).</w:t>
      </w:r>
    </w:p>
    <w:p>
      <w:pPr>
        <w:pStyle w:val="ListParagraph"/>
        <w:numPr>
          <w:ilvl w:val="0"/>
          <w:numId w:val="1"/>
        </w:numPr>
        <w:spacing w:after="80" w:line="300" w:lineRule="auto"/>
        <w:jc w:val="left"/>
      </w:pPr>
      <w:r>
        <w:rPr>
          <w:rFonts w:ascii="Calibri"/>
          <w:b/>
          <w:bCs/>
          <w:color w:val="1A1A1A"/>
          <w:sz w:val="22"/>
          <w:szCs w:val="22"/>
        </w:rPr>
        <w:t xml:space="preserve">Total capital required to break-even: </w:t>
      </w:r>
      <w:r>
        <w:rPr>
          <w:rFonts w:ascii="Calibri"/>
          <w:color w:val="1A1A1A"/>
          <w:sz w:val="22"/>
          <w:szCs w:val="22"/>
        </w:rPr>
        <w:t xml:space="preserve">Approximately US$1,178,450 (US$463,450 CapEx + US$715,000 OpEx), plus a US$170,000 bridge between month 18 (runway end, Q1 2029) and month 22 (break-even, Q3 2029) — to be covered by a Series A round in month 18 (Q1 2029).</w:t>
      </w:r>
    </w:p>
    <w:p>
      <w:pPr>
        <w:pStyle w:val="Heading3"/>
        <w:spacing w:after="120" w:before="240" w:line="320" w:lineRule="atLeast"/>
      </w:pPr>
      <w:bookmarkStart w:id="100062" w:name="_Toc100062"/>
      <w:r>
        <w:rPr>
          <w:rFonts w:ascii="Calibri"/>
          <w:b/>
          <w:bCs/>
          <w:color w:val="1A1A1A"/>
          <w:sz w:val="24"/>
          <w:szCs w:val="24"/>
        </w:rPr>
        <w:t xml:space="preserve">7.3 Tools, Infrastructure &amp; Third-Party Dependencies</w:t>
      </w:r>
      <w:bookmarkEnd w:id="100062"/>
    </w:p>
    <w:p>
      <w:pPr>
        <w:pStyle w:val="ListParagraph"/>
        <w:numPr>
          <w:ilvl w:val="0"/>
          <w:numId w:val="1"/>
        </w:numPr>
        <w:spacing w:after="80" w:line="300" w:lineRule="auto"/>
        <w:jc w:val="left"/>
      </w:pPr>
      <w:r>
        <w:rPr>
          <w:rFonts w:ascii="Calibri"/>
          <w:color w:val="1A1A1A"/>
          <w:sz w:val="22"/>
          <w:szCs w:val="22"/>
        </w:rPr>
        <w:t xml:space="preserve">Source control &amp; CI/CD: GitHub Enterprise, GitHub Actions; deployment via ArgoCD or AWS CodePipeline.</w:t>
      </w:r>
    </w:p>
    <w:p>
      <w:pPr>
        <w:pStyle w:val="ListParagraph"/>
        <w:numPr>
          <w:ilvl w:val="0"/>
          <w:numId w:val="1"/>
        </w:numPr>
        <w:spacing w:after="80" w:line="300" w:lineRule="auto"/>
        <w:jc w:val="left"/>
      </w:pPr>
      <w:r>
        <w:rPr>
          <w:rFonts w:ascii="Calibri"/>
          <w:color w:val="1A1A1A"/>
          <w:sz w:val="22"/>
          <w:szCs w:val="22"/>
        </w:rPr>
        <w:t xml:space="preserve">Project management: Jira + Confluence; sprint board, retros, and decision records all in Confluence.</w:t>
      </w:r>
    </w:p>
    <w:p>
      <w:pPr>
        <w:pStyle w:val="ListParagraph"/>
        <w:numPr>
          <w:ilvl w:val="0"/>
          <w:numId w:val="1"/>
        </w:numPr>
        <w:spacing w:after="80" w:line="300" w:lineRule="auto"/>
        <w:jc w:val="left"/>
      </w:pPr>
      <w:r>
        <w:rPr>
          <w:rFonts w:ascii="Calibri"/>
          <w:color w:val="1A1A1A"/>
          <w:sz w:val="22"/>
          <w:szCs w:val="22"/>
        </w:rPr>
        <w:t xml:space="preserve">Observability: Datadog (APM, logs, dashboards), Sentry (error tracking), Snyk (dependency security), GitHub Dependabot.</w:t>
      </w:r>
    </w:p>
    <w:p>
      <w:pPr>
        <w:pStyle w:val="ListParagraph"/>
        <w:numPr>
          <w:ilvl w:val="0"/>
          <w:numId w:val="1"/>
        </w:numPr>
        <w:spacing w:after="80" w:line="300" w:lineRule="auto"/>
        <w:jc w:val="left"/>
      </w:pPr>
      <w:r>
        <w:rPr>
          <w:rFonts w:ascii="Calibri"/>
          <w:color w:val="1A1A1A"/>
          <w:sz w:val="22"/>
          <w:szCs w:val="22"/>
        </w:rPr>
        <w:t xml:space="preserve">Cloud: AWS Ghana region (af-west-1, GA since 2021) for data residency per Ghana DPA 2012 (Act 843); DR to AWS af-south-1 (Cape Town).</w:t>
      </w:r>
    </w:p>
    <w:p>
      <w:pPr>
        <w:pStyle w:val="ListParagraph"/>
        <w:numPr>
          <w:ilvl w:val="0"/>
          <w:numId w:val="1"/>
        </w:numPr>
        <w:spacing w:after="80" w:line="300" w:lineRule="auto"/>
        <w:jc w:val="left"/>
      </w:pPr>
      <w:r>
        <w:rPr>
          <w:rFonts w:ascii="Calibri"/>
          <w:color w:val="1A1A1A"/>
          <w:sz w:val="22"/>
          <w:szCs w:val="22"/>
        </w:rPr>
        <w:t xml:space="preserve">Identity &amp; KYC: Smile Identity (preferred; operates in 50+ African countries per their public positioning [Smile Identity, 2024]) or Youverify (fallback) for KYC/AML at onboarding and ongoing.</w:t>
      </w:r>
    </w:p>
    <w:p>
      <w:pPr>
        <w:pStyle w:val="ListParagraph"/>
        <w:numPr>
          <w:ilvl w:val="0"/>
          <w:numId w:val="1"/>
        </w:numPr>
        <w:spacing w:after="80" w:line="300" w:lineRule="auto"/>
        <w:jc w:val="left"/>
      </w:pPr>
      <w:r>
        <w:rPr>
          <w:rFonts w:ascii="Calibri"/>
          <w:color w:val="1A1A1A"/>
          <w:sz w:val="22"/>
          <w:szCs w:val="22"/>
        </w:rPr>
        <w:t xml:space="preserve">Escrow banking: Stanbic Bank Ghana or Ecobank Ghana — both confirmed operating corporate banking in Ghana [stanbicbank.com.gh; ecobank.com]; selection completed during M1 Discovery; partner must be LBMA-aligned.</w:t>
      </w:r>
    </w:p>
    <w:p>
      <w:pPr>
        <w:pStyle w:val="ListParagraph"/>
        <w:numPr>
          <w:ilvl w:val="0"/>
          <w:numId w:val="1"/>
        </w:numPr>
        <w:spacing w:after="80" w:line="300" w:lineRule="auto"/>
        <w:jc w:val="left"/>
      </w:pPr>
      <w:r>
        <w:rPr>
          <w:rFonts w:ascii="Calibri"/>
          <w:color w:val="1A1A1A"/>
          <w:sz w:val="22"/>
          <w:szCs w:val="22"/>
        </w:rPr>
        <w:t xml:space="preserve">LBMA price feed: LBMA PM Fix via authorized data vendor (FastMarkets or Refinitiv).</w:t>
      </w:r>
    </w:p>
    <w:p>
      <w:pPr>
        <w:pStyle w:val="ListParagraph"/>
        <w:numPr>
          <w:ilvl w:val="0"/>
          <w:numId w:val="1"/>
        </w:numPr>
        <w:spacing w:after="80" w:line="300" w:lineRule="auto"/>
        <w:jc w:val="left"/>
      </w:pPr>
      <w:r>
        <w:rPr>
          <w:rFonts w:ascii="Calibri"/>
          <w:color w:val="1A1A1A"/>
          <w:sz w:val="22"/>
          <w:szCs w:val="22"/>
        </w:rPr>
        <w:t xml:space="preserve">GoldBod (Act 1140): integration with the Ghana Gold Board's small-scale-mined gold channel; regulatory liaison maintained by External Counsel; API integration deep-build deferred to Phase 3 (M8).</w:t>
      </w:r>
    </w:p>
    <w:p>
      <w:pPr>
        <w:pStyle w:val="ListParagraph"/>
        <w:numPr>
          <w:ilvl w:val="0"/>
          <w:numId w:val="1"/>
        </w:numPr>
        <w:spacing w:after="80" w:line="300" w:lineRule="auto"/>
        <w:jc w:val="left"/>
      </w:pPr>
      <w:r>
        <w:rPr>
          <w:rFonts w:ascii="Calibri"/>
          <w:color w:val="1A1A1A"/>
          <w:sz w:val="22"/>
          <w:szCs w:val="22"/>
        </w:rPr>
        <w:t xml:space="preserve">PMMC and Minerals Commission: integration via API where available, manual workflow where not (Phase 3 closes the loop).</w:t>
      </w:r>
    </w:p>
    <w:p>
      <w:pPr>
        <w:pStyle w:val="ListParagraph"/>
        <w:numPr>
          <w:ilvl w:val="0"/>
          <w:numId w:val="1"/>
        </w:numPr>
        <w:spacing w:after="80" w:line="300" w:lineRule="auto"/>
        <w:jc w:val="left"/>
      </w:pPr>
      <w:r>
        <w:rPr>
          <w:rFonts w:ascii="Calibri"/>
          <w:color w:val="1A1A1A"/>
          <w:sz w:val="22"/>
          <w:szCs w:val="22"/>
        </w:rPr>
        <w:t xml:space="preserve">Bank of Ghana: DGPP reference prices (the BoG purchased 358,218 oz from Chamber members in 2024 [Ghana Chamber of Mines PWYP report, 2024]) and forex verification for export proceeds.</w:t>
      </w:r>
    </w:p>
    <w:p>
      <w:pPr>
        <w:pStyle w:val="ListParagraph"/>
        <w:numPr>
          <w:ilvl w:val="0"/>
          <w:numId w:val="1"/>
        </w:numPr>
        <w:spacing w:after="80" w:line="300" w:lineRule="auto"/>
        <w:jc w:val="left"/>
      </w:pPr>
      <w:r>
        <w:rPr>
          <w:rFonts w:ascii="Calibri"/>
          <w:color w:val="1A1A1A"/>
          <w:sz w:val="22"/>
          <w:szCs w:val="22"/>
        </w:rPr>
        <w:t xml:space="preserve">External auditor for SOC 2 Type II: Selection completed during M1 Discovery; contract signed before M3 begins.</w:t>
      </w:r>
    </w:p>
    <w:p>
      <w:pPr>
        <w:pStyle w:val="Heading2"/>
        <w:spacing w:after="160" w:before="360" w:line="340" w:lineRule="atLeast"/>
      </w:pPr>
      <w:bookmarkStart w:id="100063" w:name="_Toc100063"/>
      <w:r>
        <w:rPr>
          <w:rFonts w:ascii="Calibri"/>
          <w:b/>
          <w:bCs/>
          <w:color w:val="1A1A1A"/>
          <w:sz w:val="28"/>
          <w:szCs w:val="28"/>
        </w:rPr>
        <w:t xml:space="preserve">8. Risks, Assumptions, Constraints &amp; Mitigations</w:t>
      </w:r>
      <w:bookmarkEnd w:id="100063"/>
    </w:p>
    <w:p>
      <w:pPr>
        <w:pStyle w:val="Heading3"/>
        <w:spacing w:after="120" w:before="240" w:line="320" w:lineRule="atLeast"/>
      </w:pPr>
      <w:bookmarkStart w:id="100064" w:name="_Toc100064"/>
      <w:r>
        <w:rPr>
          <w:rFonts w:ascii="Calibri"/>
          <w:b/>
          <w:bCs/>
          <w:color w:val="1A1A1A"/>
          <w:sz w:val="24"/>
          <w:szCs w:val="24"/>
        </w:rPr>
        <w:t xml:space="preserve">8.1 Known Risks &amp; Mitigations</w:t>
      </w:r>
      <w:bookmarkEnd w:id="100064"/>
    </w:p>
    <w:p>
      <w:pPr>
        <w:keepNext/>
        <w:spacing w:after="80" w:before="200" w:line="280" w:lineRule="auto"/>
        <w:jc w:val="left"/>
      </w:pPr>
      <w:r>
        <w:rPr>
          <w:rFonts w:ascii="Calibri"/>
          <w:b/>
          <w:bCs/>
          <w:color w:val="1A1A1A"/>
          <w:sz w:val="22"/>
          <w:szCs w:val="22"/>
        </w:rPr>
        <w:t xml:space="preserve">Table 4.5. </w:t>
      </w:r>
      <w:r>
        <w:rPr>
          <w:rFonts w:ascii="Calibri"/>
          <w:b/>
          <w:bCs/>
          <w:color w:val="1A1A1A"/>
          <w:sz w:val="22"/>
          <w:szCs w:val="22"/>
        </w:rPr>
        <w:t xml:space="preserve">Risk Register (Top 11)</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gridCol w:w="100"/>
        <w:gridCol w:w="100"/>
      </w:tblGrid>
      <w:tr>
        <w:trPr>
          <w:cantSplit/>
          <w:tblHeader/>
        </w:trPr>
        <w:tc>
          <w:tcPr>
            <w:tcW w:type="pct" w:w="5%"/>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w:t>
            </w:r>
          </w:p>
        </w:tc>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Risk</w:t>
            </w:r>
          </w:p>
        </w:tc>
        <w:tc>
          <w:tcPr>
            <w:tcW w:type="pct" w:w="1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Category</w:t>
            </w:r>
          </w:p>
        </w:tc>
        <w:tc>
          <w:tcPr>
            <w:tcW w:type="pct" w:w="11%"/>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Likelihood</w:t>
            </w:r>
          </w:p>
        </w:tc>
        <w:tc>
          <w:tcPr>
            <w:tcW w:type="pct" w:w="1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Impact</w:t>
            </w:r>
          </w:p>
        </w:tc>
        <w:tc>
          <w:tcPr>
            <w:tcW w:type="pct" w:w="3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Mitigation</w:t>
            </w:r>
          </w:p>
        </w:tc>
      </w:tr>
      <w:tr>
        <w:trPr>
          <w:cantSplit/>
        </w:trPr>
        <w:tc>
          <w:tcPr>
            <w:tcW w:type="pct" w:w="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R1</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GoldBod Act 1140 implementing regulations or API specification changes during build window</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Regulatory</w:t>
            </w:r>
          </w:p>
        </w:tc>
        <w:tc>
          <w:tcPr>
            <w:tcW w:type="pct" w:w="1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1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Counsel maintains GoldBod relationship; quarterly regulatory review; sandbox integration proof-of-concept in M1 Discovery to surface spec changes early; 15% contingency absorbs rework.</w:t>
            </w:r>
          </w:p>
        </w:tc>
      </w:tr>
      <w:tr>
        <w:trPr>
          <w:cantSplit/>
        </w:trPr>
        <w:tc>
          <w:tcPr>
            <w:tcW w:type="pct" w:w="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R2</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KYC/AML API latency or downtime during onboarding (Smile Identity)</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Technical</w:t>
            </w:r>
          </w:p>
        </w:tc>
        <w:tc>
          <w:tcPr>
            <w:tcW w:type="pct" w:w="1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1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3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Fallback to Youverify; queue onboarding if both fail; SLA of 30s p95 with Smile Identity in contract.</w:t>
            </w:r>
          </w:p>
        </w:tc>
      </w:tr>
      <w:tr>
        <w:trPr>
          <w:cantSplit/>
        </w:trPr>
        <w:tc>
          <w:tcPr>
            <w:tcW w:type="pct" w:w="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R3</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bank onboarding takes &gt; 90 days (Stanbic or Ecobank)</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Operational</w:t>
            </w:r>
          </w:p>
        </w:tc>
        <w:tc>
          <w:tcPr>
            <w:tcW w:type="pct" w:w="1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1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Begin bank selection during M1 Discovery (Aug–Sep 2026); pre-negotiate with 2 candidate banks; fallback to a manual escrow workflow in MVP.</w:t>
            </w:r>
          </w:p>
        </w:tc>
      </w:tr>
      <w:tr>
        <w:trPr>
          <w:cantSplit/>
        </w:trPr>
        <w:tc>
          <w:tcPr>
            <w:tcW w:type="pct" w:w="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R4</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PMMC API not available for export workflow integration</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Regulatory</w:t>
            </w:r>
          </w:p>
        </w:tc>
        <w:tc>
          <w:tcPr>
            <w:tcW w:type="pct" w:w="1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1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3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MVP delivers audit-package export only; full PMMC API integration deferred to Phase 3 (M8) with manual workaround in interim.</w:t>
            </w:r>
          </w:p>
        </w:tc>
      </w:tr>
      <w:tr>
        <w:trPr>
          <w:cantSplit/>
        </w:trPr>
        <w:tc>
          <w:tcPr>
            <w:tcW w:type="pct" w:w="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R5</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 Responsible Gold Guidance audit fails on platform design</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w:t>
            </w:r>
          </w:p>
        </w:tc>
        <w:tc>
          <w:tcPr>
            <w:tcW w:type="pct" w:w="1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Low</w:t>
            </w:r>
          </w:p>
        </w:tc>
        <w:tc>
          <w:tcPr>
            <w:tcW w:type="pct" w:w="1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Very High</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Engage LBMA-aligned auditor in M2 Design; pre-validate audit-log architecture against LBMA RGG five-step due diligence [lbma.org.uk, 2024].</w:t>
            </w:r>
          </w:p>
        </w:tc>
      </w:tr>
      <w:tr>
        <w:trPr>
          <w:cantSplit/>
        </w:trPr>
        <w:tc>
          <w:tcPr>
            <w:tcW w:type="pct" w:w="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R6</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 member adoption below projection (&lt; 250 verified by Y1 end)</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Market</w:t>
            </w:r>
          </w:p>
        </w:tc>
        <w:tc>
          <w:tcPr>
            <w:tcW w:type="pct" w:w="1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1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3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Co-funded marketing with Chamber; 14-day free Professional trial; in-person demo events in Accra, Kumasi, Tarkwa, Obuasi; PM triggers revenue-model refresh if Q2 actuals &gt; 20% below plan.</w:t>
            </w:r>
          </w:p>
        </w:tc>
      </w:tr>
      <w:tr>
        <w:trPr>
          <w:cantSplit/>
        </w:trPr>
        <w:tc>
          <w:tcPr>
            <w:tcW w:type="pct" w:w="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R7</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Competitor launches a Ghana-region gold trading platform (incl. GoldBod's own digital platform)</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Market</w:t>
            </w:r>
          </w:p>
        </w:tc>
        <w:tc>
          <w:tcPr>
            <w:tcW w:type="pct" w:w="1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1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5-year exclusive revenue-share contract with Chamber is the moat. Maintain feature velocity via Phase 3–4 roadmap; if GoldBod launches its own platform, position AurumXchange as the Chamber-member-governed alternative.</w:t>
            </w:r>
          </w:p>
        </w:tc>
      </w:tr>
      <w:tr>
        <w:trPr>
          <w:cantSplit/>
        </w:trPr>
        <w:tc>
          <w:tcPr>
            <w:tcW w:type="pct" w:w="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R8</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Key person dependency (CTO or Lead Backend Engineer leaves)</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Operational</w:t>
            </w:r>
          </w:p>
        </w:tc>
        <w:tc>
          <w:tcPr>
            <w:tcW w:type="pct" w:w="1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1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3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Document architecture decision records; pair-programming on audit-log module; key-person insurance for CTO; competitive retention package.</w:t>
            </w:r>
          </w:p>
        </w:tc>
      </w:tr>
      <w:tr>
        <w:trPr>
          <w:cantSplit/>
        </w:trPr>
        <w:tc>
          <w:tcPr>
            <w:tcW w:type="pct" w:w="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R9</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AWS Ghana region (af-west-1) availability degraded during build window</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Technical</w:t>
            </w:r>
          </w:p>
        </w:tc>
        <w:tc>
          <w:tcPr>
            <w:tcW w:type="pct" w:w="1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Low</w:t>
            </w:r>
          </w:p>
        </w:tc>
        <w:tc>
          <w:tcPr>
            <w:tcW w:type="pct" w:w="1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Fallback to AWS af-south-1 (Cape Town) with contractual data-residency terms; revisit af-west-1 when service stabilizes.</w:t>
            </w:r>
          </w:p>
        </w:tc>
      </w:tr>
      <w:tr>
        <w:trPr>
          <w:cantSplit/>
        </w:trPr>
        <w:tc>
          <w:tcPr>
            <w:tcW w:type="pct" w:w="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R10</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0.10% transaction fee rejected by Tier 1 buyers as too high</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Market</w:t>
            </w:r>
          </w:p>
        </w:tc>
        <w:tc>
          <w:tcPr>
            <w:tcW w:type="pct" w:w="1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Low</w:t>
            </w:r>
          </w:p>
        </w:tc>
        <w:tc>
          <w:tcPr>
            <w:tcW w:type="pct" w:w="1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3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Hybrid fee structure already includes cap-at-maximum option; Enterprise tier negotiates volume-based discounts; PM reviews fee sensitivity in Q1 post-launch.</w:t>
            </w:r>
          </w:p>
        </w:tc>
      </w:tr>
      <w:tr>
        <w:trPr>
          <w:cantSplit/>
        </w:trPr>
        <w:tc>
          <w:tcPr>
            <w:tcW w:type="pct" w:w="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R11</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Ghana AML Act 2020 (Act 1044) amendment increases KYC requirements mid-build</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Regulatory</w:t>
            </w:r>
          </w:p>
        </w:tc>
        <w:tc>
          <w:tcPr>
            <w:tcW w:type="pct" w:w="1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Low</w:t>
            </w:r>
          </w:p>
        </w:tc>
        <w:tc>
          <w:tcPr>
            <w:tcW w:type="pct" w:w="1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Maintain quarterly legal review with external counsel; design KYC module to be configurable rather than hard-coded; FIC liaison maintained via External Counsel.</w:t>
            </w:r>
          </w:p>
        </w:tc>
      </w:tr>
    </w:tbl>
    <w:p>
      <w:pPr>
        <w:keepNext/>
        <w:spacing w:after="200" w:before="60" w:line="280" w:lineRule="auto"/>
        <w:jc w:val="left"/>
      </w:pPr>
      <w:r>
        <w:rPr>
          <w:rFonts w:ascii="Calibri"/>
          <w:b/>
          <w:bCs/>
          <w:color w:val="5A6068"/>
          <w:sz w:val="18"/>
          <w:szCs w:val="18"/>
        </w:rPr>
        <w:t xml:space="preserve">Table 4.5. </w:t>
      </w:r>
      <w:r>
        <w:rPr>
          <w:rFonts w:ascii="Calibri"/>
          <w:i/>
          <w:iCs/>
          <w:color w:val="5A6068"/>
          <w:sz w:val="18"/>
          <w:szCs w:val="18"/>
        </w:rPr>
        <w:t xml:space="preserve">Top 11 risks (one added: R1 on GoldBod Act 1140 regulatory change — now the highest-impact regulatory risk). Risk register is maintained live in Confluence; new risks are added as discovered.</w:t>
      </w:r>
    </w:p>
    <w:p>
      <w:pPr>
        <w:pStyle w:val="Heading3"/>
        <w:spacing w:after="120" w:before="240" w:line="320" w:lineRule="atLeast"/>
      </w:pPr>
      <w:bookmarkStart w:id="100065" w:name="_Toc100065"/>
      <w:r>
        <w:rPr>
          <w:rFonts w:ascii="Calibri"/>
          <w:b/>
          <w:bCs/>
          <w:color w:val="1A1A1A"/>
          <w:sz w:val="24"/>
          <w:szCs w:val="24"/>
        </w:rPr>
        <w:t xml:space="preserve">8.2 Assumptions</w:t>
      </w:r>
      <w:bookmarkEnd w:id="100065"/>
    </w:p>
    <w:p>
      <w:pPr>
        <w:spacing w:after="140" w:line="312" w:lineRule="auto"/>
        <w:jc w:val="both"/>
      </w:pPr>
      <w:r>
        <w:rPr>
          <w:rFonts w:ascii="Calibri"/>
          <w:color w:val="1A1A1A"/>
          <w:sz w:val="22"/>
          <w:szCs w:val="22"/>
        </w:rPr>
        <w:t xml:space="preserve">The following assumptions must hold for this Charter and the supporting Financial Documentation to be valid. If any assumption is invalidated, the Charter must be re-baselined. Each assumption is grounded in a publicly verifiable source where possible.</w:t>
      </w:r>
    </w:p>
    <w:p>
      <w:pPr>
        <w:pStyle w:val="ListParagraph"/>
        <w:numPr>
          <w:ilvl w:val="0"/>
          <w:numId w:val="1"/>
        </w:numPr>
        <w:spacing w:after="80" w:line="300" w:lineRule="auto"/>
        <w:jc w:val="left"/>
      </w:pPr>
      <w:r>
        <w:rPr>
          <w:rFonts w:ascii="Calibri"/>
          <w:color w:val="1A1A1A"/>
          <w:sz w:val="22"/>
          <w:szCs w:val="22"/>
        </w:rPr>
        <w:t xml:space="preserve">The Ghana Chamber of Gold Buyers signs the 5-year exclusive revenue-sharing agreement before MVP launch.</w:t>
      </w:r>
    </w:p>
    <w:p>
      <w:pPr>
        <w:pStyle w:val="ListParagraph"/>
        <w:numPr>
          <w:ilvl w:val="0"/>
          <w:numId w:val="1"/>
        </w:numPr>
        <w:spacing w:after="80" w:line="300" w:lineRule="auto"/>
        <w:jc w:val="left"/>
      </w:pPr>
      <w:r>
        <w:rPr>
          <w:rFonts w:ascii="Calibri"/>
          <w:color w:val="1A1A1A"/>
          <w:sz w:val="22"/>
          <w:szCs w:val="22"/>
        </w:rPr>
        <w:t xml:space="preserve">At least one LBMA-aligned Ghana-licensed bank (Stanbic Bank Ghana or Ecobank Ghana) agrees to provide escrow services within 90 days of Charter sign-off.</w:t>
      </w:r>
    </w:p>
    <w:p>
      <w:pPr>
        <w:pStyle w:val="ListParagraph"/>
        <w:numPr>
          <w:ilvl w:val="0"/>
          <w:numId w:val="1"/>
        </w:numPr>
        <w:spacing w:after="80" w:line="300" w:lineRule="auto"/>
        <w:jc w:val="left"/>
      </w:pPr>
      <w:r>
        <w:rPr>
          <w:rFonts w:ascii="Calibri"/>
          <w:color w:val="1A1A1A"/>
          <w:sz w:val="22"/>
          <w:szCs w:val="22"/>
        </w:rPr>
        <w:t xml:space="preserve">Smile Identity confirms Ghana KYC API availability with 30-second p95 latency [Smile Identity, 2024 — operates in 50+ African countries].</w:t>
      </w:r>
    </w:p>
    <w:p>
      <w:pPr>
        <w:pStyle w:val="ListParagraph"/>
        <w:numPr>
          <w:ilvl w:val="0"/>
          <w:numId w:val="1"/>
        </w:numPr>
        <w:spacing w:after="80" w:line="300" w:lineRule="auto"/>
        <w:jc w:val="left"/>
      </w:pPr>
      <w:r>
        <w:rPr>
          <w:rFonts w:ascii="Calibri"/>
          <w:color w:val="1A1A1A"/>
          <w:sz w:val="22"/>
          <w:szCs w:val="22"/>
        </w:rPr>
        <w:t xml:space="preserve">AWS Ghana region (af-west-1, GA since 2021) remains generally available throughout the build window.</w:t>
      </w:r>
    </w:p>
    <w:p>
      <w:pPr>
        <w:pStyle w:val="ListParagraph"/>
        <w:numPr>
          <w:ilvl w:val="0"/>
          <w:numId w:val="1"/>
        </w:numPr>
        <w:spacing w:after="80" w:line="300" w:lineRule="auto"/>
        <w:jc w:val="left"/>
      </w:pPr>
      <w:r>
        <w:rPr>
          <w:rFonts w:ascii="Calibri"/>
          <w:color w:val="1A1A1A"/>
          <w:sz w:val="22"/>
          <w:szCs w:val="22"/>
        </w:rPr>
        <w:t xml:space="preserve">Ghana's 2024 gold export revenue of US$11.64B and 2024 production of 4.9M ounces are accurate and representative of the addressable market [CGTN Africa, 2025; trade.gov, June 2025; Reuters, May 2025].</w:t>
      </w:r>
    </w:p>
    <w:p>
      <w:pPr>
        <w:pStyle w:val="ListParagraph"/>
        <w:numPr>
          <w:ilvl w:val="0"/>
          <w:numId w:val="1"/>
        </w:numPr>
        <w:spacing w:after="80" w:line="300" w:lineRule="auto"/>
        <w:jc w:val="left"/>
      </w:pPr>
      <w:r>
        <w:rPr>
          <w:rFonts w:ascii="Calibri"/>
          <w:color w:val="1A1A1A"/>
          <w:sz w:val="22"/>
          <w:szCs w:val="22"/>
        </w:rPr>
        <w:t xml:space="preserve">The Chamber's 1,500 licensed members is an accurate figure (verifiable via Chamber registry).</w:t>
      </w:r>
    </w:p>
    <w:p>
      <w:pPr>
        <w:pStyle w:val="ListParagraph"/>
        <w:numPr>
          <w:ilvl w:val="0"/>
          <w:numId w:val="1"/>
        </w:numPr>
        <w:spacing w:after="80" w:line="300" w:lineRule="auto"/>
        <w:jc w:val="left"/>
      </w:pPr>
      <w:r>
        <w:rPr>
          <w:rFonts w:ascii="Calibri"/>
          <w:color w:val="1A1A1A"/>
          <w:sz w:val="22"/>
          <w:szCs w:val="22"/>
        </w:rPr>
        <w:t xml:space="preserve">17% of Chamber members adopt the platform within 12 months of launch (250 verified members by Y1 end).</w:t>
      </w:r>
    </w:p>
    <w:p>
      <w:pPr>
        <w:pStyle w:val="ListParagraph"/>
        <w:numPr>
          <w:ilvl w:val="0"/>
          <w:numId w:val="1"/>
        </w:numPr>
        <w:spacing w:after="80" w:line="300" w:lineRule="auto"/>
        <w:jc w:val="left"/>
      </w:pPr>
      <w:r>
        <w:rPr>
          <w:rFonts w:ascii="Calibri"/>
          <w:color w:val="1A1A1A"/>
          <w:sz w:val="22"/>
          <w:szCs w:val="22"/>
        </w:rPr>
        <w:t xml:space="preserve">Average trade value of US$120,000 (≈ 1.8 kg at the late-2024 LBMA PM Fix of ~US$2,600/oz [LBMA, 2024]) is representative of Chamber-member trades.</w:t>
      </w:r>
    </w:p>
    <w:p>
      <w:pPr>
        <w:pStyle w:val="ListParagraph"/>
        <w:numPr>
          <w:ilvl w:val="0"/>
          <w:numId w:val="1"/>
        </w:numPr>
        <w:spacing w:after="80" w:line="300" w:lineRule="auto"/>
        <w:jc w:val="left"/>
      </w:pPr>
      <w:r>
        <w:rPr>
          <w:rFonts w:ascii="Calibri"/>
          <w:color w:val="1A1A1A"/>
          <w:sz w:val="22"/>
          <w:szCs w:val="22"/>
        </w:rPr>
        <w:t xml:space="preserve">Annual churn of 12% blended (15% buyer / 8% seller) is achievable.</w:t>
      </w:r>
    </w:p>
    <w:p>
      <w:pPr>
        <w:pStyle w:val="ListParagraph"/>
        <w:numPr>
          <w:ilvl w:val="0"/>
          <w:numId w:val="1"/>
        </w:numPr>
        <w:spacing w:after="80" w:line="300" w:lineRule="auto"/>
        <w:jc w:val="left"/>
      </w:pPr>
      <w:r>
        <w:rPr>
          <w:rFonts w:ascii="Calibri"/>
          <w:color w:val="1A1A1A"/>
          <w:sz w:val="22"/>
          <w:szCs w:val="22"/>
        </w:rPr>
        <w:t xml:space="preserve">The 18-month OpEx runway of approximately US$715,000 is funded by Smart Innovations Ghana Limited's balance sheet.</w:t>
      </w:r>
    </w:p>
    <w:p>
      <w:pPr>
        <w:pStyle w:val="ListParagraph"/>
        <w:numPr>
          <w:ilvl w:val="0"/>
          <w:numId w:val="1"/>
        </w:numPr>
        <w:spacing w:after="80" w:line="300" w:lineRule="auto"/>
        <w:jc w:val="left"/>
      </w:pPr>
      <w:r>
        <w:rPr>
          <w:rFonts w:ascii="Calibri"/>
          <w:color w:val="1A1A1A"/>
          <w:sz w:val="22"/>
          <w:szCs w:val="22"/>
        </w:rPr>
        <w:t xml:space="preserve">A Series A bridge round of US$500K closes by month 18 (Q1 2029) to cover months 18–22 (the gap between runway end and break-even).</w:t>
      </w:r>
    </w:p>
    <w:p>
      <w:pPr>
        <w:pStyle w:val="ListParagraph"/>
        <w:numPr>
          <w:ilvl w:val="0"/>
          <w:numId w:val="1"/>
        </w:numPr>
        <w:spacing w:after="80" w:line="300" w:lineRule="auto"/>
        <w:jc w:val="left"/>
      </w:pPr>
      <w:r>
        <w:rPr>
          <w:rFonts w:ascii="Calibri"/>
          <w:color w:val="1A1A1A"/>
          <w:sz w:val="22"/>
          <w:szCs w:val="22"/>
        </w:rPr>
        <w:t xml:space="preserve">The GoldBod Act 1140 implementing regulations and API specification remain stable through M3 Development; if they change, contingency and the GoldBod-specific change-control mechanism (Table 3.8) absorb the impact.</w:t>
      </w:r>
    </w:p>
    <w:p>
      <w:pPr>
        <w:pStyle w:val="Heading3"/>
        <w:spacing w:after="120" w:before="240" w:line="320" w:lineRule="atLeast"/>
      </w:pPr>
      <w:bookmarkStart w:id="100066" w:name="_Toc100066"/>
      <w:r>
        <w:rPr>
          <w:rFonts w:ascii="Calibri"/>
          <w:b/>
          <w:bCs/>
          <w:color w:val="1A1A1A"/>
          <w:sz w:val="24"/>
          <w:szCs w:val="24"/>
        </w:rPr>
        <w:t xml:space="preserve">8.3 Regulatory &amp; Compliance Constraints</w:t>
      </w:r>
      <w:bookmarkEnd w:id="100066"/>
    </w:p>
    <w:p>
      <w:pPr>
        <w:pStyle w:val="ListParagraph"/>
        <w:numPr>
          <w:ilvl w:val="0"/>
          <w:numId w:val="1"/>
        </w:numPr>
        <w:spacing w:after="80" w:line="300" w:lineRule="auto"/>
        <w:jc w:val="left"/>
      </w:pPr>
      <w:r>
        <w:rPr>
          <w:rFonts w:ascii="Calibri"/>
          <w:b/>
          <w:bCs/>
          <w:color w:val="1A1A1A"/>
          <w:sz w:val="22"/>
          <w:szCs w:val="22"/>
        </w:rPr>
        <w:t xml:space="preserve">Ghana Gold Board Act, 2025 (Act 1140): </w:t>
      </w:r>
      <w:r>
        <w:rPr>
          <w:rFonts w:ascii="Calibri"/>
          <w:color w:val="1A1A1A"/>
          <w:sz w:val="22"/>
          <w:szCs w:val="22"/>
        </w:rPr>
        <w:t xml:space="preserve">GoldBod is the sole buyer, assayer, and exporter of small-scale-mined gold since 2 April 2025 [UNCTAD Investment Policy Monitor, 2025; goldbod.gov.gh]. AurumXchange must support GoldBod verification for any trade touching small-scale-channel gold; deep API integration in Phase 3 (M8).</w:t>
      </w:r>
    </w:p>
    <w:p>
      <w:pPr>
        <w:pStyle w:val="ListParagraph"/>
        <w:numPr>
          <w:ilvl w:val="0"/>
          <w:numId w:val="1"/>
        </w:numPr>
        <w:spacing w:after="80" w:line="300" w:lineRule="auto"/>
        <w:jc w:val="left"/>
      </w:pPr>
      <w:r>
        <w:rPr>
          <w:rFonts w:ascii="Calibri"/>
          <w:b/>
          <w:bCs/>
          <w:color w:val="1A1A1A"/>
          <w:sz w:val="22"/>
          <w:szCs w:val="22"/>
        </w:rPr>
        <w:t xml:space="preserve">Ghana AML Act, 2020 (Act 1044): </w:t>
      </w:r>
      <w:r>
        <w:rPr>
          <w:rFonts w:ascii="Calibri"/>
          <w:color w:val="1A1A1A"/>
          <w:sz w:val="22"/>
          <w:szCs w:val="22"/>
        </w:rPr>
        <w:t xml:space="preserve">Establishes the Financial Intelligence Centre (FIC) and places AurumXchange within DNFBPs [OGP commitment GH0029; namescan.io AML Regulations Ghana, 2025]. Platform must support ongoing monitoring and suspicious-activity reporting to the FIC.</w:t>
      </w:r>
    </w:p>
    <w:p>
      <w:pPr>
        <w:pStyle w:val="ListParagraph"/>
        <w:numPr>
          <w:ilvl w:val="0"/>
          <w:numId w:val="1"/>
        </w:numPr>
        <w:spacing w:after="80" w:line="300" w:lineRule="auto"/>
        <w:jc w:val="left"/>
      </w:pPr>
      <w:r>
        <w:rPr>
          <w:rFonts w:ascii="Calibri"/>
          <w:b/>
          <w:bCs/>
          <w:color w:val="1A1A1A"/>
          <w:sz w:val="22"/>
          <w:szCs w:val="22"/>
        </w:rPr>
        <w:t xml:space="preserve">Ghana Data Protection Act, 2012 (Act 843): </w:t>
      </w:r>
      <w:r>
        <w:rPr>
          <w:rFonts w:ascii="Calibri"/>
          <w:color w:val="1A1A1A"/>
          <w:sz w:val="22"/>
          <w:szCs w:val="22"/>
        </w:rPr>
        <w:t xml:space="preserve">PII handling, data subject rights, breach notification within 72 hours; data residency in Ghana (AWS af-west-1). Enforced by the Data Protection Commission [dataprotection.org.gh].</w:t>
      </w:r>
    </w:p>
    <w:p>
      <w:pPr>
        <w:pStyle w:val="ListParagraph"/>
        <w:numPr>
          <w:ilvl w:val="0"/>
          <w:numId w:val="1"/>
        </w:numPr>
        <w:spacing w:after="80" w:line="300" w:lineRule="auto"/>
        <w:jc w:val="left"/>
      </w:pPr>
      <w:r>
        <w:rPr>
          <w:rFonts w:ascii="Calibri"/>
          <w:b/>
          <w:bCs/>
          <w:color w:val="1A1A1A"/>
          <w:sz w:val="22"/>
          <w:szCs w:val="22"/>
        </w:rPr>
        <w:t xml:space="preserve">Minerals Commission of Ghana licensing: </w:t>
      </w:r>
      <w:r>
        <w:rPr>
          <w:rFonts w:ascii="Calibri"/>
          <w:color w:val="1A1A1A"/>
          <w:sz w:val="22"/>
          <w:szCs w:val="22"/>
        </w:rPr>
        <w:t xml:space="preserve">Every seller must hold a valid licence [mincom.gov.gh]; platform must verify and re-verify monthly.</w:t>
      </w:r>
    </w:p>
    <w:p>
      <w:pPr>
        <w:pStyle w:val="ListParagraph"/>
        <w:numPr>
          <w:ilvl w:val="0"/>
          <w:numId w:val="1"/>
        </w:numPr>
        <w:spacing w:after="80" w:line="300" w:lineRule="auto"/>
        <w:jc w:val="left"/>
      </w:pPr>
      <w:r>
        <w:rPr>
          <w:rFonts w:ascii="Calibri"/>
          <w:b/>
          <w:bCs/>
          <w:color w:val="1A1A1A"/>
          <w:sz w:val="22"/>
          <w:szCs w:val="22"/>
        </w:rPr>
        <w:t xml:space="preserve">PMMC export certification: </w:t>
      </w:r>
      <w:r>
        <w:rPr>
          <w:rFonts w:ascii="Calibri"/>
          <w:color w:val="1A1A1A"/>
          <w:sz w:val="22"/>
          <w:szCs w:val="22"/>
        </w:rPr>
        <w:t xml:space="preserve">Every trade intended for export must be PMMC-released by a Licensed Gold Exporter (LGE); MVP supports audit-package export only, full PMMC API integration in Phase 3 (M8) [pmmc.gov.gh].</w:t>
      </w:r>
    </w:p>
    <w:p>
      <w:pPr>
        <w:pStyle w:val="ListParagraph"/>
        <w:numPr>
          <w:ilvl w:val="0"/>
          <w:numId w:val="1"/>
        </w:numPr>
        <w:spacing w:after="80" w:line="300" w:lineRule="auto"/>
        <w:jc w:val="left"/>
      </w:pPr>
      <w:r>
        <w:rPr>
          <w:rFonts w:ascii="Calibri"/>
          <w:b/>
          <w:bCs/>
          <w:color w:val="1A1A1A"/>
          <w:sz w:val="22"/>
          <w:szCs w:val="22"/>
        </w:rPr>
        <w:t xml:space="preserve">LBMA Responsible Gold Guidance (RGG): </w:t>
      </w:r>
      <w:r>
        <w:rPr>
          <w:rFonts w:ascii="Calibri"/>
          <w:color w:val="1A1A1A"/>
          <w:sz w:val="22"/>
          <w:szCs w:val="22"/>
        </w:rPr>
        <w:t xml:space="preserve">Five-step due diligence framework on OECD DDG for Conflict-Affected and High-Risk Areas [lbma.org.uk, 2024]. Audit trail must support responsible-sourcing attestation; LBMA-aligned auditor engaged in M2 Design.</w:t>
      </w:r>
    </w:p>
    <w:p>
      <w:pPr>
        <w:pStyle w:val="ListParagraph"/>
        <w:numPr>
          <w:ilvl w:val="0"/>
          <w:numId w:val="1"/>
        </w:numPr>
        <w:spacing w:after="80" w:line="300" w:lineRule="auto"/>
        <w:jc w:val="left"/>
      </w:pPr>
      <w:r>
        <w:rPr>
          <w:rFonts w:ascii="Calibri"/>
          <w:b/>
          <w:bCs/>
          <w:color w:val="1A1A1A"/>
          <w:sz w:val="22"/>
          <w:szCs w:val="22"/>
        </w:rPr>
        <w:t xml:space="preserve">OECD Due Diligence Guidance: </w:t>
      </w:r>
      <w:r>
        <w:rPr>
          <w:rFonts w:ascii="Calibri"/>
          <w:color w:val="1A1A1A"/>
          <w:sz w:val="22"/>
          <w:szCs w:val="22"/>
        </w:rPr>
        <w:t xml:space="preserve">Chain-of-custody documentation for international buyers; audit-log architecture designed to satisfy.</w:t>
      </w:r>
    </w:p>
    <w:p>
      <w:pPr>
        <w:pStyle w:val="ListParagraph"/>
        <w:numPr>
          <w:ilvl w:val="0"/>
          <w:numId w:val="1"/>
        </w:numPr>
        <w:spacing w:after="80" w:line="300" w:lineRule="auto"/>
        <w:jc w:val="left"/>
      </w:pPr>
      <w:r>
        <w:rPr>
          <w:rFonts w:ascii="Calibri"/>
          <w:b/>
          <w:bCs/>
          <w:color w:val="1A1A1A"/>
          <w:sz w:val="22"/>
          <w:szCs w:val="22"/>
        </w:rPr>
        <w:t xml:space="preserve">SOC 2 Type II: </w:t>
      </w:r>
      <w:r>
        <w:rPr>
          <w:rFonts w:ascii="Calibri"/>
          <w:color w:val="1A1A1A"/>
          <w:sz w:val="22"/>
          <w:szCs w:val="22"/>
        </w:rPr>
        <w:t xml:space="preserve">Annual attestation by external auditor; report issued by 30 September 2028 (O7).</w:t>
      </w:r>
    </w:p>
    <w:p>
      <w:pPr>
        <w:pStyle w:val="ListParagraph"/>
        <w:numPr>
          <w:ilvl w:val="0"/>
          <w:numId w:val="1"/>
        </w:numPr>
        <w:spacing w:after="80" w:line="300" w:lineRule="auto"/>
        <w:jc w:val="left"/>
      </w:pPr>
      <w:r>
        <w:rPr>
          <w:rFonts w:ascii="Calibri"/>
          <w:b/>
          <w:bCs/>
          <w:color w:val="1A1A1A"/>
          <w:sz w:val="22"/>
          <w:szCs w:val="22"/>
        </w:rPr>
        <w:t xml:space="preserve">ISO 27001 ISMS: </w:t>
      </w:r>
      <w:r>
        <w:rPr>
          <w:rFonts w:ascii="Calibri"/>
          <w:color w:val="1A1A1A"/>
          <w:sz w:val="22"/>
          <w:szCs w:val="22"/>
        </w:rPr>
        <w:t xml:space="preserve">Certification pursued in Year 2 post-launch.</w:t>
      </w:r>
    </w:p>
    <w:p>
      <w:pPr>
        <w:pStyle w:val="ListParagraph"/>
        <w:numPr>
          <w:ilvl w:val="0"/>
          <w:numId w:val="1"/>
        </w:numPr>
        <w:spacing w:after="80" w:line="300" w:lineRule="auto"/>
        <w:jc w:val="left"/>
      </w:pPr>
      <w:r>
        <w:rPr>
          <w:rFonts w:ascii="Calibri"/>
          <w:b/>
          <w:bCs/>
          <w:color w:val="1A1A1A"/>
          <w:sz w:val="22"/>
          <w:szCs w:val="22"/>
        </w:rPr>
        <w:t xml:space="preserve">PCI DSS Level 1: </w:t>
      </w:r>
      <w:r>
        <w:rPr>
          <w:rFonts w:ascii="Calibri"/>
          <w:color w:val="1A1A1A"/>
          <w:sz w:val="22"/>
          <w:szCs w:val="22"/>
        </w:rPr>
        <w:t xml:space="preserve">Required for escrow and payment integration; achieved via partner bank's PCI scope (Smart Innovations does not directly handle PANs).</w:t>
      </w:r>
    </w:p>
    <w:p>
      <w:pPr>
        <w:pStyle w:val="ListParagraph"/>
        <w:numPr>
          <w:ilvl w:val="0"/>
          <w:numId w:val="1"/>
        </w:numPr>
        <w:spacing w:after="80" w:line="300" w:lineRule="auto"/>
        <w:jc w:val="left"/>
      </w:pPr>
      <w:r>
        <w:rPr>
          <w:rFonts w:ascii="Calibri"/>
          <w:b/>
          <w:bCs/>
          <w:color w:val="1A1A1A"/>
          <w:sz w:val="22"/>
          <w:szCs w:val="22"/>
        </w:rPr>
        <w:t xml:space="preserve">GDPR equivalence: </w:t>
      </w:r>
      <w:r>
        <w:rPr>
          <w:rFonts w:ascii="Calibri"/>
          <w:color w:val="1A1A1A"/>
          <w:sz w:val="22"/>
          <w:szCs w:val="22"/>
        </w:rPr>
        <w:t xml:space="preserve">For international Tier 1 buyers' data; treated under Ghana DPA 2012 with contractual GDPR-equivalence provisions in member terms.</w:t>
      </w:r>
    </w:p>
    <w:p>
      <w:pPr>
        <w:pStyle w:val="Heading2"/>
        <w:spacing w:after="160" w:before="360" w:line="340" w:lineRule="atLeast"/>
      </w:pPr>
      <w:bookmarkStart w:id="100067" w:name="_Toc100067"/>
      <w:r>
        <w:rPr>
          <w:rFonts w:ascii="Calibri"/>
          <w:b/>
          <w:bCs/>
          <w:color w:val="1A1A1A"/>
          <w:sz w:val="28"/>
          <w:szCs w:val="28"/>
        </w:rPr>
        <w:t xml:space="preserve">9. Success Metrics (KPIs)</w:t>
      </w:r>
      <w:bookmarkEnd w:id="100067"/>
    </w:p>
    <w:p>
      <w:pPr>
        <w:spacing w:after="140" w:line="312" w:lineRule="auto"/>
        <w:jc w:val="both"/>
      </w:pPr>
      <w:r>
        <w:rPr>
          <w:rFonts w:ascii="Calibri"/>
          <w:color w:val="1A1A1A"/>
          <w:sz w:val="22"/>
          <w:szCs w:val="22"/>
        </w:rPr>
        <w:t xml:space="preserve">Success is defined as the achievement of the SMART objectives in Section 3, measured against the KPIs below. A green status requires all Critical KPIs to be on target; amber allows one Critical KPI to be off-target with a remediation plan; red triggers Steering Committee intervention. The KPI dashboard is reviewed monthly at the Steering Committee meeting.</w:t>
      </w:r>
    </w:p>
    <w:p>
      <w:pPr>
        <w:keepNext/>
        <w:spacing w:after="80" w:before="200" w:line="280" w:lineRule="auto"/>
        <w:jc w:val="left"/>
      </w:pPr>
      <w:r>
        <w:rPr>
          <w:rFonts w:ascii="Calibri"/>
          <w:b/>
          <w:bCs/>
          <w:color w:val="1A1A1A"/>
          <w:sz w:val="22"/>
          <w:szCs w:val="22"/>
        </w:rPr>
        <w:t xml:space="preserve">Table 4.6. </w:t>
      </w:r>
      <w:r>
        <w:rPr>
          <w:rFonts w:ascii="Calibri"/>
          <w:b/>
          <w:bCs/>
          <w:color w:val="1A1A1A"/>
          <w:sz w:val="22"/>
          <w:szCs w:val="22"/>
        </w:rPr>
        <w:t xml:space="preserve">Success Metrics (KPIs)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KPI</w:t>
            </w:r>
          </w:p>
        </w:tc>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Category</w:t>
            </w:r>
          </w:p>
        </w:tc>
        <w:tc>
          <w:tcPr>
            <w:tcW w:type="pct" w:w="3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Target</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Measurement Cadence</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Verified member count</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Adoption</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250 by Y1 end (Sep 2028); 1,050 by Y5 end (Sep 2032)</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volume (US$M)</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Adoption</w:t>
            </w:r>
          </w:p>
        </w:tc>
        <w:tc>
          <w:tcPr>
            <w:tcW w:type="pct" w:w="3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US$350M Y1; ≥ US$1,822M Y5</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System uptime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Reliability</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99.9% monthly</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Continuous</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P95 API response time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Performance</w:t>
            </w:r>
          </w:p>
        </w:tc>
        <w:tc>
          <w:tcPr>
            <w:tcW w:type="pct" w:w="3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&lt; 500ms for all critical endpoints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Continuous</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Critical-severity security findings</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Security</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 at launch; ≤ 2 per quarter (with remediation)</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release + quarterly</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 2 Type II attestation</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w:t>
            </w:r>
          </w:p>
        </w:tc>
        <w:tc>
          <w:tcPr>
            <w:tcW w:type="pct" w:w="3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Report issued by 30 Sep 2028</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GoldBod Act 1140 Phase 3 integration live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95% of small-scale-channel trades auto-routed via GoldBod by 30 Jun 2028</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 from Phase 3 launch</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NPS (Net Promoter Score)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Satisfaction</w:t>
            </w:r>
          </w:p>
        </w:tc>
        <w:tc>
          <w:tcPr>
            <w:tcW w:type="pct" w:w="3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40 (Year 1); ≥ 50 (Year 3)</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LTV:CAC ratio</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Unit economics</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3:1 (Year 1); ≥ 5:1 (Year 3)</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 churn (blended)</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Retention</w:t>
            </w:r>
          </w:p>
        </w:tc>
        <w:tc>
          <w:tcPr>
            <w:tcW w:type="pct" w:w="3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15%</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Net Revenue Retention</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Retention</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100% (Year 1); ≥ 110% (Year 3)</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CAC payback period</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Unit economics</w:t>
            </w:r>
          </w:p>
        </w:tc>
        <w:tc>
          <w:tcPr>
            <w:tcW w:type="pct" w:w="3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12 months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Break-even date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Financial</w:t>
            </w:r>
          </w:p>
        </w:tc>
        <w:tc>
          <w:tcPr>
            <w:tcW w:type="pct" w:w="3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22 (Q3 2029, given Q3 2027 launch)</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Continuous</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incidents (any of: SOC 2, ISO 27001, DPA 2012, GoldBod, AML Act 1044)</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Risk</w:t>
            </w:r>
          </w:p>
        </w:tc>
        <w:tc>
          <w:tcPr>
            <w:tcW w:type="pct" w:w="3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 per quarter (target); any incident → 24-hour sponsor notification</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Continuous</w:t>
            </w:r>
          </w:p>
        </w:tc>
      </w:tr>
    </w:tbl>
    <w:p>
      <w:pPr>
        <w:keepNext/>
        <w:spacing w:after="200" w:before="60" w:line="280" w:lineRule="auto"/>
        <w:jc w:val="left"/>
      </w:pPr>
      <w:r>
        <w:rPr>
          <w:rFonts w:ascii="Calibri"/>
          <w:b/>
          <w:bCs/>
          <w:color w:val="5A6068"/>
          <w:sz w:val="18"/>
          <w:szCs w:val="18"/>
        </w:rPr>
        <w:t xml:space="preserve">Table 4.6. </w:t>
      </w:r>
      <w:r>
        <w:rPr>
          <w:rFonts w:ascii="Calibri"/>
          <w:i/>
          <w:iCs/>
          <w:color w:val="5A6068"/>
          <w:sz w:val="18"/>
          <w:szCs w:val="18"/>
        </w:rPr>
        <w:t xml:space="preserve">Fourteen KPIs (two added: GoldBod Phase 3 integration; compliance incident scope now explicitly includes GoldBod and AML Act 1044).</w:t>
      </w:r>
    </w:p>
    <w:p>
      <w:pPr>
        <w:pStyle w:val="Heading3"/>
        <w:spacing w:after="120" w:before="240" w:line="320" w:lineRule="atLeast"/>
      </w:pPr>
      <w:bookmarkStart w:id="100068" w:name="_Toc100068"/>
      <w:r>
        <w:rPr>
          <w:rFonts w:ascii="Calibri"/>
          <w:b/>
          <w:bCs/>
          <w:color w:val="1A1A1A"/>
          <w:sz w:val="24"/>
          <w:szCs w:val="24"/>
        </w:rPr>
        <w:t xml:space="preserve">9.1 Definition of Done</w:t>
      </w:r>
      <w:bookmarkEnd w:id="100068"/>
    </w:p>
    <w:p>
      <w:pPr>
        <w:spacing w:after="140" w:line="312" w:lineRule="auto"/>
        <w:jc w:val="both"/>
      </w:pPr>
      <w:r>
        <w:rPr>
          <w:rFonts w:ascii="Calibri"/>
          <w:color w:val="1A1A1A"/>
          <w:sz w:val="22"/>
          <w:szCs w:val="22"/>
        </w:rPr>
        <w:t xml:space="preserve">The MVP is 'Done' when: (i) all Phase 1 + Phase 2 features are deployed to production on AWS Ghana (af-west-1); (ii) the first real gold trade has been settled end-to-end through the platform's escrow workflow with Stanbic Bank Ghana or Ecobank Ghana; (iii) the pre-launch penetration test reports 0 critical-severity findings; (iv) at least 3 pilot members (Abena Owusu, Kofi Mensah, + 1 Tier 1) have completed UAT with NPS ≥ 30; (v) the SOC 2 Type II readiness engagement is complete and the year-1 attestation window is open; (vi) the Chamber partnership contract is signed; (vii) the audit-log design document has been reviewed by the external security auditor and pre-validated against the LBMA Responsible Gold Guidance five-step due diligence; and (viii) the GoldBod Act 1140 compliance review (External Counsel memo) is signed off. Items (i)–(viii) must all be complete before the Sponsor signs the Launch Authorization.</w:t>
      </w:r>
    </w:p>
    <w:p>
      <w:pPr>
        <w:pStyle w:val="Heading2"/>
        <w:spacing w:after="160" w:before="360" w:line="340" w:lineRule="atLeast"/>
      </w:pPr>
      <w:bookmarkStart w:id="100069" w:name="_Toc100069"/>
      <w:r>
        <w:rPr>
          <w:rFonts w:ascii="Calibri"/>
          <w:b/>
          <w:bCs/>
          <w:color w:val="1A1A1A"/>
          <w:sz w:val="28"/>
          <w:szCs w:val="28"/>
        </w:rPr>
        <w:t xml:space="preserve">10. Authorization</w:t>
      </w:r>
      <w:bookmarkEnd w:id="100069"/>
    </w:p>
    <w:p>
      <w:pPr>
        <w:spacing w:after="140" w:line="312" w:lineRule="auto"/>
        <w:jc w:val="both"/>
      </w:pPr>
      <w:r>
        <w:rPr>
          <w:rFonts w:ascii="Calibri"/>
          <w:color w:val="1A1A1A"/>
          <w:sz w:val="22"/>
          <w:szCs w:val="22"/>
        </w:rPr>
        <w:t xml:space="preserve">By signing below, the Sponsor authorizes the Project Manager to expend resources within the scope and budget defined in this Charter, including the US$463,450 CapEx budget (Table 3.1, pending Sponsor approval of the US$13,450 GoldBod-related incremental above the US$450,000 ceiling) and the 18-month OpEx runway of approximately US$715,000 (Financial Doc Section B). The Sponsor grants the PM authority to make day-to-day scope and prioritization decisions, to draw down contingency up to US$20K without further approval, and to escalate to the Sponsor for any change exceeding the thresholds defined in Table 3.8. This Charter is binding upon signature and remains in force until the project is formally closed by the Sponsor or until a successor Charter is signed.</w:t>
      </w:r>
    </w:p>
    <w:p>
      <w:pPr>
        <w:spacing w:after="0" w:before="240"/>
      </w:pPr>
    </w:p>
    <w:p>
      <w:pPr>
        <w:spacing w:after="80" w:before="200"/>
        <w:jc w:val="left"/>
      </w:pPr>
      <w:r>
        <w:rPr>
          <w:rFonts w:ascii="Calibri"/>
          <w:b/>
          <w:bCs/>
          <w:color w:val="1A1A1A"/>
          <w:sz w:val="24"/>
          <w:szCs w:val="24"/>
        </w:rPr>
        <w:t xml:space="preserve">Sponsor Authorization:</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Field</w:t>
            </w:r>
          </w:p>
        </w:tc>
        <w:tc>
          <w:tcPr>
            <w:tcW w:type="pct" w:w="7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Value</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Name</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【Sponsor name】</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Title</w:t>
            </w:r>
          </w:p>
        </w:tc>
        <w:tc>
          <w:tcPr>
            <w:tcW w:type="pct" w:w="7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Chief Executive Officer, Smart Innovations Ghana Limited</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Signature</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______________________________________________________________</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Date</w:t>
            </w:r>
          </w:p>
        </w:tc>
        <w:tc>
          <w:tcPr>
            <w:tcW w:type="pct" w:w="7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____ / ____ / 2026</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Explicit grant of authority</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The PM is hereby authorized to expend resources within the US$463,450 CapEx envelope (pending Sponsor approval of the US$13,450 GoldBod-related incremental above the US$450,000 ceiling) and the 18-month OpEx runway defined in this Charter, subject to the change-control thresholds in Table 3.8.</w:t>
            </w:r>
          </w:p>
        </w:tc>
      </w:tr>
    </w:tbl>
    <w:p>
      <w:pPr>
        <w:spacing w:after="0" w:before="240"/>
      </w:pPr>
    </w:p>
    <w:p>
      <w:pPr>
        <w:spacing w:after="80" w:before="200"/>
        <w:jc w:val="left"/>
      </w:pPr>
      <w:r>
        <w:rPr>
          <w:rFonts w:ascii="Calibri"/>
          <w:b/>
          <w:bCs/>
          <w:color w:val="1A1A1A"/>
          <w:sz w:val="24"/>
          <w:szCs w:val="24"/>
        </w:rPr>
        <w:t xml:space="preserve">Project Manager Acceptance:</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Field</w:t>
            </w:r>
          </w:p>
        </w:tc>
        <w:tc>
          <w:tcPr>
            <w:tcW w:type="pct" w:w="7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Value</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Name</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name】</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Title</w:t>
            </w:r>
          </w:p>
        </w:tc>
        <w:tc>
          <w:tcPr>
            <w:tcW w:type="pct" w:w="7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Project Manager, AurumXchange Initiative (Smart Innovations Ghana Limited)</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Signature</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______________________________________________________________</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Date</w:t>
            </w:r>
          </w:p>
        </w:tc>
        <w:tc>
          <w:tcPr>
            <w:tcW w:type="pct" w:w="7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____ / ____ / 2026</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Acceptance statement</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 accept the scope, authority, and accountability defined in this Charter and commit to delivering the SMART objectives in Section 3 within the budget envelope in Section 7.2.</w:t>
            </w:r>
          </w:p>
        </w:tc>
      </w:tr>
    </w:tbl>
    <w:p>
      <w:pPr>
        <w:spacing w:after="0" w:before="240"/>
      </w:pPr>
    </w:p>
    <w:p>
      <w:pPr>
        <w:spacing w:after="80" w:before="200"/>
        <w:jc w:val="left"/>
      </w:pPr>
      <w:r>
        <w:rPr>
          <w:rFonts w:ascii="Calibri"/>
          <w:b/>
          <w:bCs/>
          <w:color w:val="1A1A1A"/>
          <w:sz w:val="24"/>
          <w:szCs w:val="24"/>
        </w:rPr>
        <w:t xml:space="preserve">Chamber Acknowledgement (counterparty):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Field</w:t>
            </w:r>
          </w:p>
        </w:tc>
        <w:tc>
          <w:tcPr>
            <w:tcW w:type="pct" w:w="7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Value</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Name</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 President name】</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Title</w:t>
            </w:r>
          </w:p>
        </w:tc>
        <w:tc>
          <w:tcPr>
            <w:tcW w:type="pct" w:w="7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President, Ghana Chamber of Gold Buyers</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Signature</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______________________________________________________________</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Date</w:t>
            </w:r>
          </w:p>
        </w:tc>
        <w:tc>
          <w:tcPr>
            <w:tcW w:type="pct" w:w="7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____ / ____ / 2026</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Acknowledgement</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The Chamber acknowledges the scope and commercial model defined in this Charter and commits to the responsibilities allocated to the Chamber in Table 2.4 (BMC Key Partnerships) and the partnership agreement referenced in Section 7.3.</w:t>
            </w:r>
          </w:p>
        </w:tc>
      </w:tr>
    </w:tbl>
    <w:p>
      <w:r>
        <w:br w:type="page"/>
      </w:r>
    </w:p>
    <w:p>
      <w:pPr>
        <w:pStyle w:val="Heading1"/>
        <w:spacing w:after="200" w:before="480" w:line="360" w:lineRule="atLeast"/>
      </w:pPr>
      <w:bookmarkStart w:id="100070" w:name="_Toc100070"/>
      <w:r>
        <w:rPr>
          <w:rFonts w:ascii="Calibri"/>
          <w:b/>
          <w:bCs/>
          <w:color w:val="1A1A1A"/>
          <w:sz w:val="32"/>
          <w:szCs w:val="32"/>
        </w:rPr>
        <w:t xml:space="preserve">Golden Thread Validation</w:t>
      </w:r>
      <w:bookmarkEnd w:id="100070"/>
    </w:p>
    <w:p>
      <w:pPr>
        <w:spacing w:after="140" w:line="312" w:lineRule="auto"/>
        <w:jc w:val="both"/>
      </w:pPr>
      <w:r>
        <w:rPr>
          <w:rFonts w:ascii="Calibri"/>
          <w:color w:val="1A1A1A"/>
          <w:sz w:val="22"/>
          <w:szCs w:val="22"/>
        </w:rPr>
        <w:t xml:space="preserve">The Golden Thread is the deliberate traceability between the four documents that compose this business case. The brief requires four explicit cross-references: VPC → BMC, BMC → Financials, Financials → Charter, and Charter → VPC. This section narrates each cross-reference using AurumXchange-specific details so that a reviewer can confirm — without re-reading the four documents in full — that they tell one continuous, contradiction-free story suitable for board presentation. All Ghana gold market figures cited are drawn from publicly verifiable 2024–2025 sources: US$11.64B 2024 export revenue [CGTN Africa, 2025], 4.9M oz 2024 production [trade.gov, June 2025], GoldBod Act 1140 of 2 April 2025 [UNCTAD, 2025], BoG DGPP 358,218 oz in 2024 [Ghana Chamber of Mines PWYP report, 2024], and LBMA Responsible Gold Guidance five-step due diligence [lbma.org.uk, 2024].</w:t>
      </w:r>
    </w:p>
    <w:p>
      <w:pPr>
        <w:pStyle w:val="Heading2"/>
        <w:spacing w:after="160" w:before="360" w:line="340" w:lineRule="atLeast"/>
      </w:pPr>
      <w:bookmarkStart w:id="100071" w:name="_Toc100071"/>
      <w:r>
        <w:rPr>
          <w:rFonts w:ascii="Calibri"/>
          <w:b/>
          <w:bCs/>
          <w:color w:val="1A1A1A"/>
          <w:sz w:val="28"/>
          <w:szCs w:val="28"/>
        </w:rPr>
        <w:t xml:space="preserve">1. VPC → BMC</w:t>
      </w:r>
      <w:bookmarkEnd w:id="100071"/>
    </w:p>
    <w:p>
      <w:pPr>
        <w:spacing w:after="140" w:line="312" w:lineRule="auto"/>
        <w:jc w:val="both"/>
      </w:pPr>
      <w:r>
        <w:rPr>
          <w:rFonts w:ascii="Calibri"/>
          <w:color w:val="1A1A1A"/>
          <w:sz w:val="22"/>
          <w:szCs w:val="22"/>
        </w:rPr>
        <w:t xml:space="preserve">Question: Does the BMC's Value Proposition block accurately summarize the VPC's Fit Statement? Does the BMC's Customer Segment match the VPC's Customer Profile?</w:t>
      </w:r>
    </w:p>
    <w:p>
      <w:pPr>
        <w:spacing w:after="140" w:line="312" w:lineRule="auto"/>
        <w:jc w:val="both"/>
      </w:pPr>
      <w:r>
        <w:rPr>
          <w:rFonts w:ascii="Calibri"/>
          <w:color w:val="1A1A1A"/>
          <w:sz w:val="22"/>
          <w:szCs w:val="22"/>
        </w:rPr>
        <w:t xml:space="preserve">Answer: Yes, with explicit verbatim anchoring. The VPC Fit Statement (Document 1, Section C) reads: 'For licensed Tier 1 and Tier 2 gold buyers and sellers in Ghana who must trade high-value gold under strict GoldBod, PMMC, Minerals Commission, and LBMA Responsible Gold Guidance compliance without exposing themselves to price opacity, counterparty risk, or funds-at-risk windows, AurumXchange is a regulated B2B gold trading infrastructure that combines RFQ-driven negotiation, Chamber-approved escrow, and an immutable LBMA-RGG-aligned audit trail into a single compliance-gated exchange. Unlike the status quo of phone-brokered deals and fragmented paperwork across GoldBod, PMMC, and Bank of Ghana workflows, AurumXchange collapses every trade into a single auditable workflow where funds move only when title transfers.' The BMC Value Propositions block (Document 2, Table 2.2) restates this Fit Statement once per segment (Tier 2 Sellers including GoldBod-channel small-scale miners; Tier 2 Buyers; Tier 1 Buyers; the Chamber), with each restatement emphasizing the pain or gain most relevant to that segment. No proposition in Table 2.2 introduces a feature, claim, or scope item that is not grounded in the VPC.</w:t>
      </w:r>
    </w:p>
    <w:p>
      <w:pPr>
        <w:spacing w:after="140" w:line="312" w:lineRule="auto"/>
        <w:jc w:val="both"/>
      </w:pPr>
      <w:r>
        <w:rPr>
          <w:rFonts w:ascii="Calibri"/>
          <w:color w:val="1A1A1A"/>
          <w:sz w:val="22"/>
          <w:szCs w:val="22"/>
        </w:rPr>
        <w:t xml:space="preserve">On Customer Segment matching: the VPC's Customer Profile is built around the primary persona Kofi Mensah (Tier 2 licensed buyer in Kumasi). The BMC Customer Segments block (Document 2, Table 2.1) extends this to four personas — Abena Owusu (Tier 2 seller in Tarkwa, operating in the GoldBod small-scale channel since April 2025), Kofi Mensah (Tier 2 buyer in Kumasi, sourcing through bilateral offtake), Marcus Weber (Tier 1 buyer, Swiss LBMA-accredited refiner), and the Chamber itself — but Kofi remains the primary persona in both documents. The economic buyer in the VPC ('the trading member firms') matches the 'Economic Buyer' column in BMC Table 2.1: Kofi's firm, Abena's cooperative, Marcus's refiner parent. There is no segment drift. Critically, the dual-channel reality introduced by the GoldBod Act 1140 is reflected in both the VPC (Job J1) and the BMC (Table 2.1 Abena's persona description).</w:t>
      </w:r>
    </w:p>
    <w:p>
      <w:pPr>
        <w:pStyle w:val="Heading2"/>
        <w:spacing w:after="160" w:before="360" w:line="340" w:lineRule="atLeast"/>
      </w:pPr>
      <w:bookmarkStart w:id="100072" w:name="_Toc100072"/>
      <w:r>
        <w:rPr>
          <w:rFonts w:ascii="Calibri"/>
          <w:b/>
          <w:bCs/>
          <w:color w:val="1A1A1A"/>
          <w:sz w:val="28"/>
          <w:szCs w:val="28"/>
        </w:rPr>
        <w:t xml:space="preserve">2. BMC → Financials</w:t>
      </w:r>
      <w:bookmarkEnd w:id="100072"/>
    </w:p>
    <w:p>
      <w:pPr>
        <w:spacing w:after="140" w:line="312" w:lineRule="auto"/>
        <w:jc w:val="both"/>
      </w:pPr>
      <w:r>
        <w:rPr>
          <w:rFonts w:ascii="Calibri"/>
          <w:color w:val="1A1A1A"/>
          <w:sz w:val="22"/>
          <w:szCs w:val="22"/>
        </w:rPr>
        <w:t xml:space="preserve">Question: Does the Revenue Stream pricing in the BMC match the assumptions in the Financial Documentation's bottom-up revenue model? Do the BMC's Key Partnerships appear as line items in the OpEx budget?</w:t>
      </w:r>
    </w:p>
    <w:p>
      <w:pPr>
        <w:spacing w:after="140" w:line="312" w:lineRule="auto"/>
        <w:jc w:val="both"/>
      </w:pPr>
      <w:r>
        <w:rPr>
          <w:rFonts w:ascii="Calibri"/>
          <w:color w:val="1A1A1A"/>
          <w:sz w:val="22"/>
          <w:szCs w:val="22"/>
        </w:rPr>
        <w:t xml:space="preserve">Answer: Yes, with two explicit Golden Thread anchors. The first anchor is the BMC Revenue Streams table (Document 2, Table 2.3), which lists 11 revenue sources with prices: 0.10% per side transaction fee, US$100/month Professional, US$500+/month Enterprise, US$250/month featured listing, US$5/RFQ, US$25/contract, 0.05% escrow fee, US$150/shipment logistics coordination, 5–10% trade finance referral commission. Every line in this table reappears, with the same price, in the Financial Documentation's bottom-up revenue model (Table 3.5). The Year-1 transaction-fee revenue of US$725,800 (Table 3.5) is derived directly from the BMC's 0.10% per side × ~180 active traders × 1.4 trades/month × US$120,000 avg trade value (≈ 1.8 kg at the late-2024 LBMA PM Fix of ~US$2,600/oz [LBMA, 2024]) × 12 months × 2 sides. No price in the Financial Doc departs from the BMC.</w:t>
      </w:r>
    </w:p>
    <w:p>
      <w:pPr>
        <w:spacing w:after="140" w:line="312" w:lineRule="auto"/>
        <w:jc w:val="both"/>
      </w:pPr>
      <w:r>
        <w:rPr>
          <w:rFonts w:ascii="Calibri"/>
          <w:color w:val="1A1A1A"/>
          <w:sz w:val="22"/>
          <w:szCs w:val="22"/>
        </w:rPr>
        <w:t xml:space="preserve">The second anchor is the BMC Key Partnerships table (Document 2, Table 2.4), which lists 11 partners — including, as the #1 partner, the Ghana Gold Board (GoldBod, established under Act 1140 on 2 April 2025 [UNCTAD, 2025]). Every partner appears as a named line item in the OpEx budget (Document 3, Table 3.2): cloud hosting row covers AWS Ghana (af-west-1); third-party APIs/SaaS row covers Smile Identity, LBMA feed (FastMarkets/Refinitiv), Datadog/Sentry/Snyk; banking integration row covers the escrow bank (Stanbic Bank Ghana or Ecobank Ghana); compliance integration fee (Table 3.2 row 6, with detail in CapEx Table 3.1) covers GoldBod, PMMC, Minerals Commission, and Bank of Ghana DGPP reference prices; compliance &amp; security maintenance row covers SOC 2/ISO 27001 and the outsourced QA partner; ongoing software licenses &amp; legal row covers external Ghana-barred legal counsel. No partner in the BMC is unfunded in the OpEx budget. The GoldBod partnership is explicitly funded both in CapEx (US$8,500 legal compliance review + US$4,000 extra integration prep = US$12,500 incremental) and in OpEx (compliance &amp; security maintenance line includes GoldBod integration monitoring).</w:t>
      </w:r>
    </w:p>
    <w:p>
      <w:pPr>
        <w:pStyle w:val="Heading2"/>
        <w:spacing w:after="160" w:before="360" w:line="340" w:lineRule="atLeast"/>
      </w:pPr>
      <w:bookmarkStart w:id="100073" w:name="_Toc100073"/>
      <w:r>
        <w:rPr>
          <w:rFonts w:ascii="Calibri"/>
          <w:b/>
          <w:bCs/>
          <w:color w:val="1A1A1A"/>
          <w:sz w:val="28"/>
          <w:szCs w:val="28"/>
        </w:rPr>
        <w:t xml:space="preserve">3. Financials → Charter</w:t>
      </w:r>
      <w:bookmarkEnd w:id="100073"/>
    </w:p>
    <w:p>
      <w:pPr>
        <w:spacing w:after="140" w:line="312" w:lineRule="auto"/>
        <w:jc w:val="both"/>
      </w:pPr>
      <w:r>
        <w:rPr>
          <w:rFonts w:ascii="Calibri"/>
          <w:color w:val="1A1A1A"/>
          <w:sz w:val="22"/>
          <w:szCs w:val="22"/>
        </w:rPr>
        <w:t xml:space="preserve">Question: Does the CapEx budget fit within the Charter's authorized scope? Does the break-even timeline align with the Charter's milestone dates?</w:t>
      </w:r>
    </w:p>
    <w:p>
      <w:pPr>
        <w:spacing w:after="140" w:line="312" w:lineRule="auto"/>
        <w:jc w:val="both"/>
      </w:pPr>
      <w:r>
        <w:rPr>
          <w:rFonts w:ascii="Calibri"/>
          <w:color w:val="1A1A1A"/>
          <w:sz w:val="22"/>
          <w:szCs w:val="22"/>
        </w:rPr>
        <w:t xml:space="preserve">Answer: Yes on CapEx scope (with one explicit ceiling-overrun reconciliation); the break-even date now aligns cleanly with the Charter's revised Q3 2027 launch milestone. The Financial Documentation's CapEx total (Table 3.1) is US$463,450 — US$13,450 (2.9%) above the US$450,000 ceiling. The overrun is the GoldBod Act 1140 incremental (US$8,500 legal compliance review + US$4,000 extra integration prep = US$12,500, plus US$945 of indirect cost) which emerged as a hard requirement after April 2025. The Charter's authorized scope (Section 4) covers exactly the line items in Table 3.1: Phase 1 + Phase 2 personnel, software tools, legal (including GoldBod review), cloud setup, security, and integration fees (including GoldBod, PMMC, BoG). The Charter's Section 7.2 'Estimated Budget Summary' quotes the US$463,450 figure and the US$715,000 18-month OpEx runway verbatim, and explicitly frames the GoldBod incremental as requiring Sponsor approval (option (a) ceiling increase to US$463,450 preserving full contingency; option (b) absorb from contingency reducing it from US$60,450 to US$47,000). The Charter's Section 10 Authorization explicitly grants the PM authority to expend resources 'within the US$463,450 CapEx envelope (pending Sponsor approval of the US$13,450 GoldBod-related incremental above the US$450,000 ceiling).' There is no scope in the Charter that lacks a CapEx line item, and no CapEx line item that lacks a Charter scope reference.</w:t>
      </w:r>
    </w:p>
    <w:p>
      <w:pPr>
        <w:spacing w:after="140" w:line="312" w:lineRule="auto"/>
        <w:jc w:val="both"/>
      </w:pPr>
      <w:r>
        <w:rPr>
          <w:rFonts w:ascii="Calibri"/>
          <w:color w:val="1A1A1A"/>
          <w:sz w:val="22"/>
          <w:szCs w:val="22"/>
        </w:rPr>
        <w:t xml:space="preserve">On the break-even timeline reconciliation: the Financial Documentation's break-even analysis (Table 3.7) now explicitly indexes break-even to 'Month 22 (Q3 2029, given a Q3 2027 launch)' — a calendar-anchored statement that removes the ambiguity flagged in the prior version. The Charter's milestone table (Table 4.4) sets M6 Launch at 30 September 2027 (Q3 2027), and the KPI table (Table 4.6) sets the break-even date at 'Month 22 (Q3 2029, given Q3 2027 launch).' Adding 22 months to a 30 September 2027 launch lands break-even at approximately 31 July 2029 (Q3 2029). The Financial Documentation's Table 3.7 confirms this with a per-quarter cash trajectory: cumulative cash position turns positive at month 18 (Q1 2029) and reaches US$0 (break-even) at month 22 (Q3 2029). The 18-month OpEx runway covers the period from launch (Q3 2027) through Q1 2029; a US$170,000 bridge (4 × US$42,620) is required between Q1 2029 and Q3 2029, to be covered by a Series A round in month 18 (Q1 2029). The reconciliation is documented in three places (Charter Section 6, Charter KPI Table 4.6, Financial Doc Table 3.7) and is contradiction-free.</w:t>
      </w:r>
    </w:p>
    <w:p>
      <w:pPr>
        <w:spacing w:after="140" w:line="312" w:lineRule="auto"/>
        <w:jc w:val="both"/>
      </w:pPr>
      <w:r>
        <w:rPr>
          <w:rFonts w:ascii="Calibri"/>
          <w:color w:val="1A1A1A"/>
          <w:sz w:val="22"/>
          <w:szCs w:val="22"/>
        </w:rPr>
        <w:t xml:space="preserve">A second, smaller reconciliation: the Financial Doc's Cost of Doing Nothing (Section E) cites a 5-year cost of US$30–50M, dwarfing the US$4.86M total CapEx + OpEx investment. This claim is grounded in the BMC's Customer Segments (~1,500 Chamber members) and the VPC's quantified Pains (1-in-4 trades overpaying by US$2,500/kg; 6-day export documentation drag across GoldBod/PMMC/GRA/BoG). The Charter does not directly cite the Cost of Doing Nothing, but its Business Case Summary (Section 2) references 'the VPC Fit Statement' and 'the BMC commercial viability' that ground the calculation. No Golden Thread break.</w:t>
      </w:r>
    </w:p>
    <w:p>
      <w:pPr>
        <w:pStyle w:val="Heading2"/>
        <w:spacing w:after="160" w:before="360" w:line="340" w:lineRule="atLeast"/>
      </w:pPr>
      <w:bookmarkStart w:id="100074" w:name="_Toc100074"/>
      <w:r>
        <w:rPr>
          <w:rFonts w:ascii="Calibri"/>
          <w:b/>
          <w:bCs/>
          <w:color w:val="1A1A1A"/>
          <w:sz w:val="28"/>
          <w:szCs w:val="28"/>
        </w:rPr>
        <w:t xml:space="preserve">4. Charter → VPC</w:t>
      </w:r>
      <w:bookmarkEnd w:id="100074"/>
    </w:p>
    <w:p>
      <w:pPr>
        <w:spacing w:after="140" w:line="312" w:lineRule="auto"/>
        <w:jc w:val="both"/>
      </w:pPr>
      <w:r>
        <w:rPr>
          <w:rFonts w:ascii="Calibri"/>
          <w:color w:val="1A1A1A"/>
          <w:sz w:val="22"/>
          <w:szCs w:val="22"/>
        </w:rPr>
        <w:t xml:space="preserve">Question: Does the In-Scope feature set in the Charter directly deliver the Pain Relievers and Gain Creators promised in the VPC? If a feature is Out-of-Scope, is the corresponding Pain/Gain deferred to a future phase?</w:t>
      </w:r>
    </w:p>
    <w:p>
      <w:pPr>
        <w:spacing w:after="140" w:line="312" w:lineRule="auto"/>
        <w:jc w:val="both"/>
      </w:pPr>
      <w:r>
        <w:rPr>
          <w:rFonts w:ascii="Calibri"/>
          <w:color w:val="1A1A1A"/>
          <w:sz w:val="22"/>
          <w:szCs w:val="22"/>
        </w:rPr>
        <w:t xml:space="preserve">Answer: Yes. The VPC identifies 5 Pain Relievers (Table 1.4) and 5 Gain Creators (Table 1.5). Each is traced below to its corresponding Charter scope item.</w:t>
      </w:r>
    </w:p>
    <w:p>
      <w:pPr>
        <w:keepNext/>
        <w:spacing w:after="80" w:before="200" w:line="280" w:lineRule="auto"/>
        <w:jc w:val="left"/>
      </w:pPr>
      <w:r>
        <w:rPr>
          <w:rFonts w:ascii="Calibri"/>
          <w:b/>
          <w:bCs/>
          <w:color w:val="1A1A1A"/>
          <w:sz w:val="22"/>
          <w:szCs w:val="22"/>
        </w:rPr>
        <w:t xml:space="preserve">Table GT.1. </w:t>
      </w:r>
      <w:r>
        <w:rPr>
          <w:rFonts w:ascii="Calibri"/>
          <w:b/>
          <w:bCs/>
          <w:color w:val="1A1A1A"/>
          <w:sz w:val="22"/>
          <w:szCs w:val="22"/>
        </w:rPr>
        <w:t xml:space="preserve">Pain Reliever → Charter Scope Traceability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VPC Pain Reliever</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VPC Table 1.4 Reference</w:t>
            </w:r>
          </w:p>
        </w:tc>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Charter Scope (Section 4.1)</w:t>
            </w:r>
          </w:p>
        </w:tc>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Status</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RFQ + bid comparison dashboard with live LBMA PM Fix overlay</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P1 — Price opacity</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2)</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KYC/AML (Smile Identity) + Minerals Commission licence + GoldBod registration verification</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P2 — Counterparty risk</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1)</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Core audit export → Phase 3 GoldBod + PMMC workflow integration</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P3 — Export documentation drag (post-GoldBod)</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Phase 3 prep in MVP via Compliance Core audit export; full GoldBod + PMMC API integration in Phase 3 (M8, target 30 Jun 2028)</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Partial MVP; full Phase 3</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integration with partner bank (Stanbic Bank Ghana or Ecobank Ghana)</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P4 — Funds-at-risk window</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2)</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Immutable audit log pre-validated against LBMA RGG five-step due diligence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P5 — Audit trail fragmentation vs LBMA RGG</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1 + Phase 2, cross-cutting Compliance Core)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bl>
    <w:p>
      <w:pPr>
        <w:keepNext/>
        <w:spacing w:after="200" w:before="60" w:line="280" w:lineRule="auto"/>
        <w:jc w:val="left"/>
      </w:pPr>
      <w:r>
        <w:rPr>
          <w:rFonts w:ascii="Calibri"/>
          <w:b/>
          <w:bCs/>
          <w:color w:val="5A6068"/>
          <w:sz w:val="18"/>
          <w:szCs w:val="18"/>
        </w:rPr>
        <w:t xml:space="preserve">Table GT.1. </w:t>
      </w:r>
      <w:r>
        <w:rPr>
          <w:rFonts w:ascii="Calibri"/>
          <w:i/>
          <w:iCs/>
          <w:color w:val="5A6068"/>
          <w:sz w:val="18"/>
          <w:szCs w:val="18"/>
        </w:rPr>
        <w:t xml:space="preserve">All five Pain Relievers have a Charter scope reference. P3 is the only partial-MVP delivery; this is explicitly reconciled with the Phase 3 M8 milestone for full GoldBod + PMMC integration.</w:t>
      </w:r>
    </w:p>
    <w:p>
      <w:pPr>
        <w:keepNext/>
        <w:spacing w:after="80" w:before="200" w:line="280" w:lineRule="auto"/>
        <w:jc w:val="left"/>
      </w:pPr>
      <w:r>
        <w:rPr>
          <w:rFonts w:ascii="Calibri"/>
          <w:b/>
          <w:bCs/>
          <w:color w:val="1A1A1A"/>
          <w:sz w:val="22"/>
          <w:szCs w:val="22"/>
        </w:rPr>
        <w:t xml:space="preserve">Table GT.2. </w:t>
      </w:r>
      <w:r>
        <w:rPr>
          <w:rFonts w:ascii="Calibri"/>
          <w:b/>
          <w:bCs/>
          <w:color w:val="1A1A1A"/>
          <w:sz w:val="22"/>
          <w:szCs w:val="22"/>
        </w:rPr>
        <w:t xml:space="preserve">Gain Creator → Charter Scope Traceability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VPC Gain Creator</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VPC Table 1.5 Reference</w:t>
            </w:r>
          </w:p>
        </w:tc>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Charter Scope (Section 4.1 / 4.2)</w:t>
            </w:r>
          </w:p>
        </w:tc>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Status</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Immutable audit log (Compliance Core, LBMA RGG-aligned)</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G1 — Compliance-grade audit trail</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1+2 Compliance Core)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Partner-bank escrow integration (Stanbic or Ecobank Ghana)</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G2 — Escrow protection</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2)</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Bid comparison dashboard + 90-day historical price feed + live LBMA PM Fix overlay</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G3 — Price transparency</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2)</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Core audit export → GoldBod + PMMC workflow</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G4 — Faster export documentation (incl. GoldBod)</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Phase 2 MVP (audit export only); full Phase 3 (GoldBod + PMMC API integration, M8)</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Partial MVP; full Phase 3</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Phase 4 market intelligence module (LBMA PM Fix + BoG DGPP prices + AI price forecasting)</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G5 — Market intelligence</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Out-of-Scope (Phase 4, deferred per Section 4.2)</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Deferred to Phase 4</w:t>
            </w:r>
          </w:p>
        </w:tc>
      </w:tr>
    </w:tbl>
    <w:p>
      <w:pPr>
        <w:keepNext/>
        <w:spacing w:after="200" w:before="60" w:line="280" w:lineRule="auto"/>
        <w:jc w:val="left"/>
      </w:pPr>
      <w:r>
        <w:rPr>
          <w:rFonts w:ascii="Calibri"/>
          <w:b/>
          <w:bCs/>
          <w:color w:val="5A6068"/>
          <w:sz w:val="18"/>
          <w:szCs w:val="18"/>
        </w:rPr>
        <w:t xml:space="preserve">Table GT.2. </w:t>
      </w:r>
      <w:r>
        <w:rPr>
          <w:rFonts w:ascii="Calibri"/>
          <w:i/>
          <w:iCs/>
          <w:color w:val="5A6068"/>
          <w:sz w:val="18"/>
          <w:szCs w:val="18"/>
        </w:rPr>
        <w:t xml:space="preserve">All five Gain Creators have a Charter scope reference. G5 is the only one deferred entirely to a future phase — and the VPC already categorized G5 as a Desired gain (not Required or Expected), so deferral does not break MVP adoption. G5 also references the BoG DGPP, providing a credible alternative sales channel for sellers and grounding the market intelligence use case in the 2024 actual of 358,218 oz purchased by the Bank of Ghana from Chamber members [Ghana Chamber of Mines PWYP report, 2024].</w:t>
      </w:r>
    </w:p>
    <w:p>
      <w:pPr>
        <w:spacing w:after="140" w:line="312" w:lineRule="auto"/>
        <w:jc w:val="both"/>
      </w:pPr>
      <w:r>
        <w:rPr>
          <w:rFonts w:ascii="Calibri"/>
          <w:color w:val="1A1A1A"/>
          <w:sz w:val="22"/>
          <w:szCs w:val="22"/>
        </w:rPr>
        <w:t xml:space="preserve">The single explicit Out-of-Scope feature with VPC implications is the Auction Module. The VPC's original proposal mentioned an optional auction module (timed, reverse, or sealed-bid) for high-demand lots; this is not enumerated as a Pain or Gain in Tables 1.2–1.5 because it was not raised as a top-5 pain or gain in the persona interviews. The Charter correctly defers it to Phase 3, and the Golden Thread is preserved because no VPC claim relies on the auction module being in MVP. The Charter also defers Mobile Apps (iOS/Android) — but the VPC's Channel block in the BMC (Document 2, Section 3) specifies 'web application (responsive, mobile-friendly)' as the access channel, with native apps explicitly noted as deferred. The deferral is therefore consistent with the BMC. The Charter additionally defers GoldBod and PMMC deep API integration to Phase 3 (M8), but the VPC's P3 and G4 are explicitly written to accommodate this — they promise 'partial MVP via Compliance Core audit export, full Phase 3 via API integration,' matching the Charter's M8 milestone exactly.</w:t>
      </w:r>
    </w:p>
    <w:p>
      <w:pPr>
        <w:pStyle w:val="Heading2"/>
        <w:spacing w:after="160" w:before="360" w:line="340" w:lineRule="atLeast"/>
      </w:pPr>
      <w:bookmarkStart w:id="100075" w:name="_Toc100075"/>
      <w:r>
        <w:rPr>
          <w:rFonts w:ascii="Calibri"/>
          <w:b/>
          <w:bCs/>
          <w:color w:val="1A1A1A"/>
          <w:sz w:val="28"/>
          <w:szCs w:val="28"/>
        </w:rPr>
        <w:t xml:space="preserve">Summary</w:t>
      </w:r>
      <w:bookmarkEnd w:id="100075"/>
    </w:p>
    <w:p>
      <w:pPr>
        <w:spacing w:after="140" w:line="312" w:lineRule="auto"/>
        <w:jc w:val="both"/>
      </w:pPr>
      <w:r>
        <w:rPr>
          <w:rFonts w:ascii="Calibri"/>
          <w:color w:val="1A1A1A"/>
          <w:sz w:val="22"/>
          <w:szCs w:val="22"/>
        </w:rPr>
        <w:t xml:space="preserve">The four documents form a coherent, contradiction-free story, now grounded in publicly verifiable 2024–2025 Ghana gold market data. The VPC defines what the customer needs (against the real post-GoldBod Act 1140 environment); the BMC converts those needs into a sustainable commercial architecture (with GoldBod as the #1 Key Partnership and Stanbic Bank Ghana / Ecobank Ghana as named escrow bank candidates); the Financial Documentation proves the architecture is economically viable (TAM anchored on the validated US$11.64B 2024 export revenue, break-even at Q3 2029 given a Q3 2027 launch); the Charter authorizes the work, fixes scope, and assigns governance (with GoldBod Act 1140 as the explicit top regulatory risk R1). Every cross-reference required by the brief is satisfied: VPC Fit Statement → BMC Value Propositions (verbatim); BMC Revenue Streams → Financial bottom-up model (price-for-price); BMC Key Partnerships → OpEx line items (partner-for-line, including GoldBod); Financial CapEx → Charter authorized scope (dollar-for-dollar, with the US$13,450 GoldBod incremental explicitly flagged for Sponsor approval); Financial break-even → Charter milestone dates (now cleanly aligned at Q3 2029 given Q3 2027 launch); Charter In-Scope features → VPC Pain Relievers and Gain Creators (5-of-5 and 5-of-5 traceable); Charter Out-of-Scope features → VPC Desired gains deferred to future phases (GoldBod + PMMC deep integration in Phase 3; auction module, market intelligence, mobile apps deferred to Phase 3–5).</w:t>
      </w:r>
    </w:p>
    <w:p>
      <w:pPr>
        <w:spacing w:after="140" w:line="312" w:lineRule="auto"/>
        <w:jc w:val="both"/>
      </w:pPr>
      <w:r>
        <w:rPr>
          <w:rFonts w:ascii="Calibri"/>
          <w:color w:val="1A1A1A"/>
          <w:sz w:val="22"/>
          <w:szCs w:val="22"/>
        </w:rPr>
        <w:t xml:space="preserve">The single reconciliation the Golden Thread absorbs in this revision — the US$13,450 CapEx ceiling overrun driven by the GoldBod Act 1140 incremental — is documented in three places (Financial Doc Table 3.1, Charter Section 7.2, Charter Section 10 Authorization) and explicitly framed as a Sponsor decision between (a) approving a ceiling increase and (b) absorbing the overrun from contingency. The prior-version reconciliation (break-even date drift from Q4 2028 to Q3 2029 due to the launch date moving from Q1 2027 to Q3 2027) is now fully absorbed: the Financial Doc's Table 3.7 explicitly indexes to Q3 2029, and the Charter's KPI Table 4.6 and milestone Table 4.4 confirm the Q3 2027 launch and Q3 2029 break-even. The business case is investor-ready and board-presentable, grounded in Ghana's actual 2024 gold market performance rather than aspirational projections.</w:t>
      </w:r>
    </w:p>
    <w:p>
      <w:pPr>
        <w:pStyle w:val="Heading2"/>
        <w:spacing w:after="160" w:before="360" w:line="340" w:lineRule="atLeast"/>
      </w:pPr>
      <w:bookmarkStart w:id="100076" w:name="_Toc100076"/>
      <w:r>
        <w:rPr>
          <w:rFonts w:ascii="Calibri"/>
          <w:b/>
          <w:bCs/>
          <w:color w:val="1A1A1A"/>
          <w:sz w:val="28"/>
          <w:szCs w:val="28"/>
        </w:rPr>
        <w:t xml:space="preserve">References</w:t>
      </w:r>
      <w:bookmarkEnd w:id="100076"/>
    </w:p>
    <w:p>
      <w:pPr>
        <w:spacing w:after="140" w:line="312" w:lineRule="auto"/>
        <w:jc w:val="both"/>
      </w:pPr>
      <w:r>
        <w:rPr>
          <w:rFonts w:ascii="Calibri"/>
          <w:color w:val="1A1A1A"/>
          <w:sz w:val="22"/>
          <w:szCs w:val="22"/>
        </w:rPr>
        <w:t xml:space="preserve">All sources cited inline in this business case using the [Source, Year] convention. Full citations below; all URLs accessed in August 2026.</w:t>
      </w:r>
    </w:p>
    <w:p>
      <w:pPr>
        <w:pStyle w:val="ListParagraph"/>
        <w:numPr>
          <w:ilvl w:val="0"/>
          <w:numId w:val="1"/>
        </w:numPr>
        <w:spacing w:after="80" w:line="300" w:lineRule="auto"/>
        <w:jc w:val="left"/>
      </w:pPr>
      <w:r>
        <w:rPr>
          <w:rFonts w:ascii="Calibri"/>
          <w:color w:val="1A1A1A"/>
          <w:sz w:val="22"/>
          <w:szCs w:val="22"/>
        </w:rPr>
        <w:t xml:space="preserve">CGTN Africa (2025). Ghana's gold output rises 23.4% to 5.94 million ounces in 2025; 2024 export revenue US$11.64B (+53.2% YoY), US$5B from legal small-scale miners. https://www.facebook.com/cgtnafrica/</w:t>
      </w:r>
    </w:p>
    <w:p>
      <w:pPr>
        <w:pStyle w:val="ListParagraph"/>
        <w:numPr>
          <w:ilvl w:val="0"/>
          <w:numId w:val="1"/>
        </w:numPr>
        <w:spacing w:after="80" w:line="300" w:lineRule="auto"/>
        <w:jc w:val="left"/>
      </w:pPr>
      <w:r>
        <w:rPr>
          <w:rFonts w:ascii="Calibri"/>
          <w:color w:val="1A1A1A"/>
          <w:sz w:val="22"/>
          <w:szCs w:val="22"/>
        </w:rPr>
        <w:t xml:space="preserve">Ghana Chamber of Mines (2024). Publish What You Pay report. https://ghanachamberofmines.org/storage/2025/07/Publish-What-You-Pay-Final.pdf — source for BoG DGPP 358,218 oz purchased from Chamber members in 2024.</w:t>
      </w:r>
    </w:p>
    <w:p>
      <w:pPr>
        <w:pStyle w:val="ListParagraph"/>
        <w:numPr>
          <w:ilvl w:val="0"/>
          <w:numId w:val="1"/>
        </w:numPr>
        <w:spacing w:after="80" w:line="300" w:lineRule="auto"/>
        <w:jc w:val="left"/>
      </w:pPr>
      <w:r>
        <w:rPr>
          <w:rFonts w:ascii="Calibri"/>
          <w:color w:val="1A1A1A"/>
          <w:sz w:val="22"/>
          <w:szCs w:val="22"/>
        </w:rPr>
        <w:t xml:space="preserve">Ghana Chamber of Mines (2025). 2025 production projection 4.4–5.1M oz. Via African Mining Market. https://africanminingmarket.com/ghana-chamber-of-mines-projects-robust-growth-in-2025/22427</w:t>
      </w:r>
    </w:p>
    <w:p>
      <w:pPr>
        <w:pStyle w:val="ListParagraph"/>
        <w:numPr>
          <w:ilvl w:val="0"/>
          <w:numId w:val="1"/>
        </w:numPr>
        <w:spacing w:after="80" w:line="300" w:lineRule="auto"/>
        <w:jc w:val="left"/>
      </w:pPr>
      <w:r>
        <w:rPr>
          <w:rFonts w:ascii="Calibri"/>
          <w:color w:val="1A1A1A"/>
          <w:sz w:val="22"/>
          <w:szCs w:val="22"/>
        </w:rPr>
        <w:t xml:space="preserve">Ghana Data Protection Commission. Data Protection Act, 2012 (Act 843). https://dataprotection.org.gh</w:t>
      </w:r>
    </w:p>
    <w:p>
      <w:pPr>
        <w:pStyle w:val="ListParagraph"/>
        <w:numPr>
          <w:ilvl w:val="0"/>
          <w:numId w:val="1"/>
        </w:numPr>
        <w:spacing w:after="80" w:line="300" w:lineRule="auto"/>
        <w:jc w:val="left"/>
      </w:pPr>
      <w:r>
        <w:rPr>
          <w:rFonts w:ascii="Calibri"/>
          <w:color w:val="1A1A1A"/>
          <w:sz w:val="22"/>
          <w:szCs w:val="22"/>
        </w:rPr>
        <w:t xml:space="preserve">Ghana Gold Board (2025). Ghana Gold Board Act, 2025 (Act 1140), adopted 2 April 2025. https://goldbod.gov.gh and https://goldbod.gov.gh/file/GHANA-GOLDBOD-ACT-ACT-1140.pdf</w:t>
      </w:r>
    </w:p>
    <w:p>
      <w:pPr>
        <w:pStyle w:val="ListParagraph"/>
        <w:numPr>
          <w:ilvl w:val="0"/>
          <w:numId w:val="1"/>
        </w:numPr>
        <w:spacing w:after="80" w:line="300" w:lineRule="auto"/>
        <w:jc w:val="left"/>
      </w:pPr>
      <w:r>
        <w:rPr>
          <w:rFonts w:ascii="Calibri"/>
          <w:color w:val="1A1A1A"/>
          <w:sz w:val="22"/>
          <w:szCs w:val="22"/>
        </w:rPr>
        <w:t xml:space="preserve">Ghana Ministry of Foreign Affairs. Gold Export Guidelines via PMMC. https://dakar.mfa.gov.gh/Note-Precious-Mineral-marketing-gold-export.aspx</w:t>
      </w:r>
    </w:p>
    <w:p>
      <w:pPr>
        <w:pStyle w:val="ListParagraph"/>
        <w:numPr>
          <w:ilvl w:val="0"/>
          <w:numId w:val="1"/>
        </w:numPr>
        <w:spacing w:after="80" w:line="300" w:lineRule="auto"/>
        <w:jc w:val="left"/>
      </w:pPr>
      <w:r>
        <w:rPr>
          <w:rFonts w:ascii="Calibri"/>
          <w:color w:val="1A1A1A"/>
          <w:sz w:val="22"/>
          <w:szCs w:val="22"/>
        </w:rPr>
        <w:t xml:space="preserve">LBMA (2024). Responsible Gold Guidance — five-step due diligence on OECD Due Diligence Guidance for Responsible Supply Chains of Minerals from Conflict-Affected and High-Risk Areas. https://www.lbma.org.uk/publications/sustainability-and-responsible-sourcing-2024/</w:t>
      </w:r>
    </w:p>
    <w:p>
      <w:pPr>
        <w:pStyle w:val="ListParagraph"/>
        <w:numPr>
          <w:ilvl w:val="0"/>
          <w:numId w:val="1"/>
        </w:numPr>
        <w:spacing w:after="80" w:line="300" w:lineRule="auto"/>
        <w:jc w:val="left"/>
      </w:pPr>
      <w:r>
        <w:rPr>
          <w:rFonts w:ascii="Calibri"/>
          <w:color w:val="1A1A1A"/>
          <w:sz w:val="22"/>
          <w:szCs w:val="22"/>
        </w:rPr>
        <w:t xml:space="preserve">Minerals Commission of Ghana. Licensing and verification. https://mincom.gov.gh</w:t>
      </w:r>
    </w:p>
    <w:p>
      <w:pPr>
        <w:pStyle w:val="ListParagraph"/>
        <w:numPr>
          <w:ilvl w:val="0"/>
          <w:numId w:val="1"/>
        </w:numPr>
        <w:spacing w:after="80" w:line="300" w:lineRule="auto"/>
        <w:jc w:val="left"/>
      </w:pPr>
      <w:r>
        <w:rPr>
          <w:rFonts w:ascii="Calibri"/>
          <w:color w:val="1A1A1A"/>
          <w:sz w:val="22"/>
          <w:szCs w:val="22"/>
        </w:rPr>
        <w:t xml:space="preserve">Open Government Partnership (GH0029). Implement Anti-Money Laundering Act, 2020 (Act 1044) — establishes the Financial Intelligence Centre (FIC). https://www.opengovpartnership.org/members/ghana/commitments/GH0029</w:t>
      </w:r>
    </w:p>
    <w:p>
      <w:pPr>
        <w:pStyle w:val="ListParagraph"/>
        <w:numPr>
          <w:ilvl w:val="0"/>
          <w:numId w:val="1"/>
        </w:numPr>
        <w:spacing w:after="80" w:line="300" w:lineRule="auto"/>
        <w:jc w:val="left"/>
      </w:pPr>
      <w:r>
        <w:rPr>
          <w:rFonts w:ascii="Calibri"/>
          <w:color w:val="1A1A1A"/>
          <w:sz w:val="22"/>
          <w:szCs w:val="22"/>
        </w:rPr>
        <w:t xml:space="preserve">PMMC (Precious Minerals Marketing Company). Licensed Gold Exporter (LGE) workflow. https://www.pmmc.gov.gh/licensing</w:t>
      </w:r>
    </w:p>
    <w:p>
      <w:pPr>
        <w:pStyle w:val="ListParagraph"/>
        <w:numPr>
          <w:ilvl w:val="0"/>
          <w:numId w:val="1"/>
        </w:numPr>
        <w:spacing w:after="80" w:line="300" w:lineRule="auto"/>
        <w:jc w:val="left"/>
      </w:pPr>
      <w:r>
        <w:rPr>
          <w:rFonts w:ascii="Calibri"/>
          <w:color w:val="1A1A1A"/>
          <w:sz w:val="22"/>
          <w:szCs w:val="22"/>
        </w:rPr>
        <w:t xml:space="preserve">Reuters (30 May 2025). Ghana gold output could rise 6.25% to 5.1 million ounces in 2025. https://www.reuters.com/world/africa/</w:t>
      </w:r>
    </w:p>
    <w:p>
      <w:pPr>
        <w:pStyle w:val="ListParagraph"/>
        <w:numPr>
          <w:ilvl w:val="0"/>
          <w:numId w:val="1"/>
        </w:numPr>
        <w:spacing w:after="80" w:line="300" w:lineRule="auto"/>
        <w:jc w:val="left"/>
      </w:pPr>
      <w:r>
        <w:rPr>
          <w:rFonts w:ascii="Calibri"/>
          <w:color w:val="1A1A1A"/>
          <w:sz w:val="22"/>
          <w:szCs w:val="22"/>
        </w:rPr>
        <w:t xml:space="preserve">Smile Identity (2024). KYC and biometric verification platform operating in 50+ African countries. https://www.usesmileid.com/</w:t>
      </w:r>
    </w:p>
    <w:p>
      <w:pPr>
        <w:pStyle w:val="ListParagraph"/>
        <w:numPr>
          <w:ilvl w:val="0"/>
          <w:numId w:val="1"/>
        </w:numPr>
        <w:spacing w:after="80" w:line="300" w:lineRule="auto"/>
        <w:jc w:val="left"/>
      </w:pPr>
      <w:r>
        <w:rPr>
          <w:rFonts w:ascii="Calibri"/>
          <w:color w:val="1A1A1A"/>
          <w:sz w:val="22"/>
          <w:szCs w:val="22"/>
        </w:rPr>
        <w:t xml:space="preserve">Stanbic Bank Ghana. Corporate and business banking. https://www.stanbicbank.com.gh/</w:t>
      </w:r>
    </w:p>
    <w:p>
      <w:pPr>
        <w:pStyle w:val="ListParagraph"/>
        <w:numPr>
          <w:ilvl w:val="0"/>
          <w:numId w:val="1"/>
        </w:numPr>
        <w:spacing w:after="80" w:line="300" w:lineRule="auto"/>
        <w:jc w:val="left"/>
      </w:pPr>
      <w:r>
        <w:rPr>
          <w:rFonts w:ascii="Calibri"/>
          <w:color w:val="1A1A1A"/>
          <w:sz w:val="22"/>
          <w:szCs w:val="22"/>
        </w:rPr>
        <w:t xml:space="preserve">Ecobank Ghana. Corporate and Investment Banking. https://ecobank.com/corporate-investment-banking</w:t>
      </w:r>
    </w:p>
    <w:p>
      <w:pPr>
        <w:pStyle w:val="ListParagraph"/>
        <w:numPr>
          <w:ilvl w:val="0"/>
          <w:numId w:val="1"/>
        </w:numPr>
        <w:spacing w:after="80" w:line="300" w:lineRule="auto"/>
        <w:jc w:val="left"/>
      </w:pPr>
      <w:r>
        <w:rPr>
          <w:rFonts w:ascii="Calibri"/>
          <w:color w:val="1A1A1A"/>
          <w:sz w:val="22"/>
          <w:szCs w:val="22"/>
        </w:rPr>
        <w:t xml:space="preserve">trade.gov (10 June 2025). Ghana Mining Gold Rush — 2024 production ~4.9M oz (~136 metric tons), 8.5% increase. https://www.trade.gov/market-intelligence/ghana-mining-gold-rush</w:t>
      </w:r>
    </w:p>
    <w:p>
      <w:pPr>
        <w:pStyle w:val="ListParagraph"/>
        <w:numPr>
          <w:ilvl w:val="0"/>
          <w:numId w:val="1"/>
        </w:numPr>
        <w:spacing w:after="80" w:line="300" w:lineRule="auto"/>
        <w:jc w:val="left"/>
      </w:pPr>
      <w:r>
        <w:rPr>
          <w:rFonts w:ascii="Calibri"/>
          <w:color w:val="1A1A1A"/>
          <w:sz w:val="22"/>
          <w:szCs w:val="22"/>
        </w:rPr>
        <w:t xml:space="preserve">UNCTAD Investment Policy Monitor (2025). Adopted Law vesting the Ghana Gold Board (GoldBod) with sole buyer authority for small-scale-mined gold, 2 April 2025. https://investmentpolicy.unctad.org/investment-policy-monitor/measures/5048/</w:t>
      </w:r>
    </w:p>
    <w:p>
      <w:pPr>
        <w:pStyle w:val="ListParagraph"/>
        <w:numPr>
          <w:ilvl w:val="0"/>
          <w:numId w:val="1"/>
        </w:numPr>
        <w:spacing w:after="80" w:line="300" w:lineRule="auto"/>
        <w:jc w:val="left"/>
      </w:pPr>
      <w:r>
        <w:rPr>
          <w:rFonts w:ascii="Calibri"/>
          <w:color w:val="1A1A1A"/>
          <w:sz w:val="22"/>
          <w:szCs w:val="22"/>
        </w:rPr>
        <w:t xml:space="preserve">African Gold Report (2024). Ghana tops ranking of Africa's largest gold producers; &gt;125 tonnes declared production in 2023. https://africangoldreport.org/ghana</w:t>
      </w:r>
    </w:p>
    <w:p>
      <w:pPr>
        <w:pStyle w:val="ListParagraph"/>
        <w:numPr>
          <w:ilvl w:val="0"/>
          <w:numId w:val="1"/>
        </w:numPr>
        <w:spacing w:after="80" w:line="300" w:lineRule="auto"/>
        <w:jc w:val="left"/>
      </w:pPr>
      <w:r>
        <w:rPr>
          <w:rFonts w:ascii="Calibri"/>
          <w:color w:val="1A1A1A"/>
          <w:sz w:val="22"/>
          <w:szCs w:val="22"/>
        </w:rPr>
        <w:t xml:space="preserve">namescan.io (2025). AML Regulations in Ghana — DNFBP obligations under AML Act 2020 (Act 1044). https://namescan.io/insights/aml-regulations-ghana-2025</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68"/>
        <w:sz w:val="16"/>
        <w:szCs w:val="16"/>
      </w:rPr>
      <w:t xml:space="preserve">AurumXchange Business Case  |  Page </w:t>
    </w:r>
    <w:r>
      <w:rPr>
        <w:rFonts w:ascii="Calibri"/>
        <w:b/>
        <w:bCs/>
        <w:color w:val="5A60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jc w:val="right"/>
    </w:pPr>
    <w:r>
      <w:rPr>
        <w:rFonts w:ascii="Calibri"/>
        <w:i/>
        <w:iCs/>
        <w:color w:val="5A6068"/>
        <w:sz w:val="16"/>
        <w:szCs w:val="16"/>
      </w:rPr>
      <w:t xml:space="preserve">AurumXchange  —  Investor-Ready Business Case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jc w:val="right"/>
    </w:pPr>
    <w:r>
      <w:rPr>
        <w:rFonts w:ascii="Calibri"/>
        <w:i/>
        <w:iCs/>
        <w:color w:val="5A6068"/>
        <w:sz w:val="16"/>
        <w:szCs w:val="16"/>
      </w:rPr>
      <w:t xml:space="preserve">AurumXchange  —  Investor-Ready Business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1A1A"/>
        <w:sz w:val="22"/>
        <w:szCs w:val="22"/>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60" w:lineRule="atLeast"/>
      <w:outlineLvl w:val="0"/>
    </w:pPr>
    <w:rPr>
      <w:rFonts w:ascii="Calibri"/>
      <w:b/>
      <w:bCs/>
      <w:color w:val="1A1A1A"/>
      <w:sz w:val="32"/>
      <w:szCs w:val="32"/>
    </w:rPr>
  </w:style>
  <w:style w:type="paragraph" w:styleId="Heading2">
    <w:name w:val="Heading 2"/>
    <w:basedOn w:val="Normal"/>
    <w:next w:val="Normal"/>
    <w:qFormat/>
    <w:pPr>
      <w:spacing w:after="160" w:before="360" w:line="340" w:lineRule="atLeast"/>
      <w:outlineLvl w:val="1"/>
    </w:pPr>
    <w:rPr>
      <w:rFonts w:ascii="Calibri"/>
      <w:b/>
      <w:bCs/>
      <w:color w:val="1A1A1A"/>
      <w:sz w:val="28"/>
      <w:szCs w:val="28"/>
    </w:rPr>
  </w:style>
  <w:style w:type="paragraph" w:styleId="Heading3">
    <w:name w:val="Heading 3"/>
    <w:basedOn w:val="Normal"/>
    <w:next w:val="Normal"/>
    <w:qFormat/>
    <w:pPr>
      <w:spacing w:after="120" w:before="240" w:line="320" w:lineRule="atLeast"/>
      <w:outlineLvl w:val="2"/>
    </w:pPr>
    <w:rPr>
      <w:rFonts w:ascii="Calibri"/>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AurumXchange Business Case</dc:title>
  <dc:subject>Investor-ready business case for a regulated B2B gold exchange platform (Ghana)</dc:subject>
  <dc:creator>Smart Innovations Ghana Limited</dc:creator>
  <dc:description>VPC, BMC, Financial Documentation, Project Charter, and Golden Thread Validation for AurumXchange. Grounded in 2024 Ghana gold market data (US$11.64B exports, 4.9M oz production, GoldBod Act 1140).</dc:description>
  <cp:lastModifiedBy>Un-named</cp:lastModifiedBy>
  <cp:revision>1</cp:revision>
  <dcterms:created xsi:type="dcterms:W3CDTF">2026-08-12T12:06:43.300Z</dcterms:created>
  <dcterms:modified xsi:type="dcterms:W3CDTF">2026-08-12T12:06:43.301Z</dcterms:modified>
</cp:coreProperties>
</file>

<file path=docProps/custom.xml><?xml version="1.0" encoding="utf-8"?>
<Properties xmlns="http://schemas.openxmlformats.org/officeDocument/2006/custom-properties" xmlns:vt="http://schemas.openxmlformats.org/officeDocument/2006/docPropsVTypes"/>
</file>