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AurumXchange — Investor-Ready Business Case (Condensed)</w:t>
      </w:r>
    </w:p>
    <w:bookmarkStart w:id="57" w:name="X9bb7343e4499131293f23e5ed953b8d896afb5a"/>
    <w:p>
      <w:pPr>
        <w:pStyle w:val="Heading1"/>
      </w:pPr>
      <w:r>
        <w:t xml:space="preserve">AurumXchange — Investor-Ready Business Case (Condensed)</w:t>
      </w:r>
    </w:p>
    <w:p>
      <w:pPr>
        <w:pStyle w:val="FirstParagraph"/>
      </w:pPr>
      <w:r>
        <w:rPr>
          <w:b/>
          <w:bCs/>
        </w:rPr>
        <w:t xml:space="preserve">A Regulated Digital Gold Trading Infrastructure for the Ghana Chamber of Gold Buyers</w:t>
      </w:r>
    </w:p>
    <w:p>
      <w:pPr>
        <w:pStyle w:val="BodyText"/>
      </w:pPr>
      <w:r>
        <w:rPr>
          <w:i/>
          <w:iCs/>
        </w:rPr>
        <w:t xml:space="preserve">Prepared by Smart Innovations Ghana Limited · 12 August 2026 · CONFIDENTIAL — Board Distribution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26f392f1b7b9b390be9ca4fe515eacc78c6b006">
        <w:r>
          <w:rPr>
            <w:rStyle w:val="Hyperlink"/>
          </w:rPr>
          <w:t xml:space="preserve">Document 1 — Value Proposition Canvas (VPC)</w:t>
        </w:r>
      </w:hyperlink>
    </w:p>
    <w:p>
      <w:pPr>
        <w:pStyle w:val="Compact"/>
        <w:numPr>
          <w:ilvl w:val="0"/>
          <w:numId w:val="1001"/>
        </w:numPr>
      </w:pPr>
      <w:hyperlink w:anchor="Xff27f6cd9d6f07555a07bdccf3bfb61c89a3159">
        <w:r>
          <w:rPr>
            <w:rStyle w:val="Hyperlink"/>
          </w:rPr>
          <w:t xml:space="preserve">Document 2 — Business Model Canvas (BMC)</w:t>
        </w:r>
      </w:hyperlink>
    </w:p>
    <w:p>
      <w:pPr>
        <w:pStyle w:val="Compact"/>
        <w:numPr>
          <w:ilvl w:val="0"/>
          <w:numId w:val="1001"/>
        </w:numPr>
      </w:pPr>
      <w:hyperlink w:anchor="X5bf66fab249d2129b3211e0834d16e5a41d7cef">
        <w:r>
          <w:rPr>
            <w:rStyle w:val="Hyperlink"/>
          </w:rPr>
          <w:t xml:space="preserve">Document 3 — Financial Documentation</w:t>
        </w:r>
      </w:hyperlink>
    </w:p>
    <w:p>
      <w:pPr>
        <w:pStyle w:val="Compact"/>
        <w:numPr>
          <w:ilvl w:val="0"/>
          <w:numId w:val="1001"/>
        </w:numPr>
      </w:pPr>
      <w:hyperlink w:anchor="X2065c78e413cdbe8b42c8c3e7e2eea4d1689cae">
        <w:r>
          <w:rPr>
            <w:rStyle w:val="Hyperlink"/>
          </w:rPr>
          <w:t xml:space="preserve">Document 4 — Project Charter</w:t>
        </w:r>
      </w:hyperlink>
    </w:p>
    <w:p>
      <w:pPr>
        <w:pStyle w:val="Compact"/>
        <w:numPr>
          <w:ilvl w:val="0"/>
          <w:numId w:val="1001"/>
        </w:numPr>
      </w:pPr>
      <w:hyperlink w:anchor="Xd0c82aa8a9d6c6d8a4135120d422c5b364a2593">
        <w:r>
          <w:rPr>
            <w:rStyle w:val="Hyperlink"/>
          </w:rPr>
          <w:t xml:space="preserve">Golden Thread Validation</w:t>
        </w:r>
      </w:hyperlink>
    </w:p>
    <w:p>
      <w:pPr>
        <w:pStyle w:val="Compact"/>
        <w:numPr>
          <w:ilvl w:val="0"/>
          <w:numId w:val="1001"/>
        </w:numPr>
      </w:pPr>
      <w:hyperlink w:anchor="Xef13cb770278a00c50e641ab9e7e8b454d3bc66">
        <w:r>
          <w:rPr>
            <w:rStyle w:val="Hyperlink"/>
          </w:rPr>
          <w:t xml:space="preserve">References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Ghana is Africa’s largest gold producer. In</w:t>
      </w:r>
      <w:r>
        <w:t xml:space="preserve"> </w:t>
      </w:r>
      <w:r>
        <w:rPr>
          <w:b/>
          <w:bCs/>
        </w:rPr>
        <w:t xml:space="preserve">2024</w:t>
      </w:r>
      <w:r>
        <w:t xml:space="preserve">, the country produced approximately</w:t>
      </w:r>
      <w:r>
        <w:t xml:space="preserve"> </w:t>
      </w:r>
      <w:r>
        <w:rPr>
          <w:b/>
          <w:bCs/>
        </w:rPr>
        <w:t xml:space="preserve">4.9 million ounces</w:t>
      </w:r>
      <w:r>
        <w:t xml:space="preserve"> </w:t>
      </w:r>
      <w:r>
        <w:t xml:space="preserve">(~136 metric tons) of gold, an 8.5% increase over 2023, and gold export revenue surged</w:t>
      </w:r>
      <w:r>
        <w:t xml:space="preserve"> </w:t>
      </w:r>
      <w:r>
        <w:rPr>
          <w:b/>
          <w:bCs/>
        </w:rPr>
        <w:t xml:space="preserve">53.2% year-on-year to US$11.64 billion</w:t>
      </w:r>
      <w:r>
        <w:t xml:space="preserve"> </w:t>
      </w:r>
      <w:r>
        <w:t xml:space="preserve">— of which approximately US$5 billion came from legal small-scale miners [CGTN Africa, 2025; trade.gov, June 2025; Reuters, May 2025]. The Ghana Chamber of Mines projects 2025 production of 4.4–5.1 million ounces [Reuters, 30 May 2025]. On</w:t>
      </w:r>
      <w:r>
        <w:t xml:space="preserve"> </w:t>
      </w:r>
      <w:r>
        <w:rPr>
          <w:b/>
          <w:bCs/>
        </w:rPr>
        <w:t xml:space="preserve">2 April 2025</w:t>
      </w:r>
      <w:r>
        <w:t xml:space="preserve">, the structural environment changed with the</w:t>
      </w:r>
      <w:r>
        <w:t xml:space="preserve"> </w:t>
      </w:r>
      <w:r>
        <w:rPr>
          <w:b/>
          <w:bCs/>
        </w:rPr>
        <w:t xml:space="preserve">Ghana Gold Board Act, 2025 (Act 1140)</w:t>
      </w:r>
      <w:r>
        <w:t xml:space="preserve">, which established</w:t>
      </w:r>
      <w:r>
        <w:t xml:space="preserve"> </w:t>
      </w:r>
      <w:r>
        <w:rPr>
          <w:b/>
          <w:bCs/>
        </w:rPr>
        <w:t xml:space="preserve">GoldBod</w:t>
      </w:r>
      <w:r>
        <w:t xml:space="preserve"> </w:t>
      </w:r>
      <w:r>
        <w:t xml:space="preserve">as the sole buyer, assayer, and exporter of small-scale-mined gold [UNCTAD Investment Policy Monitor, 2025; goldbod.gov.gh].</w:t>
      </w:r>
    </w:p>
    <w:p>
      <w:pPr>
        <w:pStyle w:val="BodyText"/>
      </w:pPr>
      <w:r>
        <w:t xml:space="preserve">The Ghana Chamber of Gold Buyers has concluded that the absence of a controlled, compliance-gated digital exchange — one that can absorb the GoldBod workflow and the LBMA Responsible Gold Guidance in a single surface — is a structural drag on formalization, tax collection, and Ghana’s reputation as a responsible gold origin.</w:t>
      </w:r>
      <w:r>
        <w:t xml:space="preserve"> </w:t>
      </w:r>
      <w:r>
        <w:rPr>
          <w:b/>
          <w:bCs/>
        </w:rPr>
        <w:t xml:space="preserve">AurumXchange</w:t>
      </w:r>
      <w:r>
        <w:t xml:space="preserve"> </w:t>
      </w:r>
      <w:r>
        <w:t xml:space="preserve">is the proposed solution: a regulated B2B gold trading infrastructure that the Chamber would offer to its members and that</w:t>
      </w:r>
      <w:r>
        <w:t xml:space="preserve"> </w:t>
      </w:r>
      <w:r>
        <w:rPr>
          <w:b/>
          <w:bCs/>
        </w:rPr>
        <w:t xml:space="preserve">Smart Innovations Ghana Limited</w:t>
      </w:r>
      <w:r>
        <w:t xml:space="preserve"> </w:t>
      </w:r>
      <w:r>
        <w:t xml:space="preserve">would build, host, and operate under a 5-year exclusive revenue-sharing partnership.</w:t>
      </w:r>
    </w:p>
    <w:p>
      <w:pPr>
        <w:pStyle w:val="BodyText"/>
      </w:pPr>
      <w:r>
        <w:rPr>
          <w:b/>
          <w:bCs/>
        </w:rPr>
        <w:t xml:space="preserve">AurumXchange is deliberately not an open marketplace.</w:t>
      </w:r>
      <w:r>
        <w:t xml:space="preserve"> </w:t>
      </w:r>
      <w:r>
        <w:t xml:space="preserve">Gold trading is high-value, low-frequency, and heavily regulated. Instead, AurumXchange is a controlled exchange: every participant is licensed and KYC/AML-verified before they can trade, every transaction moves through an eight-step workflow (listing → RFQ → comparison → negotiation → Chamber approval → escrow → delivery → title transfer), and optional timed, reverse, or sealed-bid auctions run alongside the RFQ engine for high-demand lots.</w:t>
      </w:r>
    </w:p>
    <w:p>
      <w:pPr>
        <w:pStyle w:val="BodyText"/>
      </w:pPr>
      <w:r>
        <w:rPr>
          <w:b/>
          <w:bCs/>
        </w:rPr>
        <w:t xml:space="preserve">The commercial model is SaaS with revenue sharing (Option B from the original proposal).</w:t>
      </w:r>
      <w:r>
        <w:t xml:space="preserve"> </w:t>
      </w:r>
      <w:r>
        <w:t xml:space="preserve">The Chamber makes no upfront investment; Smart Innovations Ghana Limited assumes 100% of the technology, hosting, and support cost in exchange for</w:t>
      </w:r>
      <w:r>
        <w:t xml:space="preserve"> </w:t>
      </w:r>
      <w:r>
        <w:rPr>
          <w:b/>
          <w:bCs/>
        </w:rPr>
        <w:t xml:space="preserve">70% of platform revenue</w:t>
      </w:r>
      <w:r>
        <w:t xml:space="preserve">, with the remaining</w:t>
      </w:r>
      <w:r>
        <w:t xml:space="preserve"> </w:t>
      </w:r>
      <w:r>
        <w:rPr>
          <w:b/>
          <w:bCs/>
        </w:rPr>
        <w:t xml:space="preserve">30% remitted to the Chamber</w:t>
      </w:r>
      <w:r>
        <w:t xml:space="preserve">. Revenue flows from platform users: 0.10% transaction fees per side, tiered subscriptions (Free / Professional US$100/month / Enterprise US$500+ per month), and value-added service fees (escrow, logistics coordination, assay certification, market intelligence). On a single</w:t>
      </w:r>
      <w:r>
        <w:t xml:space="preserve"> </w:t>
      </w:r>
      <w:r>
        <w:rPr>
          <w:b/>
          <w:bCs/>
        </w:rPr>
        <w:t xml:space="preserve">US$1,000,000 trade</w:t>
      </w:r>
      <w:r>
        <w:t xml:space="preserve">, the platform earns</w:t>
      </w:r>
      <w:r>
        <w:t xml:space="preserve"> </w:t>
      </w:r>
      <w:r>
        <w:rPr>
          <w:b/>
          <w:bCs/>
        </w:rPr>
        <w:t xml:space="preserve">US$2,525</w:t>
      </w:r>
      <w:r>
        <w:t xml:space="preserve">; under the 70/30 split, Smart Innovations receives US$1,767.50 and the Chamber receives US$757.50.</w:t>
      </w:r>
    </w:p>
    <w:p>
      <w:pPr>
        <w:pStyle w:val="BodyText"/>
      </w:pPr>
      <w:r>
        <w:rPr>
          <w:b/>
          <w:bCs/>
        </w:rPr>
        <w:t xml:space="preserve">Headline economics:</w:t>
      </w:r>
      <w:r>
        <w:t xml:space="preserve"> </w:t>
      </w:r>
      <w:r>
        <w:t xml:space="preserve">CapEx bounded at</w:t>
      </w:r>
      <w:r>
        <w:t xml:space="preserve"> </w:t>
      </w:r>
      <w:r>
        <w:rPr>
          <w:b/>
          <w:bCs/>
        </w:rPr>
        <w:t xml:space="preserve">US$450,000</w:t>
      </w:r>
      <w:r>
        <w:t xml:space="preserve"> </w:t>
      </w:r>
      <w:r>
        <w:t xml:space="preserve">(actual: US$463,450 with GoldBod integration incremental); break-even at</w:t>
      </w:r>
      <w:r>
        <w:t xml:space="preserve"> </w:t>
      </w:r>
      <w:r>
        <w:rPr>
          <w:b/>
          <w:bCs/>
        </w:rPr>
        <w:t xml:space="preserve">month 22 (Q3 2029)</w:t>
      </w:r>
      <w:r>
        <w:t xml:space="preserve"> </w:t>
      </w:r>
      <w:r>
        <w:t xml:space="preserve">given a Q3 2027 launch;</w:t>
      </w:r>
      <w:r>
        <w:t xml:space="preserve"> </w:t>
      </w:r>
      <w:r>
        <w:rPr>
          <w:b/>
          <w:bCs/>
        </w:rPr>
        <w:t xml:space="preserve">LTV:CAC of 14.6:1</w:t>
      </w:r>
      <w:r>
        <w:t xml:space="preserve"> </w:t>
      </w:r>
      <w:r>
        <w:t xml:space="preserve">(well above the 3:1 minimum); CAC payback of 8.2 months; 5-year cumulative Net Revenue of</w:t>
      </w:r>
      <w:r>
        <w:t xml:space="preserve"> </w:t>
      </w:r>
      <w:r>
        <w:rPr>
          <w:b/>
          <w:bCs/>
        </w:rPr>
        <w:t xml:space="preserve">US$8.7M</w:t>
      </w:r>
      <w:r>
        <w:t xml:space="preserve"> </w:t>
      </w:r>
      <w:r>
        <w:t xml:space="preserve">against cumulative cost of US$4.86M. The four documents that follow substantiate this summary.</w:t>
      </w:r>
    </w:p>
    <w:p>
      <w:r>
        <w:pict>
          <v:rect style="width:0;height:1.5pt" o:hralign="center" o:hrstd="t" o:hr="t"/>
        </w:pict>
      </w:r>
    </w:p>
    <w:bookmarkEnd w:id="21"/>
    <w:bookmarkStart w:id="28" w:name="document-1-value-proposition-canvas-vpc"/>
    <w:p>
      <w:pPr>
        <w:pStyle w:val="Heading2"/>
      </w:pPr>
      <w:r>
        <w:t xml:space="preserve">2. Document 1 — Value Proposition Canvas (VPC)</w:t>
      </w:r>
    </w:p>
    <w:bookmarkStart w:id="25" w:name="a.-customer-profile"/>
    <w:p>
      <w:pPr>
        <w:pStyle w:val="Heading3"/>
      </w:pPr>
      <w:r>
        <w:t xml:space="preserve">A. Customer Profile</w:t>
      </w:r>
    </w:p>
    <w:p>
      <w:pPr>
        <w:pStyle w:val="FirstParagraph"/>
      </w:pPr>
      <w:r>
        <w:t xml:space="preserve">The primary persona is</w:t>
      </w:r>
      <w:r>
        <w:t xml:space="preserve"> </w:t>
      </w:r>
      <w:r>
        <w:rPr>
          <w:b/>
          <w:bCs/>
        </w:rPr>
        <w:t xml:space="preserve">Kofi Mensah</w:t>
      </w:r>
      <w:r>
        <w:t xml:space="preserve">, a 41-year-old managing director of a Kumasi-based aggregator and exporter who holds a Minerals Commission licence and a PMMC Licensed Gold Exporter (LGE) permit, employs 18 staff, and ships ~4 kg of gold per month to refiners in Switzerland and the UAE. The persona reflects the post-GoldBod Act 1140 reality: gold sourced from small-scale miners must, since April 2025, be transacted through GoldBod, while gold sourced from large-scale mining companies (Newmont, Gold Fields, AngloGold Ashanti, Kinross Chirano, Asanko) remains outside GoldBod’s mandate.</w:t>
      </w:r>
    </w:p>
    <w:bookmarkStart w:id="22" w:name="customer-jobs"/>
    <w:p>
      <w:pPr>
        <w:pStyle w:val="Heading4"/>
      </w:pPr>
      <w:r>
        <w:t xml:space="preserve">Customer Jobs</w:t>
      </w:r>
    </w:p>
    <w:tbl>
      <w:tblPr>
        <w:tblStyle w:val="Table"/>
        <w:tblW w:type="pct" w:w="5000"/>
        <w:jc w:val="left"/>
        <w:tblLayout w:type="fixed"/>
        <w:tblLook w:firstRow="1" w:lastRow="0" w:firstColumn="0" w:lastColumn="0" w:noHBand="0" w:noVBand="0" w:val="0020"/>
      </w:tblPr>
      <w:tblGrid>
        <w:gridCol w:w="792"/>
        <w:gridCol w:w="1584"/>
        <w:gridCol w:w="1320"/>
        <w:gridCol w:w="4224"/>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Job</w:t>
            </w:r>
          </w:p>
        </w:tc>
        <w:tc>
          <w:tcPr/>
          <w:p>
            <w:pPr>
              <w:pStyle w:val="Compact"/>
              <w:jc w:val="left"/>
            </w:pPr>
            <w:r>
              <w:t xml:space="preserve">Main/Supporting</w:t>
            </w:r>
          </w:p>
        </w:tc>
      </w:tr>
      <w:tr>
        <w:tc>
          <w:tcPr/>
          <w:p>
            <w:pPr>
              <w:pStyle w:val="Compact"/>
              <w:jc w:val="left"/>
            </w:pPr>
            <w:r>
              <w:t xml:space="preserve">J1</w:t>
            </w:r>
          </w:p>
        </w:tc>
        <w:tc>
          <w:tcPr/>
          <w:p>
            <w:pPr>
              <w:pStyle w:val="Compact"/>
              <w:jc w:val="left"/>
            </w:pPr>
            <w:r>
              <w:t xml:space="preserve">Functional</w:t>
            </w:r>
          </w:p>
        </w:tc>
        <w:tc>
          <w:tcPr/>
          <w:p>
            <w:pPr>
              <w:pStyle w:val="Compact"/>
              <w:jc w:val="left"/>
            </w:pPr>
            <w:r>
              <w:t xml:space="preserve">Source verified gold supply from small-scale miners (via GoldBod since April 2025) and from large-scale miners under bilateral offtake</w:t>
            </w:r>
          </w:p>
        </w:tc>
        <w:tc>
          <w:tcPr/>
          <w:p>
            <w:pPr>
              <w:pStyle w:val="Compact"/>
              <w:jc w:val="left"/>
            </w:pPr>
            <w:r>
              <w:rPr>
                <w:b/>
                <w:bCs/>
              </w:rPr>
              <w:t xml:space="preserve">Main</w:t>
            </w:r>
          </w:p>
        </w:tc>
      </w:tr>
      <w:tr>
        <w:tc>
          <w:tcPr/>
          <w:p>
            <w:pPr>
              <w:pStyle w:val="Compact"/>
              <w:jc w:val="left"/>
            </w:pPr>
            <w:r>
              <w:t xml:space="preserve">J2</w:t>
            </w:r>
          </w:p>
        </w:tc>
        <w:tc>
          <w:tcPr/>
          <w:p>
            <w:pPr>
              <w:pStyle w:val="Compact"/>
              <w:jc w:val="left"/>
            </w:pPr>
            <w:r>
              <w:t xml:space="preserve">Functional</w:t>
            </w:r>
          </w:p>
        </w:tc>
        <w:tc>
          <w:tcPr/>
          <w:p>
            <w:pPr>
              <w:pStyle w:val="Compact"/>
              <w:jc w:val="left"/>
            </w:pPr>
            <w:r>
              <w:t xml:space="preserve">Negotiate sale terms with international Tier 1 buyers (LBMA-accredited refiners in Switzerland, UAE, India)</w:t>
            </w:r>
          </w:p>
        </w:tc>
        <w:tc>
          <w:tcPr/>
          <w:p>
            <w:pPr>
              <w:pStyle w:val="Compact"/>
              <w:jc w:val="left"/>
            </w:pPr>
            <w:r>
              <w:rPr>
                <w:b/>
                <w:bCs/>
              </w:rPr>
              <w:t xml:space="preserve">Main</w:t>
            </w:r>
          </w:p>
        </w:tc>
      </w:tr>
      <w:tr>
        <w:tc>
          <w:tcPr/>
          <w:p>
            <w:pPr>
              <w:pStyle w:val="Compact"/>
              <w:jc w:val="left"/>
            </w:pPr>
            <w:r>
              <w:t xml:space="preserve">J3</w:t>
            </w:r>
          </w:p>
        </w:tc>
        <w:tc>
          <w:tcPr/>
          <w:p>
            <w:pPr>
              <w:pStyle w:val="Compact"/>
              <w:jc w:val="left"/>
            </w:pPr>
            <w:r>
              <w:t xml:space="preserve">Functional</w:t>
            </w:r>
          </w:p>
        </w:tc>
        <w:tc>
          <w:tcPr/>
          <w:p>
            <w:pPr>
              <w:pStyle w:val="Compact"/>
              <w:jc w:val="left"/>
            </w:pPr>
            <w:r>
              <w:t xml:space="preserve">Arrange assay certificates, PMMC export documentation, GoldBod release (for small-scale gold), GRA Customs clearance</w:t>
            </w:r>
          </w:p>
        </w:tc>
        <w:tc>
          <w:tcPr/>
          <w:p>
            <w:pPr>
              <w:pStyle w:val="Compact"/>
              <w:jc w:val="left"/>
            </w:pPr>
            <w:r>
              <w:t xml:space="preserve">Supporting</w:t>
            </w:r>
          </w:p>
        </w:tc>
      </w:tr>
      <w:tr>
        <w:tc>
          <w:tcPr/>
          <w:p>
            <w:pPr>
              <w:pStyle w:val="Compact"/>
              <w:jc w:val="left"/>
            </w:pPr>
            <w:r>
              <w:t xml:space="preserve">J4</w:t>
            </w:r>
          </w:p>
        </w:tc>
        <w:tc>
          <w:tcPr/>
          <w:p>
            <w:pPr>
              <w:pStyle w:val="Compact"/>
              <w:jc w:val="left"/>
            </w:pPr>
            <w:r>
              <w:t xml:space="preserve">Functional</w:t>
            </w:r>
          </w:p>
        </w:tc>
        <w:tc>
          <w:tcPr/>
          <w:p>
            <w:pPr>
              <w:pStyle w:val="Compact"/>
              <w:jc w:val="left"/>
            </w:pPr>
            <w:r>
              <w:t xml:space="preserve">Coordinate secure logistics: armored transport from buying centre to vault, vault-to-Kotoka Airport, airline handover</w:t>
            </w:r>
          </w:p>
        </w:tc>
        <w:tc>
          <w:tcPr/>
          <w:p>
            <w:pPr>
              <w:pStyle w:val="Compact"/>
              <w:jc w:val="left"/>
            </w:pPr>
            <w:r>
              <w:t xml:space="preserve">Supporting</w:t>
            </w:r>
          </w:p>
        </w:tc>
      </w:tr>
      <w:tr>
        <w:tc>
          <w:tcPr/>
          <w:p>
            <w:pPr>
              <w:pStyle w:val="Compact"/>
              <w:jc w:val="left"/>
            </w:pPr>
            <w:r>
              <w:t xml:space="preserve">J5</w:t>
            </w:r>
          </w:p>
        </w:tc>
        <w:tc>
          <w:tcPr/>
          <w:p>
            <w:pPr>
              <w:pStyle w:val="Compact"/>
              <w:jc w:val="left"/>
            </w:pPr>
            <w:r>
              <w:t xml:space="preserve">Social</w:t>
            </w:r>
          </w:p>
        </w:tc>
        <w:tc>
          <w:tcPr/>
          <w:p>
            <w:pPr>
              <w:pStyle w:val="Compact"/>
              <w:jc w:val="left"/>
            </w:pPr>
            <w:r>
              <w:t xml:space="preserve">Maintain reputation as a compliant counterparty; satisfy LBMA RGG chain-of-custody audits</w:t>
            </w:r>
          </w:p>
        </w:tc>
        <w:tc>
          <w:tcPr/>
          <w:p>
            <w:pPr>
              <w:pStyle w:val="Compact"/>
              <w:jc w:val="left"/>
            </w:pPr>
            <w:r>
              <w:t xml:space="preserve">Supporting</w:t>
            </w:r>
          </w:p>
        </w:tc>
      </w:tr>
      <w:tr>
        <w:tc>
          <w:tcPr/>
          <w:p>
            <w:pPr>
              <w:pStyle w:val="Compact"/>
              <w:jc w:val="left"/>
            </w:pPr>
            <w:r>
              <w:t xml:space="preserve">J6</w:t>
            </w:r>
          </w:p>
        </w:tc>
        <w:tc>
          <w:tcPr/>
          <w:p>
            <w:pPr>
              <w:pStyle w:val="Compact"/>
              <w:jc w:val="left"/>
            </w:pPr>
            <w:r>
              <w:t xml:space="preserve">Emotional</w:t>
            </w:r>
          </w:p>
        </w:tc>
        <w:tc>
          <w:tcPr/>
          <w:p>
            <w:pPr>
              <w:pStyle w:val="Compact"/>
              <w:jc w:val="left"/>
            </w:pPr>
            <w:r>
              <w:t xml:space="preserve">Reduce daily anxiety of holding gold inventory against price volatility and theft risk</w:t>
            </w:r>
          </w:p>
        </w:tc>
        <w:tc>
          <w:tcPr/>
          <w:p>
            <w:pPr>
              <w:pStyle w:val="Compact"/>
              <w:jc w:val="left"/>
            </w:pPr>
            <w:r>
              <w:t xml:space="preserve">Supporting</w:t>
            </w:r>
          </w:p>
        </w:tc>
      </w:tr>
    </w:tbl>
    <w:bookmarkEnd w:id="22"/>
    <w:bookmarkStart w:id="23" w:name="customer-pains"/>
    <w:p>
      <w:pPr>
        <w:pStyle w:val="Heading4"/>
      </w:pPr>
      <w:r>
        <w:t xml:space="preserve">Customer Pains</w:t>
      </w:r>
    </w:p>
    <w:tbl>
      <w:tblPr>
        <w:tblStyle w:val="Table"/>
        <w:tblW w:type="pct" w:w="5000"/>
        <w:jc w:val="left"/>
        <w:tblLayout w:type="fixed"/>
        <w:tblLook w:firstRow="1" w:lastRow="0" w:firstColumn="0" w:lastColumn="0" w:noHBand="0" w:noVBand="0" w:val="0020"/>
      </w:tblPr>
      <w:tblGrid>
        <w:gridCol w:w="848"/>
        <w:gridCol w:w="1697"/>
        <w:gridCol w:w="5374"/>
      </w:tblGrid>
      <w:tr>
        <w:trPr>
          <w:tblHeader w:val="on"/>
        </w:trPr>
        <w:tc>
          <w:tcPr/>
          <w:p>
            <w:pPr>
              <w:pStyle w:val="Compact"/>
              <w:jc w:val="left"/>
            </w:pPr>
            <w:r>
              <w:t xml:space="preserve">#</w:t>
            </w:r>
          </w:p>
        </w:tc>
        <w:tc>
          <w:tcPr/>
          <w:p>
            <w:pPr>
              <w:pStyle w:val="Compact"/>
              <w:jc w:val="left"/>
            </w:pPr>
            <w:r>
              <w:t xml:space="preserve">Pain</w:t>
            </w:r>
          </w:p>
        </w:tc>
        <w:tc>
          <w:tcPr/>
          <w:p>
            <w:pPr>
              <w:pStyle w:val="Compact"/>
              <w:jc w:val="left"/>
            </w:pPr>
            <w:r>
              <w:t xml:space="preserve">Quantified Impact</w:t>
            </w:r>
          </w:p>
        </w:tc>
      </w:tr>
      <w:tr>
        <w:tc>
          <w:tcPr/>
          <w:p>
            <w:pPr>
              <w:pStyle w:val="Compact"/>
              <w:jc w:val="left"/>
            </w:pPr>
            <w:r>
              <w:t xml:space="preserve">P1</w:t>
            </w:r>
          </w:p>
        </w:tc>
        <w:tc>
          <w:tcPr/>
          <w:p>
            <w:pPr>
              <w:pStyle w:val="Compact"/>
              <w:jc w:val="left"/>
            </w:pPr>
            <w:r>
              <w:rPr>
                <w:b/>
                <w:bCs/>
              </w:rPr>
              <w:t xml:space="preserve">Price opacity</w:t>
            </w:r>
            <w:r>
              <w:t xml:space="preserve"> </w:t>
            </w:r>
            <w:r>
              <w:t xml:space="preserve">— buyers cannot see competing bids; discover overpayment only after trade closes</w:t>
            </w:r>
          </w:p>
        </w:tc>
        <w:tc>
          <w:tcPr/>
          <w:p>
            <w:pPr>
              <w:pStyle w:val="Compact"/>
              <w:jc w:val="left"/>
            </w:pPr>
            <w:r>
              <w:t xml:space="preserve">~US$1,200–4,500/kg overpayment on 1-in-4 trades; LBMA PM Fix daily swings of US$30–80/oz</w:t>
            </w:r>
          </w:p>
        </w:tc>
      </w:tr>
      <w:tr>
        <w:tc>
          <w:tcPr/>
          <w:p>
            <w:pPr>
              <w:pStyle w:val="Compact"/>
              <w:jc w:val="left"/>
            </w:pPr>
            <w:r>
              <w:t xml:space="preserve">P2</w:t>
            </w:r>
          </w:p>
        </w:tc>
        <w:tc>
          <w:tcPr/>
          <w:p>
            <w:pPr>
              <w:pStyle w:val="Compact"/>
              <w:jc w:val="left"/>
            </w:pPr>
            <w:r>
              <w:rPr>
                <w:b/>
                <w:bCs/>
              </w:rPr>
              <w:t xml:space="preserve">Counterparty risk</w:t>
            </w:r>
            <w:r>
              <w:t xml:space="preserve"> </w:t>
            </w:r>
            <w:r>
              <w:t xml:space="preserve">— no reliable verification of Minerals Commission licence or assay history before payment</w:t>
            </w:r>
          </w:p>
        </w:tc>
        <w:tc>
          <w:tcPr/>
          <w:p>
            <w:pPr>
              <w:pStyle w:val="Compact"/>
              <w:jc w:val="left"/>
            </w:pPr>
            <w:r>
              <w:t xml:space="preserve">1-in-8 deals end in dispute, avg. US$18,000, 47-day resolution</w:t>
            </w:r>
          </w:p>
        </w:tc>
      </w:tr>
      <w:tr>
        <w:tc>
          <w:tcPr/>
          <w:p>
            <w:pPr>
              <w:pStyle w:val="Compact"/>
              <w:jc w:val="left"/>
            </w:pPr>
            <w:r>
              <w:t xml:space="preserve">P3</w:t>
            </w:r>
          </w:p>
        </w:tc>
        <w:tc>
          <w:tcPr/>
          <w:p>
            <w:pPr>
              <w:pStyle w:val="Compact"/>
              <w:jc w:val="left"/>
            </w:pPr>
            <w:r>
              <w:rPr>
                <w:b/>
                <w:bCs/>
              </w:rPr>
              <w:t xml:space="preserve">Export documentation drag (post-GoldBod)</w:t>
            </w:r>
            <w:r>
              <w:t xml:space="preserve"> </w:t>
            </w:r>
            <w:r>
              <w:t xml:space="preserve">— coordination across GoldBod, PMMC, GRA Customs, BoG forex verification</w:t>
            </w:r>
          </w:p>
        </w:tc>
        <w:tc>
          <w:tcPr/>
          <w:p>
            <w:pPr>
              <w:pStyle w:val="Compact"/>
              <w:jc w:val="left"/>
            </w:pPr>
            <w:r>
              <w:t xml:space="preserve">6 working days delay, ~14 staff-hours per shipment</w:t>
            </w:r>
          </w:p>
        </w:tc>
      </w:tr>
      <w:tr>
        <w:tc>
          <w:tcPr/>
          <w:p>
            <w:pPr>
              <w:pStyle w:val="Compact"/>
              <w:jc w:val="left"/>
            </w:pPr>
            <w:r>
              <w:t xml:space="preserve">P4</w:t>
            </w:r>
          </w:p>
        </w:tc>
        <w:tc>
          <w:tcPr/>
          <w:p>
            <w:pPr>
              <w:pStyle w:val="Compact"/>
              <w:jc w:val="left"/>
            </w:pPr>
            <w:r>
              <w:rPr>
                <w:b/>
                <w:bCs/>
              </w:rPr>
              <w:t xml:space="preserve">Funds-at-risk window</w:t>
            </w:r>
            <w:r>
              <w:t xml:space="preserve"> </w:t>
            </w:r>
            <w:r>
              <w:t xml:space="preserve">— funds leave buyer’s bank before gold title transfers</w:t>
            </w:r>
          </w:p>
        </w:tc>
        <w:tc>
          <w:tcPr/>
          <w:p>
            <w:pPr>
              <w:pStyle w:val="Compact"/>
              <w:jc w:val="left"/>
            </w:pPr>
            <w:r>
              <w:t xml:space="preserve">US$840K combined exposure in 3 incidents logged in 2024</w:t>
            </w:r>
          </w:p>
        </w:tc>
      </w:tr>
      <w:tr>
        <w:tc>
          <w:tcPr/>
          <w:p>
            <w:pPr>
              <w:pStyle w:val="Compact"/>
              <w:jc w:val="left"/>
            </w:pPr>
            <w:r>
              <w:t xml:space="preserve">P5</w:t>
            </w:r>
          </w:p>
        </w:tc>
        <w:tc>
          <w:tcPr/>
          <w:p>
            <w:pPr>
              <w:pStyle w:val="Compact"/>
              <w:jc w:val="left"/>
            </w:pPr>
            <w:r>
              <w:rPr>
                <w:b/>
                <w:bCs/>
              </w:rPr>
              <w:t xml:space="preserve">Audit trail fragmentation vs LBMA RGG</w:t>
            </w:r>
            <w:r>
              <w:t xml:space="preserve"> </w:t>
            </w:r>
            <w:r>
              <w:t xml:space="preserve">— WhatsApp + paper + PDFs cannot reconstruct chain-of-custody</w:t>
            </w:r>
          </w:p>
        </w:tc>
        <w:tc>
          <w:tcPr/>
          <w:p>
            <w:pPr>
              <w:pStyle w:val="Compact"/>
              <w:jc w:val="left"/>
            </w:pPr>
            <w:r>
              <w:t xml:space="preserve">6 staff-hours per audit, frequently fails first LBMA review</w:t>
            </w:r>
          </w:p>
        </w:tc>
      </w:tr>
    </w:tbl>
    <w:bookmarkEnd w:id="23"/>
    <w:bookmarkStart w:id="24" w:name="customer-gains"/>
    <w:p>
      <w:pPr>
        <w:pStyle w:val="Heading4"/>
      </w:pPr>
      <w:r>
        <w:t xml:space="preserve">Customer Gains</w:t>
      </w:r>
    </w:p>
    <w:tbl>
      <w:tblPr>
        <w:tblStyle w:val="Table"/>
        <w:tblW w:type="pct" w:w="5000"/>
        <w:jc w:val="left"/>
        <w:tblLayout w:type="fixed"/>
        <w:tblLook w:firstRow="1" w:lastRow="0" w:firstColumn="0" w:lastColumn="0" w:noHBand="0" w:noVBand="0" w:val="0020"/>
      </w:tblPr>
      <w:tblGrid>
        <w:gridCol w:w="990"/>
        <w:gridCol w:w="1980"/>
        <w:gridCol w:w="1980"/>
        <w:gridCol w:w="2970"/>
      </w:tblGrid>
      <w:tr>
        <w:trPr>
          <w:tblHeader w:val="on"/>
        </w:trPr>
        <w:tc>
          <w:tcPr/>
          <w:p>
            <w:pPr>
              <w:pStyle w:val="Compact"/>
              <w:jc w:val="left"/>
            </w:pPr>
            <w:r>
              <w:t xml:space="preserve">#</w:t>
            </w:r>
          </w:p>
        </w:tc>
        <w:tc>
          <w:tcPr/>
          <w:p>
            <w:pPr>
              <w:pStyle w:val="Compact"/>
              <w:jc w:val="left"/>
            </w:pPr>
            <w:r>
              <w:t xml:space="preserve">Gain</w:t>
            </w:r>
          </w:p>
        </w:tc>
        <w:tc>
          <w:tcPr/>
          <w:p>
            <w:pPr>
              <w:pStyle w:val="Compact"/>
              <w:jc w:val="left"/>
            </w:pPr>
            <w:r>
              <w:t xml:space="preserve">Type</w:t>
            </w:r>
          </w:p>
        </w:tc>
        <w:tc>
          <w:tcPr/>
          <w:p>
            <w:pPr>
              <w:pStyle w:val="Compact"/>
              <w:jc w:val="left"/>
            </w:pPr>
            <w:r>
              <w:t xml:space="preserve">Outcome</w:t>
            </w:r>
          </w:p>
        </w:tc>
      </w:tr>
      <w:tr>
        <w:tc>
          <w:tcPr/>
          <w:p>
            <w:pPr>
              <w:pStyle w:val="Compact"/>
              <w:jc w:val="left"/>
            </w:pPr>
            <w:r>
              <w:t xml:space="preserve">G1</w:t>
            </w:r>
          </w:p>
        </w:tc>
        <w:tc>
          <w:tcPr/>
          <w:p>
            <w:pPr>
              <w:pStyle w:val="Compact"/>
              <w:jc w:val="left"/>
            </w:pPr>
            <w:r>
              <w:t xml:space="preserve">Compliance-grade audit trail (LBMA RGG-aligned)</w:t>
            </w:r>
          </w:p>
        </w:tc>
        <w:tc>
          <w:tcPr/>
          <w:p>
            <w:pPr>
              <w:pStyle w:val="Compact"/>
              <w:jc w:val="left"/>
            </w:pPr>
            <w:r>
              <w:rPr>
                <w:b/>
                <w:bCs/>
              </w:rPr>
              <w:t xml:space="preserve">Required</w:t>
            </w:r>
          </w:p>
        </w:tc>
        <w:tc>
          <w:tcPr/>
          <w:p>
            <w:pPr>
              <w:pStyle w:val="Compact"/>
              <w:jc w:val="left"/>
            </w:pPr>
            <w:r>
              <w:t xml:space="preserve">Tamper-evident chain-of-custody for GoldBod, PMMC, GRA, LBMA-aligned refiner audits</w:t>
            </w:r>
          </w:p>
        </w:tc>
      </w:tr>
      <w:tr>
        <w:tc>
          <w:tcPr/>
          <w:p>
            <w:pPr>
              <w:pStyle w:val="Compact"/>
              <w:jc w:val="left"/>
            </w:pPr>
            <w:r>
              <w:t xml:space="preserve">G2</w:t>
            </w:r>
          </w:p>
        </w:tc>
        <w:tc>
          <w:tcPr/>
          <w:p>
            <w:pPr>
              <w:pStyle w:val="Compact"/>
              <w:jc w:val="left"/>
            </w:pPr>
            <w:r>
              <w:t xml:space="preserve">Escrow protection</w:t>
            </w:r>
          </w:p>
        </w:tc>
        <w:tc>
          <w:tcPr/>
          <w:p>
            <w:pPr>
              <w:pStyle w:val="Compact"/>
              <w:jc w:val="left"/>
            </w:pPr>
            <w:r>
              <w:rPr>
                <w:b/>
                <w:bCs/>
              </w:rPr>
              <w:t xml:space="preserve">Required</w:t>
            </w:r>
          </w:p>
        </w:tc>
        <w:tc>
          <w:tcPr/>
          <w:p>
            <w:pPr>
              <w:pStyle w:val="Compact"/>
              <w:jc w:val="left"/>
            </w:pPr>
            <w:r>
              <w:t xml:space="preserve">Funds leave buyer’s bank only when gold title verifiably transfers</w:t>
            </w:r>
          </w:p>
        </w:tc>
      </w:tr>
      <w:tr>
        <w:tc>
          <w:tcPr/>
          <w:p>
            <w:pPr>
              <w:pStyle w:val="Compact"/>
              <w:jc w:val="left"/>
            </w:pPr>
            <w:r>
              <w:t xml:space="preserve">G3</w:t>
            </w:r>
          </w:p>
        </w:tc>
        <w:tc>
          <w:tcPr/>
          <w:p>
            <w:pPr>
              <w:pStyle w:val="Compact"/>
              <w:jc w:val="left"/>
            </w:pPr>
            <w:r>
              <w:t xml:space="preserve">Price transparency</w:t>
            </w:r>
          </w:p>
        </w:tc>
        <w:tc>
          <w:tcPr/>
          <w:p>
            <w:pPr>
              <w:pStyle w:val="Compact"/>
              <w:jc w:val="left"/>
            </w:pPr>
            <w:r>
              <w:t xml:space="preserve">Expected</w:t>
            </w:r>
          </w:p>
        </w:tc>
        <w:tc>
          <w:tcPr/>
          <w:p>
            <w:pPr>
              <w:pStyle w:val="Compact"/>
              <w:jc w:val="left"/>
            </w:pPr>
            <w:r>
              <w:t xml:space="preserve">See competing bids + 90-day historical trade prices + live LBMA PM Fix</w:t>
            </w:r>
          </w:p>
        </w:tc>
      </w:tr>
      <w:tr>
        <w:tc>
          <w:tcPr/>
          <w:p>
            <w:pPr>
              <w:pStyle w:val="Compact"/>
              <w:jc w:val="left"/>
            </w:pPr>
            <w:r>
              <w:t xml:space="preserve">G4</w:t>
            </w:r>
          </w:p>
        </w:tc>
        <w:tc>
          <w:tcPr/>
          <w:p>
            <w:pPr>
              <w:pStyle w:val="Compact"/>
              <w:jc w:val="left"/>
            </w:pPr>
            <w:r>
              <w:t xml:space="preserve">Faster export documentation (incl. GoldBod integration)</w:t>
            </w:r>
          </w:p>
        </w:tc>
        <w:tc>
          <w:tcPr/>
          <w:p>
            <w:pPr>
              <w:pStyle w:val="Compact"/>
              <w:jc w:val="left"/>
            </w:pPr>
            <w:r>
              <w:t xml:space="preserve">Expected</w:t>
            </w:r>
          </w:p>
        </w:tc>
        <w:tc>
          <w:tcPr/>
          <w:p>
            <w:pPr>
              <w:pStyle w:val="Compact"/>
              <w:jc w:val="left"/>
            </w:pPr>
            <w:r>
              <w:t xml:space="preserve">Cut 6-day PMMC/GoldBod release cycle to under 36 hours</w:t>
            </w:r>
          </w:p>
        </w:tc>
      </w:tr>
      <w:tr>
        <w:tc>
          <w:tcPr/>
          <w:p>
            <w:pPr>
              <w:pStyle w:val="Compact"/>
              <w:jc w:val="left"/>
            </w:pPr>
            <w:r>
              <w:t xml:space="preserve">G5</w:t>
            </w:r>
          </w:p>
        </w:tc>
        <w:tc>
          <w:tcPr/>
          <w:p>
            <w:pPr>
              <w:pStyle w:val="Compact"/>
              <w:jc w:val="left"/>
            </w:pPr>
            <w:r>
              <w:t xml:space="preserve">Market intelligence</w:t>
            </w:r>
          </w:p>
        </w:tc>
        <w:tc>
          <w:tcPr/>
          <w:p>
            <w:pPr>
              <w:pStyle w:val="Compact"/>
              <w:jc w:val="left"/>
            </w:pPr>
            <w:r>
              <w:t xml:space="preserve">Desired</w:t>
            </w:r>
          </w:p>
        </w:tc>
        <w:tc>
          <w:tcPr/>
          <w:p>
            <w:pPr>
              <w:pStyle w:val="Compact"/>
              <w:jc w:val="left"/>
            </w:pPr>
            <w:r>
              <w:t xml:space="preserve">Daily LBMA PM Fix + BoG DGPP prices + AI sale-timing recommendation</w:t>
            </w:r>
          </w:p>
        </w:tc>
      </w:tr>
    </w:tbl>
    <w:bookmarkEnd w:id="24"/>
    <w:bookmarkEnd w:id="25"/>
    <w:bookmarkStart w:id="26" w:name="b.-value-map"/>
    <w:p>
      <w:pPr>
        <w:pStyle w:val="Heading3"/>
      </w:pPr>
      <w:r>
        <w:t xml:space="preserve">B. Value Map</w:t>
      </w:r>
    </w:p>
    <w:p>
      <w:pPr>
        <w:pStyle w:val="FirstParagraph"/>
      </w:pPr>
      <w:r>
        <w:rPr>
          <w:b/>
          <w:bCs/>
        </w:rPr>
        <w:t xml:space="preserve">MVP scope (Phase 1 + Phase 2):</w:t>
      </w:r>
      <w:r>
        <w:t xml:space="preserve"> </w:t>
      </w:r>
      <w:r>
        <w:t xml:space="preserve">-</w:t>
      </w:r>
      <w:r>
        <w:t xml:space="preserve"> </w:t>
      </w:r>
      <w:r>
        <w:rPr>
          <w:b/>
          <w:bCs/>
        </w:rPr>
        <w:t xml:space="preserve">Digital Member Portal (Phase 1):</w:t>
      </w:r>
      <w:r>
        <w:t xml:space="preserve"> </w:t>
      </w:r>
      <w:r>
        <w:t xml:space="preserve">Member registration; KYC/AML via Smile Identity; Minerals Commission licence + GoldBod registration verification; PMMC LGE permit upload; document repository; in-app messaging; role-based access.</w:t>
      </w:r>
      <w:r>
        <w:t xml:space="preserve"> </w:t>
      </w:r>
      <w:r>
        <w:t xml:space="preserve">-</w:t>
      </w:r>
      <w:r>
        <w:t xml:space="preserve"> </w:t>
      </w:r>
      <w:r>
        <w:rPr>
          <w:b/>
          <w:bCs/>
        </w:rPr>
        <w:t xml:space="preserve">Trading Platform (Phase 2):</w:t>
      </w:r>
      <w:r>
        <w:t xml:space="preserve"> </w:t>
      </w:r>
      <w:r>
        <w:t xml:space="preserve">Gold lot creation; RFQ submission and response; bid comparison dashboard with live LBMA PM Fix overlay; negotiation and counter-offer thread; Chamber trade-approval workflow; digital contract generation and e-signature; escrow integration with partner bank (Stanbic Bank Ghana or Ecobank Ghana); delivery tracking against PMMC/GoldBod release.</w:t>
      </w:r>
      <w:r>
        <w:t xml:space="preserve"> </w:t>
      </w:r>
      <w:r>
        <w:t xml:space="preserve">-</w:t>
      </w:r>
      <w:r>
        <w:t xml:space="preserve"> </w:t>
      </w:r>
      <w:r>
        <w:rPr>
          <w:b/>
          <w:bCs/>
        </w:rPr>
        <w:t xml:space="preserve">Compliance Core (cross-cutting):</w:t>
      </w:r>
      <w:r>
        <w:t xml:space="preserve"> </w:t>
      </w:r>
      <w:r>
        <w:t xml:space="preserve">Immutable append-only audit log pre-validated against LBMA RGG five-step due diligence; PII handling per Ghana Data Protection Act 2012 (Act 843); SOC 2-aligned access controls; audit-package export.</w:t>
      </w:r>
    </w:p>
    <w:p>
      <w:pPr>
        <w:pStyle w:val="BodyText"/>
      </w:pPr>
      <w:r>
        <w:rPr>
          <w:b/>
          <w:bCs/>
        </w:rPr>
        <w:t xml:space="preserve">Pain Relievers (Pain → Feature mapping):</w:t>
      </w:r>
    </w:p>
    <w:tbl>
      <w:tblPr>
        <w:tblStyle w:val="Table"/>
        <w:tblW w:type="pct" w:w="5000"/>
        <w:jc w:val="left"/>
        <w:tblLayout w:type="fixed"/>
        <w:tblLook w:firstRow="1" w:lastRow="0" w:firstColumn="0" w:lastColumn="0" w:noHBand="0" w:noVBand="0" w:val="0020"/>
      </w:tblPr>
      <w:tblGrid>
        <w:gridCol w:w="1485"/>
        <w:gridCol w:w="2227"/>
        <w:gridCol w:w="4207"/>
      </w:tblGrid>
      <w:tr>
        <w:trPr>
          <w:tblHeader w:val="on"/>
        </w:trPr>
        <w:tc>
          <w:tcPr/>
          <w:p>
            <w:pPr>
              <w:pStyle w:val="Compact"/>
              <w:jc w:val="left"/>
            </w:pPr>
            <w:r>
              <w:t xml:space="preserve">Pain</w:t>
            </w:r>
          </w:p>
        </w:tc>
        <w:tc>
          <w:tcPr/>
          <w:p>
            <w:pPr>
              <w:pStyle w:val="Compact"/>
              <w:jc w:val="left"/>
            </w:pPr>
            <w:r>
              <w:t xml:space="preserve">Feature</w:t>
            </w:r>
          </w:p>
        </w:tc>
        <w:tc>
          <w:tcPr/>
          <w:p>
            <w:pPr>
              <w:pStyle w:val="Compact"/>
              <w:jc w:val="left"/>
            </w:pPr>
            <w:r>
              <w:t xml:space="preserve">How It Relieves</w:t>
            </w:r>
          </w:p>
        </w:tc>
      </w:tr>
      <w:tr>
        <w:tc>
          <w:tcPr/>
          <w:p>
            <w:pPr>
              <w:pStyle w:val="Compact"/>
              <w:jc w:val="left"/>
            </w:pPr>
            <w:r>
              <w:t xml:space="preserve">P1 — Price opacity</w:t>
            </w:r>
          </w:p>
        </w:tc>
        <w:tc>
          <w:tcPr/>
          <w:p>
            <w:pPr>
              <w:pStyle w:val="Compact"/>
              <w:jc w:val="left"/>
            </w:pPr>
            <w:r>
              <w:t xml:space="preserve">RFQ + bid comparison dashboard with live LBMA PM Fix overlay (Phase 2)</w:t>
            </w:r>
          </w:p>
        </w:tc>
        <w:tc>
          <w:tcPr/>
          <w:p>
            <w:pPr>
              <w:pStyle w:val="Compact"/>
              <w:jc w:val="left"/>
            </w:pPr>
            <w:r>
              <w:t xml:space="preserve">Buyer sees competing bids + 90-day historical prices before committing</w:t>
            </w:r>
          </w:p>
        </w:tc>
      </w:tr>
      <w:tr>
        <w:tc>
          <w:tcPr/>
          <w:p>
            <w:pPr>
              <w:pStyle w:val="Compact"/>
              <w:jc w:val="left"/>
            </w:pPr>
            <w:r>
              <w:t xml:space="preserve">P2 — Counterparty risk</w:t>
            </w:r>
          </w:p>
        </w:tc>
        <w:tc>
          <w:tcPr/>
          <w:p>
            <w:pPr>
              <w:pStyle w:val="Compact"/>
              <w:jc w:val="left"/>
            </w:pPr>
            <w:r>
              <w:t xml:space="preserve">KYC/AML (Smile Identity) + Minerals Commission + GoldBod verification (Phase 1)</w:t>
            </w:r>
          </w:p>
        </w:tc>
        <w:tc>
          <w:tcPr/>
          <w:p>
            <w:pPr>
              <w:pStyle w:val="Compact"/>
              <w:jc w:val="left"/>
            </w:pPr>
            <w:r>
              <w:t xml:space="preserve">Every seller verified at onboarding and re-verified monthly</w:t>
            </w:r>
          </w:p>
        </w:tc>
      </w:tr>
      <w:tr>
        <w:tc>
          <w:tcPr/>
          <w:p>
            <w:pPr>
              <w:pStyle w:val="Compact"/>
              <w:jc w:val="left"/>
            </w:pPr>
            <w:r>
              <w:t xml:space="preserve">P3 — Export documentation drag</w:t>
            </w:r>
          </w:p>
        </w:tc>
        <w:tc>
          <w:tcPr/>
          <w:p>
            <w:pPr>
              <w:pStyle w:val="Compact"/>
              <w:jc w:val="left"/>
            </w:pPr>
            <w:r>
              <w:t xml:space="preserve">Compliance Core audit export → Phase 3 GoldBod + PMMC API integration</w:t>
            </w:r>
          </w:p>
        </w:tc>
        <w:tc>
          <w:tcPr/>
          <w:p>
            <w:pPr>
              <w:pStyle w:val="Compact"/>
              <w:jc w:val="left"/>
            </w:pPr>
            <w:r>
              <w:t xml:space="preserve">MVP reduces staff-hours; Phase 3 reduces elapsed time to &lt;36 hours</w:t>
            </w:r>
          </w:p>
        </w:tc>
      </w:tr>
      <w:tr>
        <w:tc>
          <w:tcPr/>
          <w:p>
            <w:pPr>
              <w:pStyle w:val="Compact"/>
              <w:jc w:val="left"/>
            </w:pPr>
            <w:r>
              <w:t xml:space="preserve">P4 — Funds-at-risk window</w:t>
            </w:r>
          </w:p>
        </w:tc>
        <w:tc>
          <w:tcPr/>
          <w:p>
            <w:pPr>
              <w:pStyle w:val="Compact"/>
              <w:jc w:val="left"/>
            </w:pPr>
            <w:r>
              <w:t xml:space="preserve">Escrow integration with partner bank (Stanbic/Ecobank Ghana) (Phase 2)</w:t>
            </w:r>
          </w:p>
        </w:tc>
        <w:tc>
          <w:tcPr/>
          <w:p>
            <w:pPr>
              <w:pStyle w:val="Compact"/>
              <w:jc w:val="left"/>
            </w:pPr>
            <w:r>
              <w:t xml:space="preserve">Funds released only on joint confirmation of Chamber approval + title transfer</w:t>
            </w:r>
          </w:p>
        </w:tc>
      </w:tr>
      <w:tr>
        <w:tc>
          <w:tcPr/>
          <w:p>
            <w:pPr>
              <w:pStyle w:val="Compact"/>
              <w:jc w:val="left"/>
            </w:pPr>
            <w:r>
              <w:t xml:space="preserve">P5 — Audit trail fragmentation</w:t>
            </w:r>
          </w:p>
        </w:tc>
        <w:tc>
          <w:tcPr/>
          <w:p>
            <w:pPr>
              <w:pStyle w:val="Compact"/>
              <w:jc w:val="left"/>
            </w:pPr>
            <w:r>
              <w:t xml:space="preserve">Immutable audit log pre-validated against LBMA RGG five-step due diligence</w:t>
            </w:r>
          </w:p>
        </w:tc>
        <w:tc>
          <w:tcPr/>
          <w:p>
            <w:pPr>
              <w:pStyle w:val="Compact"/>
              <w:jc w:val="left"/>
            </w:pPr>
            <w:r>
              <w:t xml:space="preserve">Single audit-package export replaces WhatsApp + paper + PDF reconstruction</w:t>
            </w:r>
          </w:p>
        </w:tc>
      </w:tr>
    </w:tbl>
    <w:p>
      <w:pPr>
        <w:pStyle w:val="BodyText"/>
      </w:pPr>
      <w:r>
        <w:rPr>
          <w:b/>
          <w:bCs/>
        </w:rPr>
        <w:t xml:space="preserve">Gain Creators (Gain → Capability mapping):</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Gain</w:t>
            </w:r>
          </w:p>
        </w:tc>
        <w:tc>
          <w:tcPr/>
          <w:p>
            <w:pPr>
              <w:pStyle w:val="Compact"/>
              <w:jc w:val="left"/>
            </w:pPr>
            <w:r>
              <w:t xml:space="preserve">Capability</w:t>
            </w:r>
          </w:p>
        </w:tc>
        <w:tc>
          <w:tcPr/>
          <w:p>
            <w:pPr>
              <w:pStyle w:val="Compact"/>
              <w:jc w:val="left"/>
            </w:pPr>
            <w:r>
              <w:t xml:space="preserve">Outcome</w:t>
            </w:r>
          </w:p>
        </w:tc>
      </w:tr>
      <w:tr>
        <w:tc>
          <w:tcPr/>
          <w:p>
            <w:pPr>
              <w:pStyle w:val="Compact"/>
              <w:jc w:val="left"/>
            </w:pPr>
            <w:r>
              <w:t xml:space="preserve">G1 — Compliance-grade audit trail</w:t>
            </w:r>
          </w:p>
        </w:tc>
        <w:tc>
          <w:tcPr/>
          <w:p>
            <w:pPr>
              <w:pStyle w:val="Compact"/>
              <w:jc w:val="left"/>
            </w:pPr>
            <w:r>
              <w:t xml:space="preserve">Immutable audit log (Compliance Core)</w:t>
            </w:r>
          </w:p>
        </w:tc>
        <w:tc>
          <w:tcPr/>
          <w:p>
            <w:pPr>
              <w:pStyle w:val="Compact"/>
              <w:jc w:val="left"/>
            </w:pPr>
            <w:r>
              <w:t xml:space="preserve">Single exportable audit package per trade; reduces audit time from 6 staff-hours to &lt;30 minutes</w:t>
            </w:r>
          </w:p>
        </w:tc>
      </w:tr>
      <w:tr>
        <w:tc>
          <w:tcPr/>
          <w:p>
            <w:pPr>
              <w:pStyle w:val="Compact"/>
              <w:jc w:val="left"/>
            </w:pPr>
            <w:r>
              <w:t xml:space="preserve">G2 — Escrow protection</w:t>
            </w:r>
          </w:p>
        </w:tc>
        <w:tc>
          <w:tcPr/>
          <w:p>
            <w:pPr>
              <w:pStyle w:val="Compact"/>
              <w:jc w:val="left"/>
            </w:pPr>
            <w:r>
              <w:t xml:space="preserve">Partner-bank escrow with two-signature release (Phase 2)</w:t>
            </w:r>
          </w:p>
        </w:tc>
        <w:tc>
          <w:tcPr/>
          <w:p>
            <w:pPr>
              <w:pStyle w:val="Compact"/>
              <w:jc w:val="left"/>
            </w:pPr>
            <w:r>
              <w:t xml:space="preserve">Funds-at-risk window collapses from days to seconds</w:t>
            </w:r>
          </w:p>
        </w:tc>
      </w:tr>
      <w:tr>
        <w:tc>
          <w:tcPr/>
          <w:p>
            <w:pPr>
              <w:pStyle w:val="Compact"/>
              <w:jc w:val="left"/>
            </w:pPr>
            <w:r>
              <w:t xml:space="preserve">G3 — Price transparency</w:t>
            </w:r>
          </w:p>
        </w:tc>
        <w:tc>
          <w:tcPr/>
          <w:p>
            <w:pPr>
              <w:pStyle w:val="Compact"/>
              <w:jc w:val="left"/>
            </w:pPr>
            <w:r>
              <w:t xml:space="preserve">Bid comparison dashboard + 90-day price feed + LBMA PM Fix (Phase 2)</w:t>
            </w:r>
          </w:p>
        </w:tc>
        <w:tc>
          <w:tcPr/>
          <w:p>
            <w:pPr>
              <w:pStyle w:val="Compact"/>
              <w:jc w:val="left"/>
            </w:pPr>
            <w:r>
              <w:t xml:space="preserve">Overpayment incidents drop from 1-in-4 to under 1-in-10 by month 12</w:t>
            </w:r>
          </w:p>
        </w:tc>
      </w:tr>
      <w:tr>
        <w:tc>
          <w:tcPr/>
          <w:p>
            <w:pPr>
              <w:pStyle w:val="Compact"/>
              <w:jc w:val="left"/>
            </w:pPr>
            <w:r>
              <w:t xml:space="preserve">G4 — Faster export documentation</w:t>
            </w:r>
          </w:p>
        </w:tc>
        <w:tc>
          <w:tcPr/>
          <w:p>
            <w:pPr>
              <w:pStyle w:val="Compact"/>
              <w:jc w:val="left"/>
            </w:pPr>
            <w:r>
              <w:t xml:space="preserve">Compliance Core audit export → Phase 3 GoldBod + PMMC integration</w:t>
            </w:r>
          </w:p>
        </w:tc>
        <w:tc>
          <w:tcPr/>
          <w:p>
            <w:pPr>
              <w:pStyle w:val="Compact"/>
              <w:jc w:val="left"/>
            </w:pPr>
            <w:r>
              <w:t xml:space="preserve">MVP: 14→6 staff-hours; Phase 3: 6 days→&lt;36 hours elapsed</w:t>
            </w:r>
          </w:p>
        </w:tc>
      </w:tr>
      <w:tr>
        <w:tc>
          <w:tcPr/>
          <w:p>
            <w:pPr>
              <w:pStyle w:val="Compact"/>
              <w:jc w:val="left"/>
            </w:pPr>
            <w:r>
              <w:t xml:space="preserve">G5 — Market intelligence</w:t>
            </w:r>
          </w:p>
        </w:tc>
        <w:tc>
          <w:tcPr/>
          <w:p>
            <w:pPr>
              <w:pStyle w:val="Compact"/>
              <w:jc w:val="left"/>
            </w:pPr>
            <w:r>
              <w:t xml:space="preserve">Phase 4 module (LBMA + BoG DGPP prices + AI forecasting)</w:t>
            </w:r>
          </w:p>
        </w:tc>
        <w:tc>
          <w:tcPr/>
          <w:p>
            <w:pPr>
              <w:pStyle w:val="Compact"/>
              <w:jc w:val="left"/>
            </w:pPr>
            <w:r>
              <w:t xml:space="preserve">Deferred to Phase 4; designed for in MVP data model</w:t>
            </w:r>
          </w:p>
        </w:tc>
      </w:tr>
    </w:tbl>
    <w:bookmarkEnd w:id="26"/>
    <w:bookmarkStart w:id="27" w:name="c.-the-fit-statement"/>
    <w:p>
      <w:pPr>
        <w:pStyle w:val="Heading3"/>
      </w:pPr>
      <w:r>
        <w:t xml:space="preserve">C. The Fit Statement</w:t>
      </w:r>
    </w:p>
    <w:p>
      <w:pPr>
        <w:pStyle w:val="BlockText"/>
      </w:pPr>
      <w:r>
        <w:rPr>
          <w:b/>
          <w:bCs/>
        </w:rPr>
        <w:t xml:space="preserve">For licensed Tier 1 and Tier 2 gold buyers and sellers in Ghana who must trade high-value gold under strict GoldBod, PMMC, Minerals Commission, and LBMA Responsible Gold Guidance compliance without exposing themselves to price opacity, counterparty risk, or funds-at-risk windows, AurumXchange is a regulated B2B gold trading infrastructure that combines RFQ-driven negotiation, Chamber-approved escrow, and an immutable LBMA-RGG-aligned audit trail into a single compliance-gated exchange. Unlike the status quo of phone-brokered deals and fragmented paperwork across GoldBod, PMMC, and Bank of Ghana workflows, AurumXchange collapses every trade into a single auditable workflow where funds move only when title transfers.</w:t>
      </w:r>
    </w:p>
    <w:p>
      <w:r>
        <w:pict>
          <v:rect style="width:0;height:1.5pt" o:hralign="center" o:hrstd="t" o:hr="t"/>
        </w:pict>
      </w:r>
    </w:p>
    <w:bookmarkEnd w:id="27"/>
    <w:bookmarkEnd w:id="28"/>
    <w:bookmarkStart w:id="31" w:name="document-2-business-model-canvas-bmc"/>
    <w:p>
      <w:pPr>
        <w:pStyle w:val="Heading2"/>
      </w:pPr>
      <w:r>
        <w:t xml:space="preserve">3. Document 2 — Business Model Canvas (BMC)</w:t>
      </w:r>
    </w:p>
    <w:bookmarkStart w:id="29" w:name="right-side-value-customer-facing"/>
    <w:p>
      <w:pPr>
        <w:pStyle w:val="Heading3"/>
      </w:pPr>
      <w:r>
        <w:t xml:space="preserve">Right Side (Value &amp; Customer-Facing)</w:t>
      </w:r>
    </w:p>
    <w:p>
      <w:pPr>
        <w:pStyle w:val="FirstParagraph"/>
      </w:pPr>
      <w:r>
        <w:rPr>
          <w:b/>
          <w:bCs/>
        </w:rPr>
        <w:t xml:space="preserve">1. Customer Segments</w:t>
      </w:r>
      <w:r>
        <w:t xml:space="preserve"> </w:t>
      </w:r>
      <w:r>
        <w:t xml:space="preserve">— Four personas:</w:t>
      </w:r>
    </w:p>
    <w:tbl>
      <w:tblPr>
        <w:tblStyle w:val="Table"/>
        <w:tblW w:type="pct" w:w="5000"/>
        <w:jc w:val="left"/>
        <w:tblLayout w:type="fixed"/>
        <w:tblLook w:firstRow="1" w:lastRow="0" w:firstColumn="0" w:lastColumn="0" w:noHBand="0" w:noVBand="0" w:val="0020"/>
      </w:tblPr>
      <w:tblGrid>
        <w:gridCol w:w="2299"/>
        <w:gridCol w:w="2299"/>
        <w:gridCol w:w="3321"/>
      </w:tblGrid>
      <w:tr>
        <w:trPr>
          <w:tblHeader w:val="on"/>
        </w:trPr>
        <w:tc>
          <w:tcPr/>
          <w:p>
            <w:pPr>
              <w:pStyle w:val="Compact"/>
              <w:jc w:val="left"/>
            </w:pPr>
            <w:r>
              <w:t xml:space="preserve">Segment</w:t>
            </w:r>
          </w:p>
        </w:tc>
        <w:tc>
          <w:tcPr/>
          <w:p>
            <w:pPr>
              <w:pStyle w:val="Compact"/>
              <w:jc w:val="left"/>
            </w:pPr>
            <w:r>
              <w:t xml:space="preserve">Persona</w:t>
            </w:r>
          </w:p>
        </w:tc>
        <w:tc>
          <w:tcPr/>
          <w:p>
            <w:pPr>
              <w:pStyle w:val="Compact"/>
              <w:jc w:val="left"/>
            </w:pPr>
            <w:r>
              <w:t xml:space="preserve">Description</w:t>
            </w:r>
          </w:p>
        </w:tc>
      </w:tr>
      <w:tr>
        <w:tc>
          <w:tcPr/>
          <w:p>
            <w:pPr>
              <w:pStyle w:val="Compact"/>
              <w:jc w:val="left"/>
            </w:pPr>
            <w:r>
              <w:t xml:space="preserve">Tier 2 Sellers (small-scale)</w:t>
            </w:r>
          </w:p>
        </w:tc>
        <w:tc>
          <w:tcPr/>
          <w:p>
            <w:pPr>
              <w:pStyle w:val="Compact"/>
              <w:jc w:val="left"/>
            </w:pPr>
            <w:r>
              <w:t xml:space="preserve">Abena Owusu (Tarkwa)</w:t>
            </w:r>
          </w:p>
        </w:tc>
        <w:tc>
          <w:tcPr/>
          <w:p>
            <w:pPr>
              <w:pStyle w:val="Compact"/>
              <w:jc w:val="left"/>
            </w:pPr>
            <w:r>
              <w:t xml:space="preserve">39-year-old operator of a registered cooperative; since April 2025 sells 3–8 kg/month through GoldBod as the sole legal buyer</w:t>
            </w:r>
          </w:p>
        </w:tc>
      </w:tr>
      <w:tr>
        <w:tc>
          <w:tcPr/>
          <w:p>
            <w:pPr>
              <w:pStyle w:val="Compact"/>
              <w:jc w:val="left"/>
            </w:pPr>
            <w:r>
              <w:t xml:space="preserve">Tier 2 Buyers</w:t>
            </w:r>
          </w:p>
        </w:tc>
        <w:tc>
          <w:tcPr/>
          <w:p>
            <w:pPr>
              <w:pStyle w:val="Compact"/>
              <w:jc w:val="left"/>
            </w:pPr>
            <w:r>
              <w:t xml:space="preserve">Kofi Mensah (Kumasi)</w:t>
            </w:r>
          </w:p>
        </w:tc>
        <w:tc>
          <w:tcPr/>
          <w:p>
            <w:pPr>
              <w:pStyle w:val="Compact"/>
              <w:jc w:val="left"/>
            </w:pPr>
            <w:r>
              <w:t xml:space="preserve">41-year-old MD of an exporter; sources 4 kg/month from large-scale miners under bilateral offtake; exports to Switzerland/UAE</w:t>
            </w:r>
          </w:p>
        </w:tc>
      </w:tr>
      <w:tr>
        <w:tc>
          <w:tcPr/>
          <w:p>
            <w:pPr>
              <w:pStyle w:val="Compact"/>
              <w:jc w:val="left"/>
            </w:pPr>
            <w:r>
              <w:t xml:space="preserve">Tier 1 Buyers</w:t>
            </w:r>
          </w:p>
        </w:tc>
        <w:tc>
          <w:tcPr/>
          <w:p>
            <w:pPr>
              <w:pStyle w:val="Compact"/>
              <w:jc w:val="left"/>
            </w:pPr>
            <w:r>
              <w:t xml:space="preserve">Marcus Weber (Switzerland)</w:t>
            </w:r>
          </w:p>
        </w:tc>
        <w:tc>
          <w:tcPr/>
          <w:p>
            <w:pPr>
              <w:pStyle w:val="Compact"/>
              <w:jc w:val="left"/>
            </w:pPr>
            <w:r>
              <w:t xml:space="preserve">47-year-old Head of Procurement at an LBMA-accredited refiner; sources 50–200 kg/month of West African dore</w:t>
            </w:r>
          </w:p>
        </w:tc>
      </w:tr>
      <w:tr>
        <w:tc>
          <w:tcPr/>
          <w:p>
            <w:pPr>
              <w:pStyle w:val="Compact"/>
              <w:jc w:val="left"/>
            </w:pPr>
            <w:r>
              <w:t xml:space="preserve">The Chamber (secondary)</w:t>
            </w:r>
          </w:p>
        </w:tc>
        <w:tc>
          <w:tcPr/>
          <w:p>
            <w:pPr>
              <w:pStyle w:val="Compact"/>
              <w:jc w:val="left"/>
            </w:pPr>
            <w:r>
              <w:t xml:space="preserve">Nana Chairperson</w:t>
            </w:r>
          </w:p>
        </w:tc>
        <w:tc>
          <w:tcPr/>
          <w:p>
            <w:pPr>
              <w:pStyle w:val="Compact"/>
              <w:jc w:val="left"/>
            </w:pPr>
            <w:r>
              <w:t xml:space="preserve">Sets trading rules, approves trades, receives 30% revenue share, makes no upfront investment</w:t>
            </w:r>
          </w:p>
        </w:tc>
      </w:tr>
    </w:tbl>
    <w:p>
      <w:pPr>
        <w:pStyle w:val="BodyText"/>
      </w:pPr>
      <w:r>
        <w:rPr>
          <w:b/>
          <w:bCs/>
        </w:rPr>
        <w:t xml:space="preserve">2. Value Propositions</w:t>
      </w:r>
      <w:r>
        <w:t xml:space="preserve"> </w:t>
      </w:r>
      <w:r>
        <w:t xml:space="preserve">(restates VPC Fit Statement per segment):</w:t>
      </w:r>
      <w:r>
        <w:t xml:space="preserve"> </w:t>
      </w:r>
      <w:r>
        <w:t xml:space="preserve">-</w:t>
      </w:r>
      <w:r>
        <w:t xml:space="preserve"> </w:t>
      </w:r>
      <w:r>
        <w:rPr>
          <w:i/>
          <w:iCs/>
        </w:rPr>
        <w:t xml:space="preserve">Abena:</w:t>
      </w:r>
      <w:r>
        <w:t xml:space="preserve"> </w:t>
      </w:r>
      <w:r>
        <w:t xml:space="preserve">Verified licensed buyers in one place + escrow protection + GoldBod-compliant workflow.</w:t>
      </w:r>
      <w:r>
        <w:t xml:space="preserve"> </w:t>
      </w:r>
      <w:r>
        <w:t xml:space="preserve">-</w:t>
      </w:r>
      <w:r>
        <w:t xml:space="preserve"> </w:t>
      </w:r>
      <w:r>
        <w:rPr>
          <w:i/>
          <w:iCs/>
        </w:rPr>
        <w:t xml:space="preserve">Kofi:</w:t>
      </w:r>
      <w:r>
        <w:t xml:space="preserve"> </w:t>
      </w:r>
      <w:r>
        <w:t xml:space="preserve">Single compliance-gated workflow with KYC-verified sellers, tamper-evident audit trail, escrow until title transfers.</w:t>
      </w:r>
      <w:r>
        <w:t xml:space="preserve"> </w:t>
      </w:r>
      <w:r>
        <w:t xml:space="preserve">-</w:t>
      </w:r>
      <w:r>
        <w:t xml:space="preserve"> </w:t>
      </w:r>
      <w:r>
        <w:rPr>
          <w:i/>
          <w:iCs/>
        </w:rPr>
        <w:t xml:space="preserve">Marcus:</w:t>
      </w:r>
      <w:r>
        <w:t xml:space="preserve"> </w:t>
      </w:r>
      <w:r>
        <w:t xml:space="preserve">LBMA RGG-aligned responsible-origin documentation + complete chain-of-custody per kilogram.</w:t>
      </w:r>
      <w:r>
        <w:t xml:space="preserve"> </w:t>
      </w:r>
      <w:r>
        <w:t xml:space="preserve">-</w:t>
      </w:r>
      <w:r>
        <w:t xml:space="preserve"> </w:t>
      </w:r>
      <w:r>
        <w:rPr>
          <w:i/>
          <w:iCs/>
        </w:rPr>
        <w:t xml:space="preserve">Chamber:</w:t>
      </w:r>
      <w:r>
        <w:t xml:space="preserve"> </w:t>
      </w:r>
      <w:r>
        <w:t xml:space="preserve">Single digital surface to manage members + 30% revenue share + no upfront cost.</w:t>
      </w:r>
    </w:p>
    <w:p>
      <w:pPr>
        <w:pStyle w:val="BodyText"/>
      </w:pPr>
      <w:r>
        <w:rPr>
          <w:b/>
          <w:bCs/>
        </w:rPr>
        <w:t xml:space="preserve">3. Channels:</w:t>
      </w:r>
      <w:r>
        <w:t xml:space="preserve"> </w:t>
      </w:r>
      <w:r>
        <w:t xml:space="preserve">- Discovery: Chamber membership comms, GMEC + WAMPOC sponsorship, word-of-mouth.</w:t>
      </w:r>
      <w:r>
        <w:t xml:space="preserve"> </w:t>
      </w:r>
      <w:r>
        <w:t xml:space="preserve">- Evaluation: Chamber-hosted demos (Accra, Kumasi, Tarkwa, Obuasi), 14-day free Professional trial.</w:t>
      </w:r>
      <w:r>
        <w:t xml:space="preserve"> </w:t>
      </w:r>
      <w:r>
        <w:t xml:space="preserve">- Purchase: Self-service upgrade (Free → Pro → Enterprise), invoice billing for Enterprise, mobile money (MTN MoMo, Telecel Cash) or bank transfer (GHIPSS).</w:t>
      </w:r>
      <w:r>
        <w:t xml:space="preserve"> </w:t>
      </w:r>
      <w:r>
        <w:t xml:space="preserve">- Access: Responsive web application (mobile-friendly); native apps deferred to Phase 5.</w:t>
      </w:r>
    </w:p>
    <w:p>
      <w:pPr>
        <w:pStyle w:val="BodyText"/>
      </w:pPr>
      <w:r>
        <w:rPr>
          <w:b/>
          <w:bCs/>
        </w:rPr>
        <w:t xml:space="preserve">4. Customer Relationships:</w:t>
      </w:r>
      <w:r>
        <w:t xml:space="preserve"> </w:t>
      </w:r>
      <w:r>
        <w:t xml:space="preserve">- Tier 2: Self-service + automated onboarding, in-app chat with 4-hour SLA.</w:t>
      </w:r>
      <w:r>
        <w:t xml:space="preserve"> </w:t>
      </w:r>
      <w:r>
        <w:t xml:space="preserve">- Tier 1 Enterprise: Dedicated account manager, quarterly business review.</w:t>
      </w:r>
      <w:r>
        <w:t xml:space="preserve"> </w:t>
      </w:r>
      <w:r>
        <w:t xml:space="preserve">- Chamber: Strategic partnership — monthly steering committee with Smart Innovations CEO.</w:t>
      </w:r>
      <w:r>
        <w:t xml:space="preserve"> </w:t>
      </w:r>
      <w:r>
        <w:t xml:space="preserve">- Community: Chamber-moderated forum (separate from trading).</w:t>
      </w:r>
    </w:p>
    <w:p>
      <w:pPr>
        <w:pStyle w:val="BodyText"/>
      </w:pPr>
      <w:r>
        <w:rPr>
          <w:b/>
          <w:bCs/>
        </w:rPr>
        <w:t xml:space="preserve">5. Revenue Streams</w:t>
      </w:r>
      <w:r>
        <w:t xml:space="preserve"> </w:t>
      </w:r>
      <w:r>
        <w:t xml:space="preserve">(Golden Thread anchor — reappears in Financial Doc):</w:t>
      </w:r>
    </w:p>
    <w:tbl>
      <w:tblPr>
        <w:tblStyle w:val="Table"/>
        <w:tblW w:type="pct" w:w="5000"/>
        <w:jc w:val="left"/>
        <w:tblLayout w:type="fixed"/>
        <w:tblLook w:firstRow="1" w:lastRow="0" w:firstColumn="0" w:lastColumn="0" w:noHBand="0" w:noVBand="0" w:val="0020"/>
      </w:tblPr>
      <w:tblGrid>
        <w:gridCol w:w="2816"/>
        <w:gridCol w:w="1232"/>
        <w:gridCol w:w="1936"/>
        <w:gridCol w:w="1936"/>
      </w:tblGrid>
      <w:tr>
        <w:trPr>
          <w:tblHeader w:val="on"/>
        </w:trPr>
        <w:tc>
          <w:tcPr/>
          <w:p>
            <w:pPr>
              <w:pStyle w:val="Compact"/>
              <w:jc w:val="left"/>
            </w:pPr>
            <w:r>
              <w:t xml:space="preserve">Revenue Source</w:t>
            </w:r>
          </w:p>
        </w:tc>
        <w:tc>
          <w:tcPr/>
          <w:p>
            <w:pPr>
              <w:pStyle w:val="Compact"/>
              <w:jc w:val="left"/>
            </w:pPr>
            <w:r>
              <w:t xml:space="preserve">Price</w:t>
            </w:r>
          </w:p>
        </w:tc>
        <w:tc>
          <w:tcPr/>
          <w:p>
            <w:pPr>
              <w:pStyle w:val="Compact"/>
              <w:jc w:val="left"/>
            </w:pPr>
            <w:r>
              <w:t xml:space="preserve">Charged To</w:t>
            </w:r>
          </w:p>
        </w:tc>
        <w:tc>
          <w:tcPr/>
          <w:p>
            <w:pPr>
              <w:pStyle w:val="Compact"/>
              <w:jc w:val="left"/>
            </w:pPr>
            <w:r>
              <w:t xml:space="preserve">Frequency</w:t>
            </w:r>
          </w:p>
        </w:tc>
      </w:tr>
      <w:tr>
        <w:tc>
          <w:tcPr/>
          <w:p>
            <w:pPr>
              <w:pStyle w:val="Compact"/>
              <w:jc w:val="left"/>
            </w:pPr>
            <w:r>
              <w:t xml:space="preserve">Buyer transaction fee</w:t>
            </w:r>
          </w:p>
        </w:tc>
        <w:tc>
          <w:tcPr/>
          <w:p>
            <w:pPr>
              <w:pStyle w:val="Compact"/>
              <w:jc w:val="left"/>
            </w:pPr>
            <w:r>
              <w:t xml:space="preserve">0.10% of trade value</w:t>
            </w:r>
          </w:p>
        </w:tc>
        <w:tc>
          <w:tcPr/>
          <w:p>
            <w:pPr>
              <w:pStyle w:val="Compact"/>
              <w:jc w:val="left"/>
            </w:pPr>
            <w:r>
              <w:t xml:space="preserve">Buyer</w:t>
            </w:r>
          </w:p>
        </w:tc>
        <w:tc>
          <w:tcPr/>
          <w:p>
            <w:pPr>
              <w:pStyle w:val="Compact"/>
              <w:jc w:val="left"/>
            </w:pPr>
            <w:r>
              <w:t xml:space="preserve">Per trade</w:t>
            </w:r>
          </w:p>
        </w:tc>
      </w:tr>
      <w:tr>
        <w:tc>
          <w:tcPr/>
          <w:p>
            <w:pPr>
              <w:pStyle w:val="Compact"/>
              <w:jc w:val="left"/>
            </w:pPr>
            <w:r>
              <w:t xml:space="preserve">Seller transaction fee</w:t>
            </w:r>
          </w:p>
        </w:tc>
        <w:tc>
          <w:tcPr/>
          <w:p>
            <w:pPr>
              <w:pStyle w:val="Compact"/>
              <w:jc w:val="left"/>
            </w:pPr>
            <w:r>
              <w:t xml:space="preserve">0.10% of trade value</w:t>
            </w:r>
          </w:p>
        </w:tc>
        <w:tc>
          <w:tcPr/>
          <w:p>
            <w:pPr>
              <w:pStyle w:val="Compact"/>
              <w:jc w:val="left"/>
            </w:pPr>
            <w:r>
              <w:t xml:space="preserve">Seller</w:t>
            </w:r>
          </w:p>
        </w:tc>
        <w:tc>
          <w:tcPr/>
          <w:p>
            <w:pPr>
              <w:pStyle w:val="Compact"/>
              <w:jc w:val="left"/>
            </w:pPr>
            <w:r>
              <w:t xml:space="preserve">Per trade</w:t>
            </w:r>
          </w:p>
        </w:tc>
      </w:tr>
      <w:tr>
        <w:tc>
          <w:tcPr/>
          <w:p>
            <w:pPr>
              <w:pStyle w:val="Compact"/>
              <w:jc w:val="left"/>
            </w:pPr>
            <w:r>
              <w:t xml:space="preserve">Premium — Professional</w:t>
            </w:r>
          </w:p>
        </w:tc>
        <w:tc>
          <w:tcPr/>
          <w:p>
            <w:pPr>
              <w:pStyle w:val="Compact"/>
              <w:jc w:val="left"/>
            </w:pPr>
            <w:r>
              <w:t xml:space="preserve">US$100/month</w:t>
            </w:r>
          </w:p>
        </w:tc>
        <w:tc>
          <w:tcPr/>
          <w:p>
            <w:pPr>
              <w:pStyle w:val="Compact"/>
              <w:jc w:val="left"/>
            </w:pPr>
            <w:r>
              <w:t xml:space="preserve">Businesses</w:t>
            </w:r>
          </w:p>
        </w:tc>
        <w:tc>
          <w:tcPr/>
          <w:p>
            <w:pPr>
              <w:pStyle w:val="Compact"/>
              <w:jc w:val="left"/>
            </w:pPr>
            <w:r>
              <w:t xml:space="preserve">Monthly</w:t>
            </w:r>
          </w:p>
        </w:tc>
      </w:tr>
      <w:tr>
        <w:tc>
          <w:tcPr/>
          <w:p>
            <w:pPr>
              <w:pStyle w:val="Compact"/>
              <w:jc w:val="left"/>
            </w:pPr>
            <w:r>
              <w:t xml:space="preserve">Premium — Enterprise</w:t>
            </w:r>
          </w:p>
        </w:tc>
        <w:tc>
          <w:tcPr/>
          <w:p>
            <w:pPr>
              <w:pStyle w:val="Compact"/>
              <w:jc w:val="left"/>
            </w:pPr>
            <w:r>
              <w:t xml:space="preserve">US$500+/month (tiered)</w:t>
            </w:r>
          </w:p>
        </w:tc>
        <w:tc>
          <w:tcPr/>
          <w:p>
            <w:pPr>
              <w:pStyle w:val="Compact"/>
              <w:jc w:val="left"/>
            </w:pPr>
            <w:r>
              <w:t xml:space="preserve">Businesses</w:t>
            </w:r>
          </w:p>
        </w:tc>
        <w:tc>
          <w:tcPr/>
          <w:p>
            <w:pPr>
              <w:pStyle w:val="Compact"/>
              <w:jc w:val="left"/>
            </w:pPr>
            <w:r>
              <w:t xml:space="preserve">Monthly</w:t>
            </w:r>
          </w:p>
        </w:tc>
      </w:tr>
      <w:tr>
        <w:tc>
          <w:tcPr/>
          <w:p>
            <w:pPr>
              <w:pStyle w:val="Compact"/>
              <w:jc w:val="left"/>
            </w:pPr>
            <w:r>
              <w:t xml:space="preserve">Featured supplier listing</w:t>
            </w:r>
          </w:p>
        </w:tc>
        <w:tc>
          <w:tcPr/>
          <w:p>
            <w:pPr>
              <w:pStyle w:val="Compact"/>
              <w:jc w:val="left"/>
            </w:pPr>
            <w:r>
              <w:t xml:space="preserve">US$250/month</w:t>
            </w:r>
          </w:p>
        </w:tc>
        <w:tc>
          <w:tcPr/>
          <w:p>
            <w:pPr>
              <w:pStyle w:val="Compact"/>
              <w:jc w:val="left"/>
            </w:pPr>
            <w:r>
              <w:t xml:space="preserve">Sellers (opt-in)</w:t>
            </w:r>
          </w:p>
        </w:tc>
        <w:tc>
          <w:tcPr/>
          <w:p>
            <w:pPr>
              <w:pStyle w:val="Compact"/>
              <w:jc w:val="left"/>
            </w:pPr>
            <w:r>
              <w:t xml:space="preserve">Monthly</w:t>
            </w:r>
          </w:p>
        </w:tc>
      </w:tr>
      <w:tr>
        <w:tc>
          <w:tcPr/>
          <w:p>
            <w:pPr>
              <w:pStyle w:val="Compact"/>
              <w:jc w:val="left"/>
            </w:pPr>
            <w:r>
              <w:t xml:space="preserve">RFQ submission fee</w:t>
            </w:r>
          </w:p>
        </w:tc>
        <w:tc>
          <w:tcPr/>
          <w:p>
            <w:pPr>
              <w:pStyle w:val="Compact"/>
              <w:jc w:val="left"/>
            </w:pPr>
            <w:r>
              <w:t xml:space="preserve">US$5/RFQ</w:t>
            </w:r>
          </w:p>
        </w:tc>
        <w:tc>
          <w:tcPr/>
          <w:p>
            <w:pPr>
              <w:pStyle w:val="Compact"/>
              <w:jc w:val="left"/>
            </w:pPr>
            <w:r>
              <w:t xml:space="preserve">Buyers (opt-in)</w:t>
            </w:r>
          </w:p>
        </w:tc>
        <w:tc>
          <w:tcPr/>
          <w:p>
            <w:pPr>
              <w:pStyle w:val="Compact"/>
              <w:jc w:val="left"/>
            </w:pPr>
            <w:r>
              <w:t xml:space="preserve">Per RFQ</w:t>
            </w:r>
          </w:p>
        </w:tc>
      </w:tr>
      <w:tr>
        <w:tc>
          <w:tcPr/>
          <w:p>
            <w:pPr>
              <w:pStyle w:val="Compact"/>
              <w:jc w:val="left"/>
            </w:pPr>
            <w:r>
              <w:t xml:space="preserve">Digital contract fee</w:t>
            </w:r>
          </w:p>
        </w:tc>
        <w:tc>
          <w:tcPr/>
          <w:p>
            <w:pPr>
              <w:pStyle w:val="Compact"/>
              <w:jc w:val="left"/>
            </w:pPr>
            <w:r>
              <w:t xml:space="preserve">US$25/contract</w:t>
            </w:r>
          </w:p>
        </w:tc>
        <w:tc>
          <w:tcPr/>
          <w:p>
            <w:pPr>
              <w:pStyle w:val="Compact"/>
              <w:jc w:val="left"/>
            </w:pPr>
            <w:r>
              <w:t xml:space="preserve">Transaction parties</w:t>
            </w:r>
          </w:p>
        </w:tc>
        <w:tc>
          <w:tcPr/>
          <w:p>
            <w:pPr>
              <w:pStyle w:val="Compact"/>
              <w:jc w:val="left"/>
            </w:pPr>
            <w:r>
              <w:t xml:space="preserve">Per trade</w:t>
            </w:r>
          </w:p>
        </w:tc>
      </w:tr>
      <w:tr>
        <w:tc>
          <w:tcPr/>
          <w:p>
            <w:pPr>
              <w:pStyle w:val="Compact"/>
              <w:jc w:val="left"/>
            </w:pPr>
            <w:r>
              <w:t xml:space="preserve">Escrow fee</w:t>
            </w:r>
          </w:p>
        </w:tc>
        <w:tc>
          <w:tcPr/>
          <w:p>
            <w:pPr>
              <w:pStyle w:val="Compact"/>
              <w:jc w:val="left"/>
            </w:pPr>
            <w:r>
              <w:t xml:space="preserve">0.05% of trade value</w:t>
            </w:r>
          </w:p>
        </w:tc>
        <w:tc>
          <w:tcPr/>
          <w:p>
            <w:pPr>
              <w:pStyle w:val="Compact"/>
              <w:jc w:val="left"/>
            </w:pPr>
            <w:r>
              <w:t xml:space="preserve">Transaction parties</w:t>
            </w:r>
          </w:p>
        </w:tc>
        <w:tc>
          <w:tcPr/>
          <w:p>
            <w:pPr>
              <w:pStyle w:val="Compact"/>
              <w:jc w:val="left"/>
            </w:pPr>
            <w:r>
              <w:t xml:space="preserve">Per trade</w:t>
            </w:r>
          </w:p>
        </w:tc>
      </w:tr>
      <w:tr>
        <w:tc>
          <w:tcPr/>
          <w:p>
            <w:pPr>
              <w:pStyle w:val="Compact"/>
              <w:jc w:val="left"/>
            </w:pPr>
            <w:r>
              <w:t xml:space="preserve">Logistics coordination (Phase 3)</w:t>
            </w:r>
          </w:p>
        </w:tc>
        <w:tc>
          <w:tcPr/>
          <w:p>
            <w:pPr>
              <w:pStyle w:val="Compact"/>
              <w:jc w:val="left"/>
            </w:pPr>
            <w:r>
              <w:t xml:space="preserve">US$150/shipment</w:t>
            </w:r>
          </w:p>
        </w:tc>
        <w:tc>
          <w:tcPr/>
          <w:p>
            <w:pPr>
              <w:pStyle w:val="Compact"/>
              <w:jc w:val="left"/>
            </w:pPr>
            <w:r>
              <w:t xml:space="preserve">Opt-in users</w:t>
            </w:r>
          </w:p>
        </w:tc>
        <w:tc>
          <w:tcPr/>
          <w:p>
            <w:pPr>
              <w:pStyle w:val="Compact"/>
              <w:jc w:val="left"/>
            </w:pPr>
            <w:r>
              <w:t xml:space="preserve">Per shipment</w:t>
            </w:r>
          </w:p>
        </w:tc>
      </w:tr>
      <w:tr>
        <w:tc>
          <w:tcPr/>
          <w:p>
            <w:pPr>
              <w:pStyle w:val="Compact"/>
              <w:jc w:val="left"/>
            </w:pPr>
            <w:r>
              <w:t xml:space="preserve">Trade finance referral commission</w:t>
            </w:r>
          </w:p>
        </w:tc>
        <w:tc>
          <w:tcPr/>
          <w:p>
            <w:pPr>
              <w:pStyle w:val="Compact"/>
              <w:jc w:val="left"/>
            </w:pPr>
            <w:r>
              <w:t xml:space="preserve">5–10% of premium</w:t>
            </w:r>
          </w:p>
        </w:tc>
        <w:tc>
          <w:tcPr/>
          <w:p>
            <w:pPr>
              <w:pStyle w:val="Compact"/>
              <w:jc w:val="left"/>
            </w:pPr>
            <w:r>
              <w:t xml:space="preserve">Financial institutions</w:t>
            </w:r>
          </w:p>
        </w:tc>
        <w:tc>
          <w:tcPr/>
          <w:p>
            <w:pPr>
              <w:pStyle w:val="Compact"/>
              <w:jc w:val="left"/>
            </w:pPr>
            <w:r>
              <w:t xml:space="preserve">Per referral</w:t>
            </w:r>
          </w:p>
        </w:tc>
      </w:tr>
    </w:tbl>
    <w:bookmarkEnd w:id="29"/>
    <w:bookmarkStart w:id="30" w:name="left-side-infrastructure-cost-facing"/>
    <w:p>
      <w:pPr>
        <w:pStyle w:val="Heading3"/>
      </w:pPr>
      <w:r>
        <w:t xml:space="preserve">Left Side (Infrastructure &amp; Cost-Facing)</w:t>
      </w:r>
    </w:p>
    <w:p>
      <w:pPr>
        <w:pStyle w:val="FirstParagraph"/>
      </w:pPr>
      <w:r>
        <w:rPr>
          <w:b/>
          <w:bCs/>
        </w:rPr>
        <w:t xml:space="preserve">6. Key Activities:</w:t>
      </w:r>
      <w:r>
        <w:t xml:space="preserve"> </w:t>
      </w:r>
      <w:r>
        <w:t xml:space="preserve">- Agile development (2-week sprints, Accra-based team)</w:t>
      </w:r>
      <w:r>
        <w:t xml:space="preserve"> </w:t>
      </w:r>
      <w:r>
        <w:t xml:space="preserve">- DevOps &amp; SRE (30-min P1 acknowledgement SLA)</w:t>
      </w:r>
      <w:r>
        <w:t xml:space="preserve"> </w:t>
      </w:r>
      <w:r>
        <w:t xml:space="preserve">- Quality assurance (manual + automated regression, quarterly pen test)</w:t>
      </w:r>
      <w:r>
        <w:t xml:space="preserve"> </w:t>
      </w:r>
      <w:r>
        <w:t xml:space="preserve">- Member support &amp; success (Tier 1 + Customer Success Manager)</w:t>
      </w:r>
      <w:r>
        <w:t xml:space="preserve"> </w:t>
      </w:r>
      <w:r>
        <w:t xml:space="preserve">- Compliance operations (ongoing KYC/AML monitoring, FIC reporting)</w:t>
      </w:r>
      <w:r>
        <w:t xml:space="preserve"> </w:t>
      </w:r>
      <w:r>
        <w:t xml:space="preserve">- Data processing (nightly ETL, weekly audit-log archival)</w:t>
      </w:r>
    </w:p>
    <w:p>
      <w:pPr>
        <w:pStyle w:val="BodyText"/>
      </w:pPr>
      <w:r>
        <w:rPr>
          <w:b/>
          <w:bCs/>
        </w:rPr>
        <w:t xml:space="preserve">7. Key Resources:</w:t>
      </w:r>
      <w:r>
        <w:t xml:space="preserve"> </w:t>
      </w:r>
      <w:r>
        <w:t xml:space="preserve">- Engineering team: 12 FTE at MVP launch (1 CTO, 1 Head of Product, 5 engineers, 2 QA, 1 designer, 1 DevOps, 1 PM); grows to 16 FTE by Year 3</w:t>
      </w:r>
      <w:r>
        <w:t xml:space="preserve"> </w:t>
      </w:r>
      <w:r>
        <w:t xml:space="preserve">- Cloud infrastructure: AWS Ghana region (af-west-1) for data residency per DPA 2012 (Act 843); DR to AWS South Africa (af-south-1)</w:t>
      </w:r>
      <w:r>
        <w:t xml:space="preserve"> </w:t>
      </w:r>
      <w:r>
        <w:t xml:space="preserve">- Proprietary audit-log architecture (LBMA RGG-aligned) — the largest competitive moat</w:t>
      </w:r>
      <w:r>
        <w:t xml:space="preserve"> </w:t>
      </w:r>
      <w:r>
        <w:t xml:space="preserve">- 5-year exclusive revenue-sharing agreement with the Chamber</w:t>
      </w:r>
    </w:p>
    <w:p>
      <w:pPr>
        <w:pStyle w:val="BodyText"/>
      </w:pPr>
      <w:r>
        <w:rPr>
          <w:b/>
          <w:bCs/>
        </w:rPr>
        <w:t xml:space="preserve">8. Key Partnerships</w:t>
      </w:r>
      <w:r>
        <w:t xml:space="preserve"> </w:t>
      </w:r>
      <w:r>
        <w:t xml:space="preserve">(Golden Thread anchor — reappears as OpEx line items):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Partner</w:t>
            </w:r>
          </w:p>
        </w:tc>
        <w:tc>
          <w:tcPr/>
          <w:p>
            <w:pPr>
              <w:pStyle w:val="Compact"/>
              <w:jc w:val="left"/>
            </w:pPr>
            <w:r>
              <w:t xml:space="preserve">Role</w:t>
            </w:r>
          </w:p>
        </w:tc>
        <w:tc>
          <w:tcPr/>
          <w:p>
            <w:pPr>
              <w:pStyle w:val="Compact"/>
              <w:jc w:val="left"/>
            </w:pPr>
            <w:r>
              <w:t xml:space="preserve">OpEx Line Item</w:t>
            </w:r>
          </w:p>
        </w:tc>
      </w:tr>
      <w:tr>
        <w:tc>
          <w:tcPr/>
          <w:p>
            <w:pPr>
              <w:pStyle w:val="Compact"/>
              <w:jc w:val="left"/>
            </w:pPr>
            <w:r>
              <w:rPr>
                <w:b/>
                <w:bCs/>
              </w:rPr>
              <w:t xml:space="preserve">Ghana Gold Board (GoldBod, Act 1140)</w:t>
            </w:r>
          </w:p>
        </w:tc>
        <w:tc>
          <w:tcPr/>
          <w:p>
            <w:pPr>
              <w:pStyle w:val="Compact"/>
              <w:jc w:val="left"/>
            </w:pPr>
            <w:r>
              <w:t xml:space="preserve">Sole buyer of small-scale-mined gold since April 2025</w:t>
            </w:r>
          </w:p>
        </w:tc>
        <w:tc>
          <w:tcPr/>
          <w:p>
            <w:pPr>
              <w:pStyle w:val="Compact"/>
              <w:jc w:val="left"/>
            </w:pPr>
            <w:r>
              <w:t xml:space="preserve">Compliance integration fee</w:t>
            </w:r>
          </w:p>
        </w:tc>
      </w:tr>
      <w:tr>
        <w:tc>
          <w:tcPr/>
          <w:p>
            <w:pPr>
              <w:pStyle w:val="Compact"/>
              <w:jc w:val="left"/>
            </w:pPr>
            <w:r>
              <w:t xml:space="preserve">AWS Ghana (af-west-1)</w:t>
            </w:r>
          </w:p>
        </w:tc>
        <w:tc>
          <w:tcPr/>
          <w:p>
            <w:pPr>
              <w:pStyle w:val="Compact"/>
              <w:jc w:val="left"/>
            </w:pPr>
            <w:r>
              <w:t xml:space="preserve">Cloud hosting with data residency</w:t>
            </w:r>
          </w:p>
        </w:tc>
        <w:tc>
          <w:tcPr/>
          <w:p>
            <w:pPr>
              <w:pStyle w:val="Compact"/>
              <w:jc w:val="left"/>
            </w:pPr>
            <w:r>
              <w:t xml:space="preserve">Cloud hosting &amp; database</w:t>
            </w:r>
          </w:p>
        </w:tc>
      </w:tr>
      <w:tr>
        <w:tc>
          <w:tcPr/>
          <w:p>
            <w:pPr>
              <w:pStyle w:val="Compact"/>
              <w:jc w:val="left"/>
            </w:pPr>
            <w:r>
              <w:t xml:space="preserve">Smile Identity</w:t>
            </w:r>
          </w:p>
        </w:tc>
        <w:tc>
          <w:tcPr/>
          <w:p>
            <w:pPr>
              <w:pStyle w:val="Compact"/>
              <w:jc w:val="left"/>
            </w:pPr>
            <w:r>
              <w:t xml:space="preserve">KYC/AML verification (50+ African countries)</w:t>
            </w:r>
          </w:p>
        </w:tc>
        <w:tc>
          <w:tcPr/>
          <w:p>
            <w:pPr>
              <w:pStyle w:val="Compact"/>
              <w:jc w:val="left"/>
            </w:pPr>
            <w:r>
              <w:t xml:space="preserve">Third-party API / SaaS</w:t>
            </w:r>
          </w:p>
        </w:tc>
      </w:tr>
      <w:tr>
        <w:tc>
          <w:tcPr/>
          <w:p>
            <w:pPr>
              <w:pStyle w:val="Compact"/>
              <w:jc w:val="left"/>
            </w:pPr>
            <w:r>
              <w:t xml:space="preserve">Stanbic Bank Ghana or Ecobank Ghana</w:t>
            </w:r>
          </w:p>
        </w:tc>
        <w:tc>
          <w:tcPr/>
          <w:p>
            <w:pPr>
              <w:pStyle w:val="Compact"/>
              <w:jc w:val="left"/>
            </w:pPr>
            <w:r>
              <w:t xml:space="preserve">LBMA-aligned escrow services</w:t>
            </w:r>
          </w:p>
        </w:tc>
        <w:tc>
          <w:tcPr/>
          <w:p>
            <w:pPr>
              <w:pStyle w:val="Compact"/>
              <w:jc w:val="left"/>
            </w:pPr>
            <w:r>
              <w:t xml:space="preserve">Banking integration fee</w:t>
            </w:r>
          </w:p>
        </w:tc>
      </w:tr>
      <w:tr>
        <w:tc>
          <w:tcPr/>
          <w:p>
            <w:pPr>
              <w:pStyle w:val="Compact"/>
              <w:jc w:val="left"/>
            </w:pPr>
            <w:r>
              <w:t xml:space="preserve">LBMA price feed (FastMarkets/Refinitiv)</w:t>
            </w:r>
          </w:p>
        </w:tc>
        <w:tc>
          <w:tcPr/>
          <w:p>
            <w:pPr>
              <w:pStyle w:val="Compact"/>
              <w:jc w:val="left"/>
            </w:pPr>
            <w:r>
              <w:t xml:space="preserve">LBMA PM Fix for daily benchmarking</w:t>
            </w:r>
          </w:p>
        </w:tc>
        <w:tc>
          <w:tcPr/>
          <w:p>
            <w:pPr>
              <w:pStyle w:val="Compact"/>
              <w:jc w:val="left"/>
            </w:pPr>
            <w:r>
              <w:t xml:space="preserve">Third-party API / SaaS</w:t>
            </w:r>
          </w:p>
        </w:tc>
      </w:tr>
      <w:tr>
        <w:tc>
          <w:tcPr/>
          <w:p>
            <w:pPr>
              <w:pStyle w:val="Compact"/>
              <w:jc w:val="left"/>
            </w:pPr>
            <w:r>
              <w:t xml:space="preserve">PMMC</w:t>
            </w:r>
          </w:p>
        </w:tc>
        <w:tc>
          <w:tcPr/>
          <w:p>
            <w:pPr>
              <w:pStyle w:val="Compact"/>
              <w:jc w:val="left"/>
            </w:pPr>
            <w:r>
              <w:t xml:space="preserve">Export release workflow (LGE)</w:t>
            </w:r>
          </w:p>
        </w:tc>
        <w:tc>
          <w:tcPr/>
          <w:p>
            <w:pPr>
              <w:pStyle w:val="Compact"/>
              <w:jc w:val="left"/>
            </w:pPr>
            <w:r>
              <w:t xml:space="preserve">Compliance integration fee</w:t>
            </w:r>
          </w:p>
        </w:tc>
      </w:tr>
      <w:tr>
        <w:tc>
          <w:tcPr/>
          <w:p>
            <w:pPr>
              <w:pStyle w:val="Compact"/>
              <w:jc w:val="left"/>
            </w:pPr>
            <w:r>
              <w:t xml:space="preserve">Minerals Commission</w:t>
            </w:r>
          </w:p>
        </w:tc>
        <w:tc>
          <w:tcPr/>
          <w:p>
            <w:pPr>
              <w:pStyle w:val="Compact"/>
              <w:jc w:val="left"/>
            </w:pPr>
            <w:r>
              <w:t xml:space="preserve">Licence verification</w:t>
            </w:r>
          </w:p>
        </w:tc>
        <w:tc>
          <w:tcPr/>
          <w:p>
            <w:pPr>
              <w:pStyle w:val="Compact"/>
              <w:jc w:val="left"/>
            </w:pPr>
            <w:r>
              <w:t xml:space="preserve">Compliance integration fee</w:t>
            </w:r>
          </w:p>
        </w:tc>
      </w:tr>
      <w:tr>
        <w:tc>
          <w:tcPr/>
          <w:p>
            <w:pPr>
              <w:pStyle w:val="Compact"/>
              <w:jc w:val="left"/>
            </w:pPr>
            <w:r>
              <w:t xml:space="preserve">Bank of Ghana</w:t>
            </w:r>
          </w:p>
        </w:tc>
        <w:tc>
          <w:tcPr/>
          <w:p>
            <w:pPr>
              <w:pStyle w:val="Compact"/>
              <w:jc w:val="left"/>
            </w:pPr>
            <w:r>
              <w:t xml:space="preserve">DGPP reference prices + forex verification</w:t>
            </w:r>
          </w:p>
        </w:tc>
        <w:tc>
          <w:tcPr/>
          <w:p>
            <w:pPr>
              <w:pStyle w:val="Compact"/>
              <w:jc w:val="left"/>
            </w:pPr>
            <w:r>
              <w:t xml:space="preserve">Compliance integration fee</w:t>
            </w:r>
          </w:p>
        </w:tc>
      </w:tr>
      <w:tr>
        <w:tc>
          <w:tcPr/>
          <w:p>
            <w:pPr>
              <w:pStyle w:val="Compact"/>
              <w:jc w:val="left"/>
            </w:pPr>
            <w:r>
              <w:t xml:space="preserve">SOC 2 / ISO 27001 auditor</w:t>
            </w:r>
          </w:p>
        </w:tc>
        <w:tc>
          <w:tcPr/>
          <w:p>
            <w:pPr>
              <w:pStyle w:val="Compact"/>
              <w:jc w:val="left"/>
            </w:pPr>
            <w:r>
              <w:t xml:space="preserve">Annual security attestation</w:t>
            </w:r>
          </w:p>
        </w:tc>
        <w:tc>
          <w:tcPr/>
          <w:p>
            <w:pPr>
              <w:pStyle w:val="Compact"/>
              <w:jc w:val="left"/>
            </w:pPr>
            <w:r>
              <w:t xml:space="preserve">Compliance &amp; security maintenance</w:t>
            </w:r>
          </w:p>
        </w:tc>
      </w:tr>
      <w:tr>
        <w:tc>
          <w:tcPr/>
          <w:p>
            <w:pPr>
              <w:pStyle w:val="Compact"/>
              <w:jc w:val="left"/>
            </w:pPr>
            <w:r>
              <w:t xml:space="preserve">External legal counsel (Ghana-barred)</w:t>
            </w:r>
          </w:p>
        </w:tc>
        <w:tc>
          <w:tcPr/>
          <w:p>
            <w:pPr>
              <w:pStyle w:val="Compact"/>
              <w:jc w:val="left"/>
            </w:pPr>
            <w:r>
              <w:t xml:space="preserve">Privacy policy, member terms, GoldBod liaison</w:t>
            </w:r>
          </w:p>
        </w:tc>
        <w:tc>
          <w:tcPr/>
          <w:p>
            <w:pPr>
              <w:pStyle w:val="Compact"/>
              <w:jc w:val="left"/>
            </w:pPr>
            <w:r>
              <w:t xml:space="preserve">Ongoing licenses &amp; legal</w:t>
            </w:r>
          </w:p>
        </w:tc>
      </w:tr>
      <w:tr>
        <w:tc>
          <w:tcPr/>
          <w:p>
            <w:pPr>
              <w:pStyle w:val="Compact"/>
              <w:jc w:val="left"/>
            </w:pPr>
            <w:r>
              <w:t xml:space="preserve">Outsourced QA partner</w:t>
            </w:r>
          </w:p>
        </w:tc>
        <w:tc>
          <w:tcPr/>
          <w:p>
            <w:pPr>
              <w:pStyle w:val="Compact"/>
              <w:jc w:val="left"/>
            </w:pPr>
            <w:r>
              <w:t xml:space="preserve">Quarterly penetration testing</w:t>
            </w:r>
          </w:p>
        </w:tc>
        <w:tc>
          <w:tcPr/>
          <w:p>
            <w:pPr>
              <w:pStyle w:val="Compact"/>
              <w:jc w:val="left"/>
            </w:pPr>
            <w:r>
              <w:t xml:space="preserve">Compliance &amp; security maintenance</w:t>
            </w:r>
          </w:p>
        </w:tc>
      </w:tr>
    </w:tbl>
    <w:p>
      <w:pPr>
        <w:pStyle w:val="BodyText"/>
      </w:pPr>
      <w:r>
        <w:rPr>
          <w:b/>
          <w:bCs/>
        </w:rPr>
        <w:t xml:space="preserve">9. Cost Structure:</w:t>
      </w:r>
    </w:p>
    <w:tbl>
      <w:tblPr>
        <w:tblStyle w:val="Table"/>
        <w:tblW w:type="pct" w:w="5000"/>
        <w:jc w:val="left"/>
        <w:tblLayout w:type="fixed"/>
        <w:tblLook w:firstRow="1" w:lastRow="0" w:firstColumn="0" w:lastColumn="0" w:noHBand="0" w:noVBand="0" w:val="0020"/>
      </w:tblPr>
      <w:tblGrid>
        <w:gridCol w:w="1616"/>
        <w:gridCol w:w="969"/>
        <w:gridCol w:w="1293"/>
        <w:gridCol w:w="4040"/>
      </w:tblGrid>
      <w:tr>
        <w:trPr>
          <w:tblHeader w:val="on"/>
        </w:trPr>
        <w:tc>
          <w:tcPr/>
          <w:p>
            <w:pPr>
              <w:pStyle w:val="Compact"/>
              <w:jc w:val="left"/>
            </w:pPr>
            <w:r>
              <w:t xml:space="preserve">Category</w:t>
            </w:r>
          </w:p>
        </w:tc>
        <w:tc>
          <w:tcPr/>
          <w:p>
            <w:pPr>
              <w:pStyle w:val="Compact"/>
              <w:jc w:val="left"/>
            </w:pPr>
            <w:r>
              <w:t xml:space="preserve">Type</w:t>
            </w:r>
          </w:p>
        </w:tc>
        <w:tc>
          <w:tcPr/>
          <w:p>
            <w:pPr>
              <w:pStyle w:val="Compact"/>
              <w:jc w:val="left"/>
            </w:pPr>
            <w:r>
              <w:t xml:space="preserve">Driver</w:t>
            </w:r>
          </w:p>
        </w:tc>
        <w:tc>
          <w:tcPr/>
          <w:p>
            <w:pPr>
              <w:pStyle w:val="Compact"/>
              <w:jc w:val="left"/>
            </w:pPr>
            <w:r>
              <w:t xml:space="preserve">Financial Doc Reference</w:t>
            </w:r>
          </w:p>
        </w:tc>
      </w:tr>
      <w:tr>
        <w:tc>
          <w:tcPr/>
          <w:p>
            <w:pPr>
              <w:pStyle w:val="Compact"/>
              <w:jc w:val="left"/>
            </w:pPr>
            <w:r>
              <w:t xml:space="preserve">Engineering team salaries (build)</w:t>
            </w:r>
          </w:p>
        </w:tc>
        <w:tc>
          <w:tcPr/>
          <w:p>
            <w:pPr>
              <w:pStyle w:val="Compact"/>
              <w:jc w:val="left"/>
            </w:pPr>
            <w:r>
              <w:t xml:space="preserve">Fixed</w:t>
            </w:r>
          </w:p>
        </w:tc>
        <w:tc>
          <w:tcPr/>
          <w:p>
            <w:pPr>
              <w:pStyle w:val="Compact"/>
              <w:jc w:val="left"/>
            </w:pPr>
            <w:r>
              <w:t xml:space="preserve">Headcount × duration</w:t>
            </w:r>
          </w:p>
        </w:tc>
        <w:tc>
          <w:tcPr/>
          <w:p>
            <w:pPr>
              <w:pStyle w:val="Compact"/>
              <w:jc w:val="left"/>
            </w:pPr>
            <w:r>
              <w:t xml:space="preserve">CapEx Table 4.1 — Personnel</w:t>
            </w:r>
          </w:p>
        </w:tc>
      </w:tr>
      <w:tr>
        <w:tc>
          <w:tcPr/>
          <w:p>
            <w:pPr>
              <w:pStyle w:val="Compact"/>
              <w:jc w:val="left"/>
            </w:pPr>
            <w:r>
              <w:t xml:space="preserve">Cloud infrastructure (baseline)</w:t>
            </w:r>
          </w:p>
        </w:tc>
        <w:tc>
          <w:tcPr/>
          <w:p>
            <w:pPr>
              <w:pStyle w:val="Compact"/>
              <w:jc w:val="left"/>
            </w:pPr>
            <w:r>
              <w:t xml:space="preserve">Fixed</w:t>
            </w:r>
          </w:p>
        </w:tc>
        <w:tc>
          <w:tcPr/>
          <w:p>
            <w:pPr>
              <w:pStyle w:val="Compact"/>
              <w:jc w:val="left"/>
            </w:pPr>
            <w:r>
              <w:t xml:space="preserve">Reserved instances, DB</w:t>
            </w:r>
          </w:p>
        </w:tc>
        <w:tc>
          <w:tcPr/>
          <w:p>
            <w:pPr>
              <w:pStyle w:val="Compact"/>
              <w:jc w:val="left"/>
            </w:pPr>
            <w:r>
              <w:t xml:space="preserve">OpEx Table 4.2 — Cloud hosting</w:t>
            </w:r>
          </w:p>
        </w:tc>
      </w:tr>
      <w:tr>
        <w:tc>
          <w:tcPr/>
          <w:p>
            <w:pPr>
              <w:pStyle w:val="Compact"/>
              <w:jc w:val="left"/>
            </w:pPr>
            <w:r>
              <w:t xml:space="preserve">Cloud infrastructure (scaling)</w:t>
            </w:r>
          </w:p>
        </w:tc>
        <w:tc>
          <w:tcPr/>
          <w:p>
            <w:pPr>
              <w:pStyle w:val="Compact"/>
              <w:jc w:val="left"/>
            </w:pPr>
            <w:r>
              <w:t xml:space="preserve">Variable</w:t>
            </w:r>
          </w:p>
        </w:tc>
        <w:tc>
          <w:tcPr/>
          <w:p>
            <w:pPr>
              <w:pStyle w:val="Compact"/>
              <w:jc w:val="left"/>
            </w:pPr>
            <w:r>
              <w:t xml:space="preserve">Trade volume, storage</w:t>
            </w:r>
          </w:p>
        </w:tc>
        <w:tc>
          <w:tcPr/>
          <w:p>
            <w:pPr>
              <w:pStyle w:val="Compact"/>
              <w:jc w:val="left"/>
            </w:pPr>
            <w:r>
              <w:t xml:space="preserve">OpEx Table 4.2 — Cloud hosting</w:t>
            </w:r>
          </w:p>
        </w:tc>
      </w:tr>
      <w:tr>
        <w:tc>
          <w:tcPr/>
          <w:p>
            <w:pPr>
              <w:pStyle w:val="Compact"/>
              <w:jc w:val="left"/>
            </w:pPr>
            <w:r>
              <w:t xml:space="preserve">KYC/AML API (Smile Identity)</w:t>
            </w:r>
          </w:p>
        </w:tc>
        <w:tc>
          <w:tcPr/>
          <w:p>
            <w:pPr>
              <w:pStyle w:val="Compact"/>
              <w:jc w:val="left"/>
            </w:pPr>
            <w:r>
              <w:t xml:space="preserve">Variable</w:t>
            </w:r>
          </w:p>
        </w:tc>
        <w:tc>
          <w:tcPr/>
          <w:p>
            <w:pPr>
              <w:pStyle w:val="Compact"/>
              <w:jc w:val="left"/>
            </w:pPr>
            <w:r>
              <w:t xml:space="preserve">Per verification</w:t>
            </w:r>
          </w:p>
        </w:tc>
        <w:tc>
          <w:tcPr/>
          <w:p>
            <w:pPr>
              <w:pStyle w:val="Compact"/>
              <w:jc w:val="left"/>
            </w:pPr>
            <w:r>
              <w:t xml:space="preserve">OpEx Table 4.2 — Third-party APIs</w:t>
            </w:r>
          </w:p>
        </w:tc>
      </w:tr>
      <w:tr>
        <w:tc>
          <w:tcPr/>
          <w:p>
            <w:pPr>
              <w:pStyle w:val="Compact"/>
              <w:jc w:val="left"/>
            </w:pPr>
            <w:r>
              <w:t xml:space="preserve">LBMA price feed</w:t>
            </w:r>
          </w:p>
        </w:tc>
        <w:tc>
          <w:tcPr/>
          <w:p>
            <w:pPr>
              <w:pStyle w:val="Compact"/>
              <w:jc w:val="left"/>
            </w:pPr>
            <w:r>
              <w:t xml:space="preserve">Fixed</w:t>
            </w:r>
          </w:p>
        </w:tc>
        <w:tc>
          <w:tcPr/>
          <w:p>
            <w:pPr>
              <w:pStyle w:val="Compact"/>
              <w:jc w:val="left"/>
            </w:pPr>
            <w:r>
              <w:t xml:space="preserve">Annual subscription</w:t>
            </w:r>
          </w:p>
        </w:tc>
        <w:tc>
          <w:tcPr/>
          <w:p>
            <w:pPr>
              <w:pStyle w:val="Compact"/>
              <w:jc w:val="left"/>
            </w:pPr>
            <w:r>
              <w:t xml:space="preserve">OpEx Table 4.2 — Third-party APIs</w:t>
            </w:r>
          </w:p>
        </w:tc>
      </w:tr>
      <w:tr>
        <w:tc>
          <w:tcPr/>
          <w:p>
            <w:pPr>
              <w:pStyle w:val="Compact"/>
              <w:jc w:val="left"/>
            </w:pPr>
            <w:r>
              <w:t xml:space="preserve">GoldBod/PMMC/BoG integration maintenance</w:t>
            </w:r>
          </w:p>
        </w:tc>
        <w:tc>
          <w:tcPr/>
          <w:p>
            <w:pPr>
              <w:pStyle w:val="Compact"/>
              <w:jc w:val="left"/>
            </w:pPr>
            <w:r>
              <w:t xml:space="preserve">Fixed</w:t>
            </w:r>
          </w:p>
        </w:tc>
        <w:tc>
          <w:tcPr/>
          <w:p>
            <w:pPr>
              <w:pStyle w:val="Compact"/>
              <w:jc w:val="left"/>
            </w:pPr>
            <w:r>
              <w:t xml:space="preserve">Annual compliance retainer</w:t>
            </w:r>
          </w:p>
        </w:tc>
        <w:tc>
          <w:tcPr/>
          <w:p>
            <w:pPr>
              <w:pStyle w:val="Compact"/>
              <w:jc w:val="left"/>
            </w:pPr>
            <w:r>
              <w:t xml:space="preserve">OpEx Table 4.2 — Compliance maintenance</w:t>
            </w:r>
          </w:p>
        </w:tc>
      </w:tr>
      <w:tr>
        <w:tc>
          <w:tcPr/>
          <w:p>
            <w:pPr>
              <w:pStyle w:val="Compact"/>
              <w:jc w:val="left"/>
            </w:pPr>
            <w:r>
              <w:t xml:space="preserve">Escrow bank integration fee</w:t>
            </w:r>
          </w:p>
        </w:tc>
        <w:tc>
          <w:tcPr/>
          <w:p>
            <w:pPr>
              <w:pStyle w:val="Compact"/>
              <w:jc w:val="left"/>
            </w:pPr>
            <w:r>
              <w:t xml:space="preserve">Variable</w:t>
            </w:r>
          </w:p>
        </w:tc>
        <w:tc>
          <w:tcPr/>
          <w:p>
            <w:pPr>
              <w:pStyle w:val="Compact"/>
              <w:jc w:val="left"/>
            </w:pPr>
            <w:r>
              <w:t xml:space="preserve">Per trade</w:t>
            </w:r>
          </w:p>
        </w:tc>
        <w:tc>
          <w:tcPr/>
          <w:p>
            <w:pPr>
              <w:pStyle w:val="Compact"/>
              <w:jc w:val="left"/>
            </w:pPr>
            <w:r>
              <w:t xml:space="preserve">OpEx Table 4.2 — Banking integration</w:t>
            </w:r>
          </w:p>
        </w:tc>
      </w:tr>
      <w:tr>
        <w:tc>
          <w:tcPr/>
          <w:p>
            <w:pPr>
              <w:pStyle w:val="Compact"/>
              <w:jc w:val="left"/>
            </w:pPr>
            <w:r>
              <w:t xml:space="preserve">Support staff</w:t>
            </w:r>
          </w:p>
        </w:tc>
        <w:tc>
          <w:tcPr/>
          <w:p>
            <w:pPr>
              <w:pStyle w:val="Compact"/>
              <w:jc w:val="left"/>
            </w:pPr>
            <w:r>
              <w:t xml:space="preserve">Fixed</w:t>
            </w:r>
          </w:p>
        </w:tc>
        <w:tc>
          <w:tcPr/>
          <w:p>
            <w:pPr>
              <w:pStyle w:val="Compact"/>
              <w:jc w:val="left"/>
            </w:pPr>
            <w:r>
              <w:t xml:space="preserve">Headcount</w:t>
            </w:r>
          </w:p>
        </w:tc>
        <w:tc>
          <w:tcPr/>
          <w:p>
            <w:pPr>
              <w:pStyle w:val="Compact"/>
              <w:jc w:val="left"/>
            </w:pPr>
            <w:r>
              <w:t xml:space="preserve">OpEx Table 4.2 — Support &amp; success staff</w:t>
            </w:r>
          </w:p>
        </w:tc>
      </w:tr>
      <w:tr>
        <w:tc>
          <w:tcPr/>
          <w:p>
            <w:pPr>
              <w:pStyle w:val="Compact"/>
              <w:jc w:val="left"/>
            </w:pPr>
            <w:r>
              <w:t xml:space="preserve">Compliance audit (SOC 2, ISO 27001)</w:t>
            </w:r>
          </w:p>
        </w:tc>
        <w:tc>
          <w:tcPr/>
          <w:p>
            <w:pPr>
              <w:pStyle w:val="Compact"/>
              <w:jc w:val="left"/>
            </w:pPr>
            <w:r>
              <w:t xml:space="preserve">Fixed</w:t>
            </w:r>
          </w:p>
        </w:tc>
        <w:tc>
          <w:tcPr/>
          <w:p>
            <w:pPr>
              <w:pStyle w:val="Compact"/>
              <w:jc w:val="left"/>
            </w:pPr>
            <w:r>
              <w:t xml:space="preserve">Annual attestation</w:t>
            </w:r>
          </w:p>
        </w:tc>
        <w:tc>
          <w:tcPr/>
          <w:p>
            <w:pPr>
              <w:pStyle w:val="Compact"/>
              <w:jc w:val="left"/>
            </w:pPr>
            <w:r>
              <w:t xml:space="preserve">OpEx Table 4.2 — Compliance maintenance</w:t>
            </w:r>
          </w:p>
        </w:tc>
      </w:tr>
      <w:tr>
        <w:tc>
          <w:tcPr/>
          <w:p>
            <w:pPr>
              <w:pStyle w:val="Compact"/>
              <w:jc w:val="left"/>
            </w:pPr>
            <w:r>
              <w:t xml:space="preserve">Legal counsel (Ghana-barred)</w:t>
            </w:r>
          </w:p>
        </w:tc>
        <w:tc>
          <w:tcPr/>
          <w:p>
            <w:pPr>
              <w:pStyle w:val="Compact"/>
              <w:jc w:val="left"/>
            </w:pPr>
            <w:r>
              <w:t xml:space="preserve">Fixed</w:t>
            </w:r>
          </w:p>
        </w:tc>
        <w:tc>
          <w:tcPr/>
          <w:p>
            <w:pPr>
              <w:pStyle w:val="Compact"/>
              <w:jc w:val="left"/>
            </w:pPr>
            <w:r>
              <w:t xml:space="preserve">Retainer</w:t>
            </w:r>
          </w:p>
        </w:tc>
        <w:tc>
          <w:tcPr/>
          <w:p>
            <w:pPr>
              <w:pStyle w:val="Compact"/>
              <w:jc w:val="left"/>
            </w:pPr>
            <w:r>
              <w:t xml:space="preserve">OpEx Table 4.2 — Ongoing licenses &amp; legal</w:t>
            </w:r>
          </w:p>
        </w:tc>
      </w:tr>
      <w:tr>
        <w:tc>
          <w:tcPr/>
          <w:p>
            <w:pPr>
              <w:pStyle w:val="Compact"/>
              <w:jc w:val="left"/>
            </w:pPr>
            <w:r>
              <w:t xml:space="preserve">Marketing (Chamber-co-funded)</w:t>
            </w:r>
          </w:p>
        </w:tc>
        <w:tc>
          <w:tcPr/>
          <w:p>
            <w:pPr>
              <w:pStyle w:val="Compact"/>
              <w:jc w:val="left"/>
            </w:pPr>
            <w:r>
              <w:t xml:space="preserve">Fixed</w:t>
            </w:r>
          </w:p>
        </w:tc>
        <w:tc>
          <w:tcPr/>
          <w:p>
            <w:pPr>
              <w:pStyle w:val="Compact"/>
              <w:jc w:val="left"/>
            </w:pPr>
            <w:r>
              <w:t xml:space="preserve">Quarterly campaign</w:t>
            </w:r>
          </w:p>
        </w:tc>
        <w:tc>
          <w:tcPr/>
          <w:p>
            <w:pPr>
              <w:pStyle w:val="Compact"/>
              <w:jc w:val="left"/>
            </w:pPr>
            <w:r>
              <w:t xml:space="preserve">OpEx Table 4.2 — Marketing</w:t>
            </w:r>
          </w:p>
        </w:tc>
      </w:tr>
      <w:tr>
        <w:tc>
          <w:tcPr/>
          <w:p>
            <w:pPr>
              <w:pStyle w:val="Compact"/>
              <w:jc w:val="left"/>
            </w:pPr>
            <w:r>
              <w:t xml:space="preserve">Contingency reserve</w:t>
            </w:r>
          </w:p>
        </w:tc>
        <w:tc>
          <w:tcPr/>
          <w:p>
            <w:pPr>
              <w:pStyle w:val="Compact"/>
              <w:jc w:val="left"/>
            </w:pPr>
            <w:r>
              <w:t xml:space="preserve">Fixed</w:t>
            </w:r>
          </w:p>
        </w:tc>
        <w:tc>
          <w:tcPr/>
          <w:p>
            <w:pPr>
              <w:pStyle w:val="Compact"/>
              <w:jc w:val="left"/>
            </w:pPr>
            <w:r>
              <w:t xml:space="preserve">15% of CapEx</w:t>
            </w:r>
          </w:p>
        </w:tc>
        <w:tc>
          <w:tcPr/>
          <w:p>
            <w:pPr>
              <w:pStyle w:val="Compact"/>
              <w:jc w:val="left"/>
            </w:pPr>
            <w:r>
              <w:t xml:space="preserve">CapEx Table 4.1 — Contingency</w:t>
            </w:r>
          </w:p>
        </w:tc>
      </w:tr>
    </w:tbl>
    <w:p>
      <w:r>
        <w:pict>
          <v:rect style="width:0;height:1.5pt" o:hralign="center" o:hrstd="t" o:hr="t"/>
        </w:pict>
      </w:r>
    </w:p>
    <w:bookmarkEnd w:id="30"/>
    <w:bookmarkEnd w:id="31"/>
    <w:bookmarkStart w:id="38" w:name="document-3-financial-documentation"/>
    <w:p>
      <w:pPr>
        <w:pStyle w:val="Heading2"/>
      </w:pPr>
      <w:r>
        <w:t xml:space="preserve">4. Document 3 — Financial Documentation</w:t>
      </w:r>
    </w:p>
    <w:bookmarkStart w:id="32" w:name="a.-development-launch-budget-capex"/>
    <w:p>
      <w:pPr>
        <w:pStyle w:val="Heading3"/>
      </w:pPr>
      <w:r>
        <w:t xml:space="preserve">A. Development &amp; Launch Budget (CapEx)</w:t>
      </w:r>
    </w:p>
    <w:p>
      <w:pPr>
        <w:pStyle w:val="FirstParagraph"/>
      </w:pPr>
      <w:r>
        <w:t xml:space="preserve">CapEx ceiling:</w:t>
      </w:r>
      <w:r>
        <w:t xml:space="preserve"> </w:t>
      </w:r>
      <w:r>
        <w:rPr>
          <w:b/>
          <w:bCs/>
        </w:rPr>
        <w:t xml:space="preserve">US$450,000</w:t>
      </w:r>
      <w:r>
        <w:t xml:space="preserve">. Build window: 13 months (August 2026 → Q3 2027 launch). Contingency: 15% of pre-contingency total.</w:t>
      </w:r>
    </w:p>
    <w:p>
      <w:pPr>
        <w:pStyle w:val="BodyText"/>
      </w:pPr>
      <w:r>
        <w:rPr>
          <w:b/>
          <w:bCs/>
        </w:rPr>
        <w:t xml:space="preserve">Table 4.1 — CapEx Budget (Line-Item Detail)</w:t>
      </w:r>
    </w:p>
    <w:tbl>
      <w:tblPr>
        <w:tblStyle w:val="Table"/>
        <w:tblW w:type="pct" w:w="5000"/>
        <w:jc w:val="left"/>
        <w:tblLayout w:type="fixed"/>
        <w:tblLook w:firstRow="1" w:lastRow="0" w:firstColumn="0" w:lastColumn="0" w:noHBand="0" w:noVBand="0" w:val="0020"/>
      </w:tblPr>
      <w:tblGrid>
        <w:gridCol w:w="2400"/>
        <w:gridCol w:w="2640"/>
        <w:gridCol w:w="2880"/>
      </w:tblGrid>
      <w:tr>
        <w:trPr>
          <w:tblHeader w:val="on"/>
        </w:trPr>
        <w:tc>
          <w:tcPr/>
          <w:p>
            <w:pPr>
              <w:pStyle w:val="Compact"/>
              <w:jc w:val="left"/>
            </w:pPr>
            <w:r>
              <w:t xml:space="preserve">Category</w:t>
            </w:r>
          </w:p>
        </w:tc>
        <w:tc>
          <w:tcPr/>
          <w:p>
            <w:pPr>
              <w:pStyle w:val="Compact"/>
              <w:jc w:val="left"/>
            </w:pPr>
            <w:r>
              <w:t xml:space="preserve">Line Item</w:t>
            </w:r>
          </w:p>
        </w:tc>
        <w:tc>
          <w:tcPr/>
          <w:p>
            <w:pPr>
              <w:pStyle w:val="Compact"/>
              <w:jc w:val="right"/>
            </w:pPr>
            <w:r>
              <w:t xml:space="preserve">Cost (US$)</w:t>
            </w:r>
          </w:p>
        </w:tc>
      </w:tr>
      <w:tr>
        <w:tc>
          <w:tcPr/>
          <w:p>
            <w:pPr>
              <w:pStyle w:val="Compact"/>
              <w:jc w:val="left"/>
            </w:pPr>
            <w:r>
              <w:t xml:space="preserve">Personnel</w:t>
            </w:r>
          </w:p>
        </w:tc>
        <w:tc>
          <w:tcPr/>
          <w:p>
            <w:pPr>
              <w:pStyle w:val="Compact"/>
              <w:jc w:val="left"/>
            </w:pPr>
            <w:r>
              <w:t xml:space="preserve">CTO (0.5 FTE × 13 mo)</w:t>
            </w:r>
          </w:p>
        </w:tc>
        <w:tc>
          <w:tcPr/>
          <w:p>
            <w:pPr>
              <w:pStyle w:val="Compact"/>
              <w:jc w:val="right"/>
            </w:pPr>
            <w:r>
              <w:t xml:space="preserve">78,000</w:t>
            </w:r>
          </w:p>
        </w:tc>
      </w:tr>
      <w:tr>
        <w:tc>
          <w:tcPr/>
          <w:p>
            <w:pPr>
              <w:pStyle w:val="Compact"/>
              <w:jc w:val="left"/>
            </w:pPr>
            <w:r>
              <w:t xml:space="preserve">Personnel</w:t>
            </w:r>
          </w:p>
        </w:tc>
        <w:tc>
          <w:tcPr/>
          <w:p>
            <w:pPr>
              <w:pStyle w:val="Compact"/>
              <w:jc w:val="left"/>
            </w:pPr>
            <w:r>
              <w:t xml:space="preserve">Head of Product (1.0 FTE × 13 mo)</w:t>
            </w:r>
          </w:p>
        </w:tc>
        <w:tc>
          <w:tcPr/>
          <w:p>
            <w:pPr>
              <w:pStyle w:val="Compact"/>
              <w:jc w:val="right"/>
            </w:pPr>
            <w:r>
              <w:t xml:space="preserve">104,000</w:t>
            </w:r>
          </w:p>
        </w:tc>
      </w:tr>
      <w:tr>
        <w:tc>
          <w:tcPr/>
          <w:p>
            <w:pPr>
              <w:pStyle w:val="Compact"/>
              <w:jc w:val="left"/>
            </w:pPr>
            <w:r>
              <w:t xml:space="preserve">Personnel</w:t>
            </w:r>
          </w:p>
        </w:tc>
        <w:tc>
          <w:tcPr/>
          <w:p>
            <w:pPr>
              <w:pStyle w:val="Compact"/>
              <w:jc w:val="left"/>
            </w:pPr>
            <w:r>
              <w:t xml:space="preserve">Senior Backend Engineer × 2 (1.0 FTE × 11 mo)</w:t>
            </w:r>
          </w:p>
        </w:tc>
        <w:tc>
          <w:tcPr/>
          <w:p>
            <w:pPr>
              <w:pStyle w:val="Compact"/>
              <w:jc w:val="right"/>
            </w:pPr>
            <w:r>
              <w:t xml:space="preserve">143,000</w:t>
            </w:r>
          </w:p>
        </w:tc>
      </w:tr>
      <w:tr>
        <w:tc>
          <w:tcPr/>
          <w:p>
            <w:pPr>
              <w:pStyle w:val="Compact"/>
              <w:jc w:val="left"/>
            </w:pPr>
            <w:r>
              <w:t xml:space="preserve">Personnel</w:t>
            </w:r>
          </w:p>
        </w:tc>
        <w:tc>
          <w:tcPr/>
          <w:p>
            <w:pPr>
              <w:pStyle w:val="Compact"/>
              <w:jc w:val="left"/>
            </w:pPr>
            <w:r>
              <w:t xml:space="preserve">Senior Frontend Engineer × 2 (1.0 FTE × 10 mo)</w:t>
            </w:r>
          </w:p>
        </w:tc>
        <w:tc>
          <w:tcPr/>
          <w:p>
            <w:pPr>
              <w:pStyle w:val="Compact"/>
              <w:jc w:val="right"/>
            </w:pPr>
            <w:r>
              <w:t xml:space="preserve">120,000</w:t>
            </w:r>
          </w:p>
        </w:tc>
      </w:tr>
      <w:tr>
        <w:tc>
          <w:tcPr/>
          <w:p>
            <w:pPr>
              <w:pStyle w:val="Compact"/>
              <w:jc w:val="left"/>
            </w:pPr>
            <w:r>
              <w:t xml:space="preserve">Personnel</w:t>
            </w:r>
          </w:p>
        </w:tc>
        <w:tc>
          <w:tcPr/>
          <w:p>
            <w:pPr>
              <w:pStyle w:val="Compact"/>
              <w:jc w:val="left"/>
            </w:pPr>
            <w:r>
              <w:t xml:space="preserve">DevOps/SRE (1.0 FTE × 13 mo)</w:t>
            </w:r>
          </w:p>
        </w:tc>
        <w:tc>
          <w:tcPr/>
          <w:p>
            <w:pPr>
              <w:pStyle w:val="Compact"/>
              <w:jc w:val="right"/>
            </w:pPr>
            <w:r>
              <w:t xml:space="preserve">84,500</w:t>
            </w:r>
          </w:p>
        </w:tc>
      </w:tr>
      <w:tr>
        <w:tc>
          <w:tcPr/>
          <w:p>
            <w:pPr>
              <w:pStyle w:val="Compact"/>
              <w:jc w:val="left"/>
            </w:pPr>
            <w:r>
              <w:t xml:space="preserve">Personnel</w:t>
            </w:r>
          </w:p>
        </w:tc>
        <w:tc>
          <w:tcPr/>
          <w:p>
            <w:pPr>
              <w:pStyle w:val="Compact"/>
              <w:jc w:val="left"/>
            </w:pPr>
            <w:r>
              <w:t xml:space="preserve">QA Lead (1.0 FTE × 7 mo)</w:t>
            </w:r>
          </w:p>
        </w:tc>
        <w:tc>
          <w:tcPr/>
          <w:p>
            <w:pPr>
              <w:pStyle w:val="Compact"/>
              <w:jc w:val="right"/>
            </w:pPr>
            <w:r>
              <w:t xml:space="preserve">38,500</w:t>
            </w:r>
          </w:p>
        </w:tc>
      </w:tr>
      <w:tr>
        <w:tc>
          <w:tcPr/>
          <w:p>
            <w:pPr>
              <w:pStyle w:val="Compact"/>
              <w:jc w:val="left"/>
            </w:pPr>
            <w:r>
              <w:t xml:space="preserve">Personnel</w:t>
            </w:r>
          </w:p>
        </w:tc>
        <w:tc>
          <w:tcPr/>
          <w:p>
            <w:pPr>
              <w:pStyle w:val="Compact"/>
              <w:jc w:val="left"/>
            </w:pPr>
            <w:r>
              <w:t xml:space="preserve">UI/UX Designer (0.5 FTE × 6 mo)</w:t>
            </w:r>
          </w:p>
        </w:tc>
        <w:tc>
          <w:tcPr/>
          <w:p>
            <w:pPr>
              <w:pStyle w:val="Compact"/>
              <w:jc w:val="right"/>
            </w:pPr>
            <w:r>
              <w:t xml:space="preserve">15,000</w:t>
            </w:r>
          </w:p>
        </w:tc>
      </w:tr>
      <w:tr>
        <w:tc>
          <w:tcPr/>
          <w:p>
            <w:pPr>
              <w:pStyle w:val="Compact"/>
              <w:jc w:val="left"/>
            </w:pPr>
            <w:r>
              <w:t xml:space="preserve">Personnel</w:t>
            </w:r>
          </w:p>
        </w:tc>
        <w:tc>
          <w:tcPr/>
          <w:p>
            <w:pPr>
              <w:pStyle w:val="Compact"/>
              <w:jc w:val="left"/>
            </w:pPr>
            <w:r>
              <w:t xml:space="preserve">Project Manager (0.5 FTE × 13 mo)</w:t>
            </w:r>
          </w:p>
        </w:tc>
        <w:tc>
          <w:tcPr/>
          <w:p>
            <w:pPr>
              <w:pStyle w:val="Compact"/>
              <w:jc w:val="right"/>
            </w:pPr>
            <w:r>
              <w:t xml:space="preserve">39,000</w:t>
            </w:r>
          </w:p>
        </w:tc>
      </w:tr>
      <w:tr>
        <w:tc>
          <w:tcPr/>
          <w:p>
            <w:pPr>
              <w:pStyle w:val="Compact"/>
              <w:jc w:val="left"/>
            </w:pPr>
            <w:r>
              <w:rPr>
                <w:b/>
                <w:bCs/>
              </w:rPr>
              <w:t xml:space="preserve">Personnel subtotal</w:t>
            </w:r>
          </w:p>
        </w:tc>
        <w:tc>
          <w:tcPr/>
          <w:p>
            <w:pPr>
              <w:pStyle w:val="Compact"/>
            </w:pPr>
          </w:p>
        </w:tc>
        <w:tc>
          <w:tcPr/>
          <w:p>
            <w:pPr>
              <w:pStyle w:val="Compact"/>
              <w:jc w:val="right"/>
            </w:pPr>
            <w:r>
              <w:rPr>
                <w:b/>
                <w:bCs/>
              </w:rPr>
              <w:t xml:space="preserve">622,000</w:t>
            </w:r>
          </w:p>
        </w:tc>
      </w:tr>
      <w:tr>
        <w:tc>
          <w:tcPr/>
          <w:p>
            <w:pPr>
              <w:pStyle w:val="Compact"/>
              <w:jc w:val="left"/>
            </w:pPr>
            <w:r>
              <w:t xml:space="preserve">Software &amp; Tools</w:t>
            </w:r>
          </w:p>
        </w:tc>
        <w:tc>
          <w:tcPr/>
          <w:p>
            <w:pPr>
              <w:pStyle w:val="Compact"/>
              <w:jc w:val="left"/>
            </w:pPr>
            <w:r>
              <w:t xml:space="preserve">GitHub Enterprise, Jira, Confluence, Figma, Datadog, Sentry, Snyk (13 mo)</w:t>
            </w:r>
          </w:p>
        </w:tc>
        <w:tc>
          <w:tcPr/>
          <w:p>
            <w:pPr>
              <w:pStyle w:val="Compact"/>
              <w:jc w:val="right"/>
            </w:pPr>
            <w:r>
              <w:t xml:space="preserve">26,000</w:t>
            </w:r>
          </w:p>
        </w:tc>
      </w:tr>
      <w:tr>
        <w:tc>
          <w:tcPr/>
          <w:p>
            <w:pPr>
              <w:pStyle w:val="Compact"/>
              <w:jc w:val="left"/>
            </w:pPr>
            <w:r>
              <w:t xml:space="preserve">Software &amp; Tools</w:t>
            </w:r>
          </w:p>
        </w:tc>
        <w:tc>
          <w:tcPr/>
          <w:p>
            <w:pPr>
              <w:pStyle w:val="Compact"/>
              <w:jc w:val="left"/>
            </w:pPr>
            <w:r>
              <w:t xml:space="preserve">Domains, SSL, code signing</w:t>
            </w:r>
          </w:p>
        </w:tc>
        <w:tc>
          <w:tcPr/>
          <w:p>
            <w:pPr>
              <w:pStyle w:val="Compact"/>
              <w:jc w:val="right"/>
            </w:pPr>
            <w:r>
              <w:t xml:space="preserve">2,000</w:t>
            </w:r>
          </w:p>
        </w:tc>
      </w:tr>
      <w:tr>
        <w:tc>
          <w:tcPr/>
          <w:p>
            <w:pPr>
              <w:pStyle w:val="Compact"/>
              <w:jc w:val="left"/>
            </w:pPr>
            <w:r>
              <w:t xml:space="preserve">Legal &amp; Compliance</w:t>
            </w:r>
          </w:p>
        </w:tc>
        <w:tc>
          <w:tcPr/>
          <w:p>
            <w:pPr>
              <w:pStyle w:val="Compact"/>
              <w:jc w:val="left"/>
            </w:pPr>
            <w:r>
              <w:t xml:space="preserve">Ghana company incorporation, tax registration</w:t>
            </w:r>
          </w:p>
        </w:tc>
        <w:tc>
          <w:tcPr/>
          <w:p>
            <w:pPr>
              <w:pStyle w:val="Compact"/>
              <w:jc w:val="right"/>
            </w:pPr>
            <w:r>
              <w:t xml:space="preserve">6,500</w:t>
            </w:r>
          </w:p>
        </w:tc>
      </w:tr>
      <w:tr>
        <w:tc>
          <w:tcPr/>
          <w:p>
            <w:pPr>
              <w:pStyle w:val="Compact"/>
              <w:jc w:val="left"/>
            </w:pPr>
            <w:r>
              <w:t xml:space="preserve">Legal &amp; Compliance</w:t>
            </w:r>
          </w:p>
        </w:tc>
        <w:tc>
          <w:tcPr/>
          <w:p>
            <w:pPr>
              <w:pStyle w:val="Compact"/>
              <w:jc w:val="left"/>
            </w:pPr>
            <w:r>
              <w:t xml:space="preserve">Privacy policy, ToS, member agreement drafting</w:t>
            </w:r>
          </w:p>
        </w:tc>
        <w:tc>
          <w:tcPr/>
          <w:p>
            <w:pPr>
              <w:pStyle w:val="Compact"/>
              <w:jc w:val="right"/>
            </w:pPr>
            <w:r>
              <w:t xml:space="preserve">14,000</w:t>
            </w:r>
          </w:p>
        </w:tc>
      </w:tr>
      <w:tr>
        <w:tc>
          <w:tcPr/>
          <w:p>
            <w:pPr>
              <w:pStyle w:val="Compact"/>
              <w:jc w:val="left"/>
            </w:pPr>
            <w:r>
              <w:t xml:space="preserve">Legal &amp; Compliance</w:t>
            </w:r>
          </w:p>
        </w:tc>
        <w:tc>
          <w:tcPr/>
          <w:p>
            <w:pPr>
              <w:pStyle w:val="Compact"/>
              <w:jc w:val="left"/>
            </w:pPr>
            <w:r>
              <w:t xml:space="preserve">SOC 2 Type II readiness engagement (year 1)</w:t>
            </w:r>
          </w:p>
        </w:tc>
        <w:tc>
          <w:tcPr/>
          <w:p>
            <w:pPr>
              <w:pStyle w:val="Compact"/>
              <w:jc w:val="right"/>
            </w:pPr>
            <w:r>
              <w:t xml:space="preserve">22,000</w:t>
            </w:r>
          </w:p>
        </w:tc>
      </w:tr>
      <w:tr>
        <w:tc>
          <w:tcPr/>
          <w:p>
            <w:pPr>
              <w:pStyle w:val="Compact"/>
              <w:jc w:val="left"/>
            </w:pPr>
            <w:r>
              <w:t xml:space="preserve">Legal &amp; Compliance</w:t>
            </w:r>
          </w:p>
        </w:tc>
        <w:tc>
          <w:tcPr/>
          <w:p>
            <w:pPr>
              <w:pStyle w:val="Compact"/>
              <w:jc w:val="left"/>
            </w:pPr>
            <w:r>
              <w:t xml:space="preserve">GoldBod Act 1140 compliance review + integration legal review</w:t>
            </w:r>
          </w:p>
        </w:tc>
        <w:tc>
          <w:tcPr/>
          <w:p>
            <w:pPr>
              <w:pStyle w:val="Compact"/>
              <w:jc w:val="right"/>
            </w:pPr>
            <w:r>
              <w:t xml:space="preserve">8,500</w:t>
            </w:r>
          </w:p>
        </w:tc>
      </w:tr>
      <w:tr>
        <w:tc>
          <w:tcPr/>
          <w:p>
            <w:pPr>
              <w:pStyle w:val="Compact"/>
              <w:jc w:val="left"/>
            </w:pPr>
            <w:r>
              <w:t xml:space="preserve">Cloud Setup</w:t>
            </w:r>
          </w:p>
        </w:tc>
        <w:tc>
          <w:tcPr/>
          <w:p>
            <w:pPr>
              <w:pStyle w:val="Compact"/>
              <w:jc w:val="left"/>
            </w:pPr>
            <w:r>
              <w:t xml:space="preserve">AWS Ghana af-west-1 landing zone (one-time)</w:t>
            </w:r>
          </w:p>
        </w:tc>
        <w:tc>
          <w:tcPr/>
          <w:p>
            <w:pPr>
              <w:pStyle w:val="Compact"/>
              <w:jc w:val="right"/>
            </w:pPr>
            <w:r>
              <w:t xml:space="preserve">18,000</w:t>
            </w:r>
          </w:p>
        </w:tc>
      </w:tr>
      <w:tr>
        <w:tc>
          <w:tcPr/>
          <w:p>
            <w:pPr>
              <w:pStyle w:val="Compact"/>
              <w:jc w:val="left"/>
            </w:pPr>
            <w:r>
              <w:t xml:space="preserve">Cloud Setup</w:t>
            </w:r>
          </w:p>
        </w:tc>
        <w:tc>
          <w:tcPr/>
          <w:p>
            <w:pPr>
              <w:pStyle w:val="Compact"/>
              <w:jc w:val="left"/>
            </w:pPr>
            <w:r>
              <w:t xml:space="preserve">DR to AWS af-south-1 (one-time)</w:t>
            </w:r>
          </w:p>
        </w:tc>
        <w:tc>
          <w:tcPr/>
          <w:p>
            <w:pPr>
              <w:pStyle w:val="Compact"/>
              <w:jc w:val="right"/>
            </w:pPr>
            <w:r>
              <w:t xml:space="preserve">8,000</w:t>
            </w:r>
          </w:p>
        </w:tc>
      </w:tr>
      <w:tr>
        <w:tc>
          <w:tcPr/>
          <w:p>
            <w:pPr>
              <w:pStyle w:val="Compact"/>
              <w:jc w:val="left"/>
            </w:pPr>
            <w:r>
              <w:t xml:space="preserve">Security</w:t>
            </w:r>
          </w:p>
        </w:tc>
        <w:tc>
          <w:tcPr/>
          <w:p>
            <w:pPr>
              <w:pStyle w:val="Compact"/>
              <w:jc w:val="left"/>
            </w:pPr>
            <w:r>
              <w:t xml:space="preserve">Pre-launch penetration test (3rd party)</w:t>
            </w:r>
          </w:p>
        </w:tc>
        <w:tc>
          <w:tcPr/>
          <w:p>
            <w:pPr>
              <w:pStyle w:val="Compact"/>
              <w:jc w:val="right"/>
            </w:pPr>
            <w:r>
              <w:t xml:space="preserve">12,000</w:t>
            </w:r>
          </w:p>
        </w:tc>
      </w:tr>
      <w:tr>
        <w:tc>
          <w:tcPr/>
          <w:p>
            <w:pPr>
              <w:pStyle w:val="Compact"/>
              <w:jc w:val="left"/>
            </w:pPr>
            <w:r>
              <w:t xml:space="preserve">Integration Fees</w:t>
            </w:r>
          </w:p>
        </w:tc>
        <w:tc>
          <w:tcPr/>
          <w:p>
            <w:pPr>
              <w:pStyle w:val="Compact"/>
              <w:jc w:val="left"/>
            </w:pPr>
            <w:r>
              <w:t xml:space="preserve">Smile Identity KYC (one-time setup)</w:t>
            </w:r>
          </w:p>
        </w:tc>
        <w:tc>
          <w:tcPr/>
          <w:p>
            <w:pPr>
              <w:pStyle w:val="Compact"/>
              <w:jc w:val="right"/>
            </w:pPr>
            <w:r>
              <w:t xml:space="preserve">7,500</w:t>
            </w:r>
          </w:p>
        </w:tc>
      </w:tr>
      <w:tr>
        <w:tc>
          <w:tcPr/>
          <w:p>
            <w:pPr>
              <w:pStyle w:val="Compact"/>
              <w:jc w:val="left"/>
            </w:pPr>
            <w:r>
              <w:t xml:space="preserve">Integration Fees</w:t>
            </w:r>
          </w:p>
        </w:tc>
        <w:tc>
          <w:tcPr/>
          <w:p>
            <w:pPr>
              <w:pStyle w:val="Compact"/>
              <w:jc w:val="left"/>
            </w:pPr>
            <w:r>
              <w:t xml:space="preserve">Escrow bank — Stanbic/Ecobank Ghana (one-time setup)</w:t>
            </w:r>
          </w:p>
        </w:tc>
        <w:tc>
          <w:tcPr/>
          <w:p>
            <w:pPr>
              <w:pStyle w:val="Compact"/>
              <w:jc w:val="right"/>
            </w:pPr>
            <w:r>
              <w:t xml:space="preserve">15,000</w:t>
            </w:r>
          </w:p>
        </w:tc>
      </w:tr>
      <w:tr>
        <w:tc>
          <w:tcPr/>
          <w:p>
            <w:pPr>
              <w:pStyle w:val="Compact"/>
              <w:jc w:val="left"/>
            </w:pPr>
            <w:r>
              <w:t xml:space="preserve">Integration Fees</w:t>
            </w:r>
          </w:p>
        </w:tc>
        <w:tc>
          <w:tcPr/>
          <w:p>
            <w:pPr>
              <w:pStyle w:val="Compact"/>
              <w:jc w:val="left"/>
            </w:pPr>
            <w:r>
              <w:t xml:space="preserve">LBMA price feed (FastMarkets/Refinitiv) integration</w:t>
            </w:r>
          </w:p>
        </w:tc>
        <w:tc>
          <w:tcPr/>
          <w:p>
            <w:pPr>
              <w:pStyle w:val="Compact"/>
              <w:jc w:val="right"/>
            </w:pPr>
            <w:r>
              <w:t xml:space="preserve">5,000</w:t>
            </w:r>
          </w:p>
        </w:tc>
      </w:tr>
      <w:tr>
        <w:tc>
          <w:tcPr/>
          <w:p>
            <w:pPr>
              <w:pStyle w:val="Compact"/>
              <w:jc w:val="left"/>
            </w:pPr>
            <w:r>
              <w:t xml:space="preserve">Integration Fees</w:t>
            </w:r>
          </w:p>
        </w:tc>
        <w:tc>
          <w:tcPr/>
          <w:p>
            <w:pPr>
              <w:pStyle w:val="Compact"/>
              <w:jc w:val="left"/>
            </w:pPr>
            <w:r>
              <w:t xml:space="preserve">GoldBod + PMMC + MinComm + BoG integration (Phase 3 prep)</w:t>
            </w:r>
          </w:p>
        </w:tc>
        <w:tc>
          <w:tcPr/>
          <w:p>
            <w:pPr>
              <w:pStyle w:val="Compact"/>
              <w:jc w:val="right"/>
            </w:pPr>
            <w:r>
              <w:t xml:space="preserve">12,000</w:t>
            </w:r>
          </w:p>
        </w:tc>
      </w:tr>
      <w:tr>
        <w:tc>
          <w:tcPr/>
          <w:p>
            <w:pPr>
              <w:pStyle w:val="Compact"/>
              <w:jc w:val="left"/>
            </w:pPr>
            <w:r>
              <w:rPr>
                <w:b/>
                <w:bCs/>
              </w:rPr>
              <w:t xml:space="preserve">Subtotal (pre-contingency)</w:t>
            </w:r>
          </w:p>
        </w:tc>
        <w:tc>
          <w:tcPr/>
          <w:p>
            <w:pPr>
              <w:pStyle w:val="Compact"/>
            </w:pPr>
          </w:p>
        </w:tc>
        <w:tc>
          <w:tcPr/>
          <w:p>
            <w:pPr>
              <w:pStyle w:val="Compact"/>
              <w:jc w:val="right"/>
            </w:pPr>
            <w:r>
              <w:rPr>
                <w:b/>
                <w:bCs/>
              </w:rPr>
              <w:t xml:space="preserve">403,000</w:t>
            </w:r>
          </w:p>
        </w:tc>
      </w:tr>
      <w:tr>
        <w:tc>
          <w:tcPr/>
          <w:p>
            <w:pPr>
              <w:pStyle w:val="Compact"/>
              <w:jc w:val="left"/>
            </w:pPr>
            <w:r>
              <w:rPr>
                <w:b/>
                <w:bCs/>
              </w:rPr>
              <w:t xml:space="preserve">Contingency Reserve (15%)</w:t>
            </w:r>
          </w:p>
        </w:tc>
        <w:tc>
          <w:tcPr/>
          <w:p>
            <w:pPr>
              <w:pStyle w:val="Compact"/>
            </w:pPr>
          </w:p>
        </w:tc>
        <w:tc>
          <w:tcPr/>
          <w:p>
            <w:pPr>
              <w:pStyle w:val="Compact"/>
              <w:jc w:val="right"/>
            </w:pPr>
            <w:r>
              <w:rPr>
                <w:b/>
                <w:bCs/>
              </w:rPr>
              <w:t xml:space="preserve">60,450</w:t>
            </w:r>
          </w:p>
        </w:tc>
      </w:tr>
      <w:tr>
        <w:tc>
          <w:tcPr/>
          <w:p>
            <w:pPr>
              <w:pStyle w:val="Compact"/>
              <w:jc w:val="left"/>
            </w:pPr>
            <w:r>
              <w:rPr>
                <w:b/>
                <w:bCs/>
              </w:rPr>
              <w:t xml:space="preserve">TOTAL CAPEX</w:t>
            </w:r>
          </w:p>
        </w:tc>
        <w:tc>
          <w:tcPr/>
          <w:p>
            <w:pPr>
              <w:pStyle w:val="Compact"/>
            </w:pPr>
          </w:p>
        </w:tc>
        <w:tc>
          <w:tcPr/>
          <w:p>
            <w:pPr>
              <w:pStyle w:val="Compact"/>
              <w:jc w:val="right"/>
            </w:pPr>
            <w:r>
              <w:rPr>
                <w:b/>
                <w:bCs/>
              </w:rPr>
              <w:t xml:space="preserve">463,450</w:t>
            </w:r>
          </w:p>
        </w:tc>
      </w:tr>
    </w:tbl>
    <w:p>
      <w:pPr>
        <w:pStyle w:val="BodyText"/>
      </w:pPr>
      <w:r>
        <w:rPr>
          <w:i/>
          <w:iCs/>
        </w:rPr>
        <w:t xml:space="preserve">Note: US$463,450 is US$13,450 (2.9%) above the US$450,000 ceiling. The overrun is driven by the GoldBod Act 1140 integration requirement (US$8,500 legal + US$4,000 extra integration prep = US$12,500 incremental). The Sponsor must either approve a ceiling increase or absorb the overrun from contingency.</w:t>
      </w:r>
    </w:p>
    <w:bookmarkEnd w:id="32"/>
    <w:bookmarkStart w:id="33" w:name="Xba5d0ffac74bd9e162e48914485c6a171486cb4"/>
    <w:p>
      <w:pPr>
        <w:pStyle w:val="Heading3"/>
      </w:pPr>
      <w:r>
        <w:t xml:space="preserve">B. Operational Expenses (OpEx / Monthly Burn Rate)</w:t>
      </w:r>
    </w:p>
    <w:p>
      <w:pPr>
        <w:pStyle w:val="FirstParagraph"/>
      </w:pPr>
      <w:r>
        <w:rPr>
          <w:b/>
          <w:bCs/>
        </w:rPr>
        <w:t xml:space="preserve">Table 4.2 — Stabilized Monthly Burn (Month 6 Post-Launch)</w:t>
      </w:r>
    </w:p>
    <w:tbl>
      <w:tblPr>
        <w:tblStyle w:val="Table"/>
        <w:tblW w:type="pct" w:w="5000"/>
        <w:jc w:val="left"/>
        <w:tblLayout w:type="fixed"/>
        <w:tblLook w:firstRow="1" w:lastRow="0" w:firstColumn="0" w:lastColumn="0" w:noHBand="0" w:noVBand="0" w:val="0020"/>
      </w:tblPr>
      <w:tblGrid>
        <w:gridCol w:w="1389"/>
        <w:gridCol w:w="1528"/>
        <w:gridCol w:w="2778"/>
        <w:gridCol w:w="2223"/>
      </w:tblGrid>
      <w:tr>
        <w:trPr>
          <w:tblHeader w:val="on"/>
        </w:trPr>
        <w:tc>
          <w:tcPr/>
          <w:p>
            <w:pPr>
              <w:pStyle w:val="Compact"/>
              <w:jc w:val="left"/>
            </w:pPr>
            <w:r>
              <w:t xml:space="preserve">Category</w:t>
            </w:r>
          </w:p>
        </w:tc>
        <w:tc>
          <w:tcPr/>
          <w:p>
            <w:pPr>
              <w:pStyle w:val="Compact"/>
              <w:jc w:val="left"/>
            </w:pPr>
            <w:r>
              <w:t xml:space="preserve">Line Item</w:t>
            </w:r>
          </w:p>
        </w:tc>
        <w:tc>
          <w:tcPr/>
          <w:p>
            <w:pPr>
              <w:pStyle w:val="Compact"/>
              <w:jc w:val="right"/>
            </w:pPr>
            <w:r>
              <w:t xml:space="preserve">Monthly Cost (US$)</w:t>
            </w:r>
          </w:p>
        </w:tc>
        <w:tc>
          <w:tcPr/>
          <w:p>
            <w:pPr>
              <w:pStyle w:val="Compact"/>
              <w:jc w:val="left"/>
            </w:pPr>
            <w:r>
              <w:t xml:space="preserve">Scaling Driver</w:t>
            </w:r>
          </w:p>
        </w:tc>
      </w:tr>
      <w:tr>
        <w:tc>
          <w:tcPr/>
          <w:p>
            <w:pPr>
              <w:pStyle w:val="Compact"/>
              <w:jc w:val="left"/>
            </w:pPr>
            <w:r>
              <w:t xml:space="preserve">Cloud hosting &amp; database</w:t>
            </w:r>
          </w:p>
        </w:tc>
        <w:tc>
          <w:tcPr/>
          <w:p>
            <w:pPr>
              <w:pStyle w:val="Compact"/>
              <w:jc w:val="left"/>
            </w:pPr>
            <w:r>
              <w:t xml:space="preserve">AWS Ghana af-west-1 (EC2 + RDS + S3 + KMS) baseline</w:t>
            </w:r>
          </w:p>
        </w:tc>
        <w:tc>
          <w:tcPr/>
          <w:p>
            <w:pPr>
              <w:pStyle w:val="Compact"/>
              <w:jc w:val="right"/>
            </w:pPr>
            <w:r>
              <w:t xml:space="preserve">6,800</w:t>
            </w:r>
          </w:p>
        </w:tc>
        <w:tc>
          <w:tcPr/>
          <w:p>
            <w:pPr>
              <w:pStyle w:val="Compact"/>
              <w:jc w:val="left"/>
            </w:pPr>
            <w:r>
              <w:t xml:space="preserve">Trade volume (variable add-on ~$2,000 at 250 trades/mo)</w:t>
            </w:r>
          </w:p>
        </w:tc>
      </w:tr>
      <w:tr>
        <w:tc>
          <w:tcPr/>
          <w:p>
            <w:pPr>
              <w:pStyle w:val="Compact"/>
              <w:jc w:val="left"/>
            </w:pPr>
            <w:r>
              <w:t xml:space="preserve">Third-party APIs / SaaS</w:t>
            </w:r>
          </w:p>
        </w:tc>
        <w:tc>
          <w:tcPr/>
          <w:p>
            <w:pPr>
              <w:pStyle w:val="Compact"/>
              <w:jc w:val="left"/>
            </w:pPr>
            <w:r>
              <w:t xml:space="preserve">Smile Identity KYC (~$3/verification × ~140/mo)</w:t>
            </w:r>
          </w:p>
        </w:tc>
        <w:tc>
          <w:tcPr/>
          <w:p>
            <w:pPr>
              <w:pStyle w:val="Compact"/>
              <w:jc w:val="right"/>
            </w:pPr>
            <w:r>
              <w:t xml:space="preserve">420</w:t>
            </w:r>
          </w:p>
        </w:tc>
        <w:tc>
          <w:tcPr/>
          <w:p>
            <w:pPr>
              <w:pStyle w:val="Compact"/>
              <w:jc w:val="left"/>
            </w:pPr>
            <w:r>
              <w:t xml:space="preserve">Per verification</w:t>
            </w:r>
          </w:p>
        </w:tc>
      </w:tr>
      <w:tr>
        <w:tc>
          <w:tcPr/>
          <w:p>
            <w:pPr>
              <w:pStyle w:val="Compact"/>
              <w:jc w:val="left"/>
            </w:pPr>
            <w:r>
              <w:t xml:space="preserve">Third-party APIs / SaaS</w:t>
            </w:r>
          </w:p>
        </w:tc>
        <w:tc>
          <w:tcPr/>
          <w:p>
            <w:pPr>
              <w:pStyle w:val="Compact"/>
              <w:jc w:val="left"/>
            </w:pPr>
            <w:r>
              <w:t xml:space="preserve">LBMA PM Fix price feed (annual subscription ÷ 12)</w:t>
            </w:r>
          </w:p>
        </w:tc>
        <w:tc>
          <w:tcPr/>
          <w:p>
            <w:pPr>
              <w:pStyle w:val="Compact"/>
              <w:jc w:val="right"/>
            </w:pPr>
            <w:r>
              <w:t xml:space="preserve">850</w:t>
            </w:r>
          </w:p>
        </w:tc>
        <w:tc>
          <w:tcPr/>
          <w:p>
            <w:pPr>
              <w:pStyle w:val="Compact"/>
              <w:jc w:val="left"/>
            </w:pPr>
            <w:r>
              <w:t xml:space="preserve">Fixed</w:t>
            </w:r>
          </w:p>
        </w:tc>
      </w:tr>
      <w:tr>
        <w:tc>
          <w:tcPr/>
          <w:p>
            <w:pPr>
              <w:pStyle w:val="Compact"/>
              <w:jc w:val="left"/>
            </w:pPr>
            <w:r>
              <w:t xml:space="preserve">Third-party APIs / SaaS</w:t>
            </w:r>
          </w:p>
        </w:tc>
        <w:tc>
          <w:tcPr/>
          <w:p>
            <w:pPr>
              <w:pStyle w:val="Compact"/>
              <w:jc w:val="left"/>
            </w:pPr>
            <w:r>
              <w:t xml:space="preserve">Datadog, Sentry, Snyk, GitHub, Jira (combined)</w:t>
            </w:r>
          </w:p>
        </w:tc>
        <w:tc>
          <w:tcPr/>
          <w:p>
            <w:pPr>
              <w:pStyle w:val="Compact"/>
              <w:jc w:val="right"/>
            </w:pPr>
            <w:r>
              <w:t xml:space="preserve">2,100</w:t>
            </w:r>
          </w:p>
        </w:tc>
        <w:tc>
          <w:tcPr/>
          <w:p>
            <w:pPr>
              <w:pStyle w:val="Compact"/>
              <w:jc w:val="left"/>
            </w:pPr>
            <w:r>
              <w:t xml:space="preserve">Per active user (mild)</w:t>
            </w:r>
          </w:p>
        </w:tc>
      </w:tr>
      <w:tr>
        <w:tc>
          <w:tcPr/>
          <w:p>
            <w:pPr>
              <w:pStyle w:val="Compact"/>
              <w:jc w:val="left"/>
            </w:pPr>
            <w:r>
              <w:t xml:space="preserve">Banking integration fee</w:t>
            </w:r>
          </w:p>
        </w:tc>
        <w:tc>
          <w:tcPr/>
          <w:p>
            <w:pPr>
              <w:pStyle w:val="Compact"/>
              <w:jc w:val="left"/>
            </w:pPr>
            <w:r>
              <w:t xml:space="preserve">Escrow bank per-trade fee (~$8/trade × ~250 trades)</w:t>
            </w:r>
          </w:p>
        </w:tc>
        <w:tc>
          <w:tcPr/>
          <w:p>
            <w:pPr>
              <w:pStyle w:val="Compact"/>
              <w:jc w:val="right"/>
            </w:pPr>
            <w:r>
              <w:t xml:space="preserve">2,000</w:t>
            </w:r>
          </w:p>
        </w:tc>
        <w:tc>
          <w:tcPr/>
          <w:p>
            <w:pPr>
              <w:pStyle w:val="Compact"/>
              <w:jc w:val="left"/>
            </w:pPr>
            <w:r>
              <w:t xml:space="preserve">Per trade</w:t>
            </w:r>
          </w:p>
        </w:tc>
      </w:tr>
      <w:tr>
        <w:tc>
          <w:tcPr/>
          <w:p>
            <w:pPr>
              <w:pStyle w:val="Compact"/>
              <w:jc w:val="left"/>
            </w:pPr>
            <w:r>
              <w:t xml:space="preserve">Ongoing software licenses &amp; legal</w:t>
            </w:r>
          </w:p>
        </w:tc>
        <w:tc>
          <w:tcPr/>
          <w:p>
            <w:pPr>
              <w:pStyle w:val="Compact"/>
              <w:jc w:val="left"/>
            </w:pPr>
            <w:r>
              <w:t xml:space="preserve">External Ghana-barred legal retainer + compliance software</w:t>
            </w:r>
          </w:p>
        </w:tc>
        <w:tc>
          <w:tcPr/>
          <w:p>
            <w:pPr>
              <w:pStyle w:val="Compact"/>
              <w:jc w:val="right"/>
            </w:pPr>
            <w:r>
              <w:t xml:space="preserve">3,800</w:t>
            </w:r>
          </w:p>
        </w:tc>
        <w:tc>
          <w:tcPr/>
          <w:p>
            <w:pPr>
              <w:pStyle w:val="Compact"/>
              <w:jc w:val="left"/>
            </w:pPr>
            <w:r>
              <w:t xml:space="preserve">Fixed</w:t>
            </w:r>
          </w:p>
        </w:tc>
      </w:tr>
      <w:tr>
        <w:tc>
          <w:tcPr/>
          <w:p>
            <w:pPr>
              <w:pStyle w:val="Compact"/>
              <w:jc w:val="left"/>
            </w:pPr>
            <w:r>
              <w:t xml:space="preserve">Support &amp; success staff</w:t>
            </w:r>
          </w:p>
        </w:tc>
        <w:tc>
          <w:tcPr/>
          <w:p>
            <w:pPr>
              <w:pStyle w:val="Compact"/>
              <w:jc w:val="left"/>
            </w:pPr>
            <w:r>
              <w:t xml:space="preserve">Tier 1 support × 2 + Customer Success Manager × 1 (Accra)</w:t>
            </w:r>
          </w:p>
        </w:tc>
        <w:tc>
          <w:tcPr/>
          <w:p>
            <w:pPr>
              <w:pStyle w:val="Compact"/>
              <w:jc w:val="right"/>
            </w:pPr>
            <w:r>
              <w:t xml:space="preserve">9,800</w:t>
            </w:r>
          </w:p>
        </w:tc>
        <w:tc>
          <w:tcPr/>
          <w:p>
            <w:pPr>
              <w:pStyle w:val="Compact"/>
              <w:jc w:val="left"/>
            </w:pPr>
            <w:r>
              <w:t xml:space="preserve">Headcount (step-function)</w:t>
            </w:r>
          </w:p>
        </w:tc>
      </w:tr>
      <w:tr>
        <w:tc>
          <w:tcPr/>
          <w:p>
            <w:pPr>
              <w:pStyle w:val="Compact"/>
              <w:jc w:val="left"/>
            </w:pPr>
            <w:r>
              <w:t xml:space="preserve">Engineering retention (post-launch)</w:t>
            </w:r>
          </w:p>
        </w:tc>
        <w:tc>
          <w:tcPr/>
          <w:p>
            <w:pPr>
              <w:pStyle w:val="Compact"/>
              <w:jc w:val="left"/>
            </w:pPr>
            <w:r>
              <w:t xml:space="preserve">3 FTE retained for enhancements + incident response</w:t>
            </w:r>
          </w:p>
        </w:tc>
        <w:tc>
          <w:tcPr/>
          <w:p>
            <w:pPr>
              <w:pStyle w:val="Compact"/>
              <w:jc w:val="right"/>
            </w:pPr>
            <w:r>
              <w:t xml:space="preserve">13,500</w:t>
            </w:r>
          </w:p>
        </w:tc>
        <w:tc>
          <w:tcPr/>
          <w:p>
            <w:pPr>
              <w:pStyle w:val="Compact"/>
              <w:jc w:val="left"/>
            </w:pPr>
            <w:r>
              <w:t xml:space="preserve">Headcount</w:t>
            </w:r>
          </w:p>
        </w:tc>
      </w:tr>
      <w:tr>
        <w:tc>
          <w:tcPr/>
          <w:p>
            <w:pPr>
              <w:pStyle w:val="Compact"/>
              <w:jc w:val="left"/>
            </w:pPr>
            <w:r>
              <w:t xml:space="preserve">Compliance &amp; security maintenance</w:t>
            </w:r>
          </w:p>
        </w:tc>
        <w:tc>
          <w:tcPr/>
          <w:p>
            <w:pPr>
              <w:pStyle w:val="Compact"/>
              <w:jc w:val="left"/>
            </w:pPr>
            <w:r>
              <w:t xml:space="preserve">SOC 2 evidence + ISO 27001 ISMS + quarterly pen test + GoldBod/PMMC/BoG integration monitoring</w:t>
            </w:r>
          </w:p>
        </w:tc>
        <w:tc>
          <w:tcPr/>
          <w:p>
            <w:pPr>
              <w:pStyle w:val="Compact"/>
              <w:jc w:val="right"/>
            </w:pPr>
            <w:r>
              <w:t xml:space="preserve">2,300</w:t>
            </w:r>
          </w:p>
        </w:tc>
        <w:tc>
          <w:tcPr/>
          <w:p>
            <w:pPr>
              <w:pStyle w:val="Compact"/>
              <w:jc w:val="left"/>
            </w:pPr>
            <w:r>
              <w:t xml:space="preserve">Fixed</w:t>
            </w:r>
          </w:p>
        </w:tc>
      </w:tr>
      <w:tr>
        <w:tc>
          <w:tcPr/>
          <w:p>
            <w:pPr>
              <w:pStyle w:val="Compact"/>
              <w:jc w:val="left"/>
            </w:pPr>
            <w:r>
              <w:t xml:space="preserve">Marketing</w:t>
            </w:r>
          </w:p>
        </w:tc>
        <w:tc>
          <w:tcPr/>
          <w:p>
            <w:pPr>
              <w:pStyle w:val="Compact"/>
              <w:jc w:val="left"/>
            </w:pPr>
            <w:r>
              <w:t xml:space="preserve">Chamber-co-funded campaigns + content (50% cost-share)</w:t>
            </w:r>
          </w:p>
        </w:tc>
        <w:tc>
          <w:tcPr/>
          <w:p>
            <w:pPr>
              <w:pStyle w:val="Compact"/>
              <w:jc w:val="right"/>
            </w:pPr>
            <w:r>
              <w:t xml:space="preserve">1,500</w:t>
            </w:r>
          </w:p>
        </w:tc>
        <w:tc>
          <w:tcPr/>
          <w:p>
            <w:pPr>
              <w:pStyle w:val="Compact"/>
              <w:jc w:val="left"/>
            </w:pPr>
            <w:r>
              <w:t xml:space="preserve">Quarterly campaign</w:t>
            </w:r>
          </w:p>
        </w:tc>
      </w:tr>
      <w:tr>
        <w:tc>
          <w:tcPr/>
          <w:p>
            <w:pPr>
              <w:pStyle w:val="Compact"/>
              <w:jc w:val="left"/>
            </w:pPr>
            <w:r>
              <w:rPr>
                <w:b/>
                <w:bCs/>
              </w:rPr>
              <w:t xml:space="preserve">TOTAL MONTHLY BURN (month 6+)</w:t>
            </w:r>
          </w:p>
        </w:tc>
        <w:tc>
          <w:tcPr/>
          <w:p>
            <w:pPr>
              <w:pStyle w:val="Compact"/>
            </w:pPr>
          </w:p>
        </w:tc>
        <w:tc>
          <w:tcPr/>
          <w:p>
            <w:pPr>
              <w:pStyle w:val="Compact"/>
              <w:jc w:val="right"/>
            </w:pPr>
            <w:r>
              <w:rPr>
                <w:b/>
                <w:bCs/>
              </w:rPr>
              <w:t xml:space="preserve">43,070</w:t>
            </w:r>
          </w:p>
        </w:tc>
        <w:tc>
          <w:tcPr/>
          <w:p>
            <w:pPr>
              <w:pStyle w:val="Compact"/>
            </w:pPr>
          </w:p>
        </w:tc>
      </w:tr>
      <w:tr>
        <w:tc>
          <w:tcPr/>
          <w:p>
            <w:pPr>
              <w:pStyle w:val="Compact"/>
              <w:jc w:val="left"/>
            </w:pPr>
            <w:r>
              <w:t xml:space="preserve">Less: Chamber reimburses 30% of marketing</w:t>
            </w:r>
          </w:p>
        </w:tc>
        <w:tc>
          <w:tcPr/>
          <w:p>
            <w:pPr>
              <w:pStyle w:val="Compact"/>
            </w:pPr>
          </w:p>
        </w:tc>
        <w:tc>
          <w:tcPr/>
          <w:p>
            <w:pPr>
              <w:pStyle w:val="Compact"/>
              <w:jc w:val="right"/>
            </w:pPr>
            <w:r>
              <w:t xml:space="preserve">(450)</w:t>
            </w:r>
          </w:p>
        </w:tc>
        <w:tc>
          <w:tcPr/>
          <w:p>
            <w:pPr>
              <w:pStyle w:val="Compact"/>
            </w:pPr>
          </w:p>
        </w:tc>
      </w:tr>
      <w:tr>
        <w:tc>
          <w:tcPr/>
          <w:p>
            <w:pPr>
              <w:pStyle w:val="Compact"/>
              <w:jc w:val="left"/>
            </w:pPr>
            <w:r>
              <w:rPr>
                <w:b/>
                <w:bCs/>
              </w:rPr>
              <w:t xml:space="preserve">NET MONTHLY BURN</w:t>
            </w:r>
          </w:p>
        </w:tc>
        <w:tc>
          <w:tcPr/>
          <w:p>
            <w:pPr>
              <w:pStyle w:val="Compact"/>
            </w:pPr>
          </w:p>
        </w:tc>
        <w:tc>
          <w:tcPr/>
          <w:p>
            <w:pPr>
              <w:pStyle w:val="Compact"/>
              <w:jc w:val="right"/>
            </w:pPr>
            <w:r>
              <w:rPr>
                <w:b/>
                <w:bCs/>
              </w:rPr>
              <w:t xml:space="preserve">42,620</w:t>
            </w:r>
          </w:p>
        </w:tc>
        <w:tc>
          <w:tcPr/>
          <w:p>
            <w:pPr>
              <w:pStyle w:val="Compact"/>
            </w:pPr>
          </w:p>
        </w:tc>
      </w:tr>
    </w:tbl>
    <w:p>
      <w:pPr>
        <w:pStyle w:val="BodyText"/>
      </w:pPr>
      <w:r>
        <w:rPr>
          <w:b/>
          <w:bCs/>
        </w:rPr>
        <w:t xml:space="preserve">18-month runway:</w:t>
      </w:r>
      <w:r>
        <w:t xml:space="preserve"> </w:t>
      </w:r>
      <w:r>
        <w:t xml:space="preserve">Approximately US$32,800 × 6 + US$42,620 × 12 ≈</w:t>
      </w:r>
      <w:r>
        <w:t xml:space="preserve"> </w:t>
      </w:r>
      <w:r>
        <w:rPr>
          <w:b/>
          <w:bCs/>
        </w:rPr>
        <w:t xml:space="preserve">US$715,000</w:t>
      </w:r>
      <w:r>
        <w:t xml:space="preserve"> </w:t>
      </w:r>
      <w:r>
        <w:t xml:space="preserve">of OpEx funding required post-launch. Total capital to break-even:</w:t>
      </w:r>
      <w:r>
        <w:t xml:space="preserve"> </w:t>
      </w:r>
      <w:r>
        <w:rPr>
          <w:b/>
          <w:bCs/>
        </w:rPr>
        <w:t xml:space="preserve">US$463,450 (CapEx) + US$715,000 (OpEx) = US$1,178,450</w:t>
      </w:r>
      <w:r>
        <w:t xml:space="preserve">, plus a US$170,000 bridge between month 18 (runway end) and month 22 (break-even) — to be covered by a Series A round in month 18.</w:t>
      </w:r>
    </w:p>
    <w:bookmarkEnd w:id="33"/>
    <w:bookmarkStart w:id="34" w:name="c.-funding-source-accounting-treatment"/>
    <w:p>
      <w:pPr>
        <w:pStyle w:val="Heading3"/>
      </w:pPr>
      <w:r>
        <w:t xml:space="preserve">C. Funding Source &amp; Accounting Treatment</w:t>
      </w:r>
    </w:p>
    <w:p>
      <w:pPr>
        <w:pStyle w:val="FirstParagraph"/>
      </w:pPr>
      <w:r>
        <w:t xml:space="preserve">AurumXchange is funded by Smart Innovations Ghana Limited from its internal balance sheet, supplemented by a planned Series A bridge round in month 18 (US$500K target). The CapEx draw is booked against cost centre</w:t>
      </w:r>
      <w:r>
        <w:t xml:space="preserve"> </w:t>
      </w:r>
      <w:r>
        <w:rPr>
          <w:b/>
          <w:bCs/>
        </w:rPr>
        <w:t xml:space="preserve">‘</w:t>
      </w:r>
      <w:r>
        <w:rPr>
          <w:b/>
          <w:bCs/>
        </w:rPr>
        <w:t xml:space="preserve">SIG-PROD-AURUM-01</w:t>
      </w:r>
      <w:r>
        <w:rPr>
          <w:b/>
          <w:bCs/>
        </w:rPr>
        <w:t xml:space="preserve">’</w:t>
      </w:r>
      <w:r>
        <w:t xml:space="preserve"> </w:t>
      </w:r>
      <w:r>
        <w:t xml:space="preserve">(established August 2026).</w:t>
      </w:r>
      <w:r>
        <w:t xml:space="preserve"> </w:t>
      </w:r>
      <w:r>
        <w:rPr>
          <w:b/>
          <w:bCs/>
        </w:rPr>
        <w:t xml:space="preserve">IAS 38 governs the CapEx/OpEx split:</w:t>
      </w:r>
      <w:r>
        <w:t xml:space="preserve"> </w:t>
      </w:r>
      <w:r>
        <w:t xml:space="preserve">pre-launch costs (including GoldBod Act 1140 compliance review) are capitalized as internally-generated software; post-launch maintenance is expensed.</w:t>
      </w:r>
    </w:p>
    <w:bookmarkEnd w:id="34"/>
    <w:bookmarkStart w:id="35" w:name="d.-revenue-projections-5-years"/>
    <w:p>
      <w:pPr>
        <w:pStyle w:val="Heading3"/>
      </w:pPr>
      <w:r>
        <w:t xml:space="preserve">D. Revenue Projections (5 Years)</w:t>
      </w:r>
    </w:p>
    <w:p>
      <w:pPr>
        <w:pStyle w:val="FirstParagraph"/>
      </w:pPr>
      <w:r>
        <w:rPr>
          <w:b/>
          <w:bCs/>
        </w:rPr>
        <w:t xml:space="preserve">Top-Down Market Sizing (Year 5 Target) — Grounded in 2024 Actuals:</w:t>
      </w:r>
    </w:p>
    <w:tbl>
      <w:tblPr>
        <w:tblStyle w:val="Table"/>
        <w:tblW w:type="pct" w:w="5000"/>
        <w:jc w:val="left"/>
        <w:tblLayout w:type="fixed"/>
        <w:tblLook w:firstRow="1" w:lastRow="0" w:firstColumn="0" w:lastColumn="0" w:noHBand="0" w:noVBand="0" w:val="0020"/>
      </w:tblPr>
      <w:tblGrid>
        <w:gridCol w:w="1458"/>
        <w:gridCol w:w="2292"/>
        <w:gridCol w:w="2709"/>
        <w:gridCol w:w="1458"/>
      </w:tblGrid>
      <w:tr>
        <w:trPr>
          <w:tblHeader w:val="on"/>
        </w:trPr>
        <w:tc>
          <w:tcPr/>
          <w:p>
            <w:pPr>
              <w:pStyle w:val="Compact"/>
              <w:jc w:val="left"/>
            </w:pPr>
            <w:r>
              <w:t xml:space="preserve">Level</w:t>
            </w:r>
          </w:p>
        </w:tc>
        <w:tc>
          <w:tcPr/>
          <w:p>
            <w:pPr>
              <w:pStyle w:val="Compact"/>
              <w:jc w:val="left"/>
            </w:pPr>
            <w:r>
              <w:t xml:space="preserve">Definition</w:t>
            </w:r>
          </w:p>
        </w:tc>
        <w:tc>
          <w:tcPr/>
          <w:p>
            <w:pPr>
              <w:pStyle w:val="Compact"/>
              <w:jc w:val="right"/>
            </w:pPr>
            <w:r>
              <w:t xml:space="preserve">Value (US$)</w:t>
            </w:r>
          </w:p>
        </w:tc>
        <w:tc>
          <w:tcPr/>
          <w:p>
            <w:pPr>
              <w:pStyle w:val="Compact"/>
              <w:jc w:val="left"/>
            </w:pPr>
            <w:r>
              <w:t xml:space="preserve">Basis</w:t>
            </w:r>
          </w:p>
        </w:tc>
      </w:tr>
      <w:tr>
        <w:tc>
          <w:tcPr/>
          <w:p>
            <w:pPr>
              <w:pStyle w:val="Compact"/>
              <w:jc w:val="left"/>
            </w:pPr>
            <w:r>
              <w:t xml:space="preserve">TAM</w:t>
            </w:r>
          </w:p>
        </w:tc>
        <w:tc>
          <w:tcPr/>
          <w:p>
            <w:pPr>
              <w:pStyle w:val="Compact"/>
              <w:jc w:val="left"/>
            </w:pPr>
            <w:r>
              <w:t xml:space="preserve">Ghana 2024 actual gold export revenue</w:t>
            </w:r>
          </w:p>
        </w:tc>
        <w:tc>
          <w:tcPr/>
          <w:p>
            <w:pPr>
              <w:pStyle w:val="Compact"/>
              <w:jc w:val="right"/>
            </w:pPr>
            <w:r>
              <w:t xml:space="preserve">11,640,000,000</w:t>
            </w:r>
          </w:p>
        </w:tc>
        <w:tc>
          <w:tcPr/>
          <w:p>
            <w:pPr>
              <w:pStyle w:val="Compact"/>
              <w:jc w:val="left"/>
            </w:pPr>
            <w:r>
              <w:t xml:space="preserve">CGTN Africa, 2025; Ghana Chamber of Mines, 2025</w:t>
            </w:r>
          </w:p>
        </w:tc>
      </w:tr>
      <w:tr>
        <w:tc>
          <w:tcPr/>
          <w:p>
            <w:pPr>
              <w:pStyle w:val="Compact"/>
              <w:jc w:val="left"/>
            </w:pPr>
            <w:r>
              <w:t xml:space="preserve">SAM</w:t>
            </w:r>
          </w:p>
        </w:tc>
        <w:tc>
          <w:tcPr/>
          <w:p>
            <w:pPr>
              <w:pStyle w:val="Compact"/>
              <w:jc w:val="left"/>
            </w:pPr>
            <w:r>
              <w:t xml:space="preserve">25% of TAM through Chamber-licensed members</w:t>
            </w:r>
          </w:p>
        </w:tc>
        <w:tc>
          <w:tcPr/>
          <w:p>
            <w:pPr>
              <w:pStyle w:val="Compact"/>
              <w:jc w:val="right"/>
            </w:pPr>
            <w:r>
              <w:t xml:space="preserve">2,910,000,000</w:t>
            </w:r>
          </w:p>
        </w:tc>
        <w:tc>
          <w:tcPr/>
          <w:p>
            <w:pPr>
              <w:pStyle w:val="Compact"/>
              <w:jc w:val="left"/>
            </w:pPr>
            <w:r>
              <w:t xml:space="preserve">Chamber member survey + PMMC + BoG DGPP 2024</w:t>
            </w:r>
          </w:p>
        </w:tc>
      </w:tr>
      <w:tr>
        <w:tc>
          <w:tcPr/>
          <w:p>
            <w:pPr>
              <w:pStyle w:val="Compact"/>
              <w:jc w:val="left"/>
            </w:pPr>
            <w:r>
              <w:t xml:space="preserve">SOM (Year 5)</w:t>
            </w:r>
          </w:p>
        </w:tc>
        <w:tc>
          <w:tcPr/>
          <w:p>
            <w:pPr>
              <w:pStyle w:val="Compact"/>
              <w:jc w:val="left"/>
            </w:pPr>
            <w:r>
              <w:t xml:space="preserve">12% of SAM through AurumXchange</w:t>
            </w:r>
          </w:p>
        </w:tc>
        <w:tc>
          <w:tcPr/>
          <w:p>
            <w:pPr>
              <w:pStyle w:val="Compact"/>
              <w:jc w:val="right"/>
            </w:pPr>
            <w:r>
              <w:t xml:space="preserve">349,200,000</w:t>
            </w:r>
          </w:p>
        </w:tc>
        <w:tc>
          <w:tcPr/>
          <w:p>
            <w:pPr>
              <w:pStyle w:val="Compact"/>
              <w:jc w:val="left"/>
            </w:pPr>
            <w:r>
              <w:t xml:space="preserve">70% member adoption × 60% volume shift</w:t>
            </w:r>
          </w:p>
        </w:tc>
      </w:tr>
      <w:tr>
        <w:tc>
          <w:tcPr/>
          <w:p>
            <w:pPr>
              <w:pStyle w:val="Compact"/>
              <w:jc w:val="left"/>
            </w:pPr>
            <w:r>
              <w:t xml:space="preserve">Implied Year-5 transaction fee revenue</w:t>
            </w:r>
          </w:p>
        </w:tc>
        <w:tc>
          <w:tcPr/>
          <w:p>
            <w:pPr>
              <w:pStyle w:val="Compact"/>
              <w:jc w:val="left"/>
            </w:pPr>
            <w:r>
              <w:t xml:space="preserve">0.20% × SOM (0.10% × 2 sides)</w:t>
            </w:r>
          </w:p>
        </w:tc>
        <w:tc>
          <w:tcPr/>
          <w:p>
            <w:pPr>
              <w:pStyle w:val="Compact"/>
              <w:jc w:val="right"/>
            </w:pPr>
            <w:r>
              <w:t xml:space="preserve">698,400</w:t>
            </w:r>
          </w:p>
        </w:tc>
        <w:tc>
          <w:tcPr/>
          <w:p>
            <w:pPr>
              <w:pStyle w:val="Compact"/>
              <w:jc w:val="left"/>
            </w:pPr>
            <w:r>
              <w:t xml:space="preserve">Transaction fees only; subscriptions and VAS additional</w:t>
            </w:r>
          </w:p>
        </w:tc>
      </w:tr>
    </w:tbl>
    <w:p>
      <w:pPr>
        <w:pStyle w:val="BodyText"/>
      </w:pPr>
      <w:r>
        <w:rPr>
          <w:b/>
          <w:bCs/>
        </w:rPr>
        <w:t xml:space="preserve">Bottom-Up Revenue Model (5-Year Projection, 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Driver</w:t>
            </w: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c>
          <w:tcPr/>
          <w:p>
            <w:pPr>
              <w:pStyle w:val="Compact"/>
              <w:jc w:val="right"/>
            </w:pPr>
            <w:r>
              <w:t xml:space="preserve">Year 4</w:t>
            </w:r>
          </w:p>
        </w:tc>
        <w:tc>
          <w:tcPr/>
          <w:p>
            <w:pPr>
              <w:pStyle w:val="Compact"/>
              <w:jc w:val="right"/>
            </w:pPr>
            <w:r>
              <w:t xml:space="preserve">Year 5</w:t>
            </w:r>
          </w:p>
        </w:tc>
      </w:tr>
      <w:tr>
        <w:tc>
          <w:tcPr/>
          <w:p>
            <w:pPr>
              <w:pStyle w:val="Compact"/>
              <w:jc w:val="left"/>
            </w:pPr>
            <w:r>
              <w:t xml:space="preserve">Verified members (EoY)</w:t>
            </w:r>
          </w:p>
        </w:tc>
        <w:tc>
          <w:tcPr/>
          <w:p>
            <w:pPr>
              <w:pStyle w:val="Compact"/>
              <w:jc w:val="right"/>
            </w:pPr>
            <w:r>
              <w:t xml:space="preserve">250</w:t>
            </w:r>
          </w:p>
        </w:tc>
        <w:tc>
          <w:tcPr/>
          <w:p>
            <w:pPr>
              <w:pStyle w:val="Compact"/>
              <w:jc w:val="right"/>
            </w:pPr>
            <w:r>
              <w:t xml:space="preserve">475</w:t>
            </w:r>
          </w:p>
        </w:tc>
        <w:tc>
          <w:tcPr/>
          <w:p>
            <w:pPr>
              <w:pStyle w:val="Compact"/>
              <w:jc w:val="right"/>
            </w:pPr>
            <w:r>
              <w:t xml:space="preserve">700</w:t>
            </w:r>
          </w:p>
        </w:tc>
        <w:tc>
          <w:tcPr/>
          <w:p>
            <w:pPr>
              <w:pStyle w:val="Compact"/>
              <w:jc w:val="right"/>
            </w:pPr>
            <w:r>
              <w:t xml:space="preserve">900</w:t>
            </w:r>
          </w:p>
        </w:tc>
        <w:tc>
          <w:tcPr/>
          <w:p>
            <w:pPr>
              <w:pStyle w:val="Compact"/>
              <w:jc w:val="right"/>
            </w:pPr>
            <w:r>
              <w:t xml:space="preserve">1,050</w:t>
            </w:r>
          </w:p>
        </w:tc>
      </w:tr>
      <w:tr>
        <w:tc>
          <w:tcPr/>
          <w:p>
            <w:pPr>
              <w:pStyle w:val="Compact"/>
              <w:jc w:val="left"/>
            </w:pPr>
            <w:r>
              <w:t xml:space="preserve">Active traders (avg)</w:t>
            </w:r>
          </w:p>
        </w:tc>
        <w:tc>
          <w:tcPr/>
          <w:p>
            <w:pPr>
              <w:pStyle w:val="Compact"/>
              <w:jc w:val="right"/>
            </w:pPr>
            <w:r>
              <w:t xml:space="preserve">180</w:t>
            </w:r>
          </w:p>
        </w:tc>
        <w:tc>
          <w:tcPr/>
          <w:p>
            <w:pPr>
              <w:pStyle w:val="Compact"/>
              <w:jc w:val="right"/>
            </w:pPr>
            <w:r>
              <w:t xml:space="preserve">340</w:t>
            </w:r>
          </w:p>
        </w:tc>
        <w:tc>
          <w:tcPr/>
          <w:p>
            <w:pPr>
              <w:pStyle w:val="Compact"/>
              <w:jc w:val="right"/>
            </w:pPr>
            <w:r>
              <w:t xml:space="preserve">510</w:t>
            </w:r>
          </w:p>
        </w:tc>
        <w:tc>
          <w:tcPr/>
          <w:p>
            <w:pPr>
              <w:pStyle w:val="Compact"/>
              <w:jc w:val="right"/>
            </w:pPr>
            <w:r>
              <w:t xml:space="preserve">660</w:t>
            </w:r>
          </w:p>
        </w:tc>
        <w:tc>
          <w:tcPr/>
          <w:p>
            <w:pPr>
              <w:pStyle w:val="Compact"/>
              <w:jc w:val="right"/>
            </w:pPr>
            <w:r>
              <w:t xml:space="preserve">775</w:t>
            </w:r>
          </w:p>
        </w:tc>
      </w:tr>
      <w:tr>
        <w:tc>
          <w:tcPr/>
          <w:p>
            <w:pPr>
              <w:pStyle w:val="Compact"/>
              <w:jc w:val="left"/>
            </w:pPr>
            <w:r>
              <w:t xml:space="preserve">Trades/month (avg)</w:t>
            </w:r>
          </w:p>
        </w:tc>
        <w:tc>
          <w:tcPr/>
          <w:p>
            <w:pPr>
              <w:pStyle w:val="Compact"/>
              <w:jc w:val="right"/>
            </w:pPr>
            <w:r>
              <w:t xml:space="preserve">252</w:t>
            </w:r>
          </w:p>
        </w:tc>
        <w:tc>
          <w:tcPr/>
          <w:p>
            <w:pPr>
              <w:pStyle w:val="Compact"/>
              <w:jc w:val="right"/>
            </w:pPr>
            <w:r>
              <w:t xml:space="preserve">476</w:t>
            </w:r>
          </w:p>
        </w:tc>
        <w:tc>
          <w:tcPr/>
          <w:p>
            <w:pPr>
              <w:pStyle w:val="Compact"/>
              <w:jc w:val="right"/>
            </w:pPr>
            <w:r>
              <w:t xml:space="preserve">714</w:t>
            </w:r>
          </w:p>
        </w:tc>
        <w:tc>
          <w:tcPr/>
          <w:p>
            <w:pPr>
              <w:pStyle w:val="Compact"/>
              <w:jc w:val="right"/>
            </w:pPr>
            <w:r>
              <w:t xml:space="preserve">924</w:t>
            </w:r>
          </w:p>
        </w:tc>
        <w:tc>
          <w:tcPr/>
          <w:p>
            <w:pPr>
              <w:pStyle w:val="Compact"/>
              <w:jc w:val="right"/>
            </w:pPr>
            <w:r>
              <w:t xml:space="preserve">1,085</w:t>
            </w:r>
          </w:p>
        </w:tc>
      </w:tr>
      <w:tr>
        <w:tc>
          <w:tcPr/>
          <w:p>
            <w:pPr>
              <w:pStyle w:val="Compact"/>
              <w:jc w:val="left"/>
            </w:pPr>
            <w:r>
              <w:t xml:space="preserve">Avg trade value (US</w:t>
            </w:r>
            <m:oMath>
              <m:r>
                <m:rPr>
                  <m:sty m:val="p"/>
                </m:rPr>
                <m:t>)</m:t>
              </m:r>
              <m:d>
                <m:dPr>
                  <m:begChr m:val="|"/>
                  <m:endChr m:val="|"/>
                  <m:sepChr m:val=""/>
                  <m:grow/>
                </m:dPr>
                <m:e>
                  <m:r>
                    <m:t>120</m:t>
                  </m:r>
                  <m:r>
                    <m:rPr>
                      <m:sty m:val="p"/>
                    </m:rPr>
                    <m:t>,</m:t>
                  </m:r>
                  <m:r>
                    <m:t>000</m:t>
                  </m:r>
                </m:e>
              </m:d>
              <m:r>
                <m:t>125</m:t>
              </m:r>
              <m:r>
                <m:rPr>
                  <m:sty m:val="p"/>
                </m:rPr>
                <m:t>,</m:t>
              </m:r>
              <m:r>
                <m:t>000</m:t>
              </m:r>
              <m:d>
                <m:dPr>
                  <m:begChr m:val="|"/>
                  <m:endChr m:val="|"/>
                  <m:sepChr m:val=""/>
                  <m:grow/>
                </m:dPr>
                <m:e>
                  <m:r>
                    <m:t>130</m:t>
                  </m:r>
                  <m:r>
                    <m:rPr>
                      <m:sty m:val="p"/>
                    </m:rPr>
                    <m:t>,</m:t>
                  </m:r>
                  <m:r>
                    <m:t>000</m:t>
                  </m:r>
                </m:e>
              </m:d>
              <m:r>
                <m:t>135</m:t>
              </m:r>
              <m:r>
                <m:rPr>
                  <m:sty m:val="p"/>
                </m:rPr>
                <m:t>,</m:t>
              </m:r>
              <m:r>
                <m:t>000</m:t>
              </m:r>
              <m:d>
                <m:dPr>
                  <m:begChr m:val="|"/>
                  <m:endChr m:val="|"/>
                  <m:sepChr m:val=""/>
                  <m:grow/>
                </m:dPr>
                <m:e>
                  <m:r>
                    <m:t>140</m:t>
                  </m:r>
                  <m:r>
                    <m:rPr>
                      <m:sty m:val="p"/>
                    </m:rPr>
                    <m:t>,</m:t>
                  </m:r>
                  <m:r>
                    <m:t>000</m:t>
                  </m:r>
                </m:e>
              </m:d>
              <m:r>
                <m:rPr>
                  <m:sty m:val="p"/>
                </m:rPr>
                <m:t>|</m:t>
              </m:r>
              <m:r>
                <m:t>T</m:t>
              </m:r>
              <m:r>
                <m:t>o</m:t>
              </m:r>
              <m:r>
                <m:t>t</m:t>
              </m:r>
              <m:r>
                <m:t>a</m:t>
              </m:r>
              <m:r>
                <m:t>l</m:t>
              </m:r>
              <m:r>
                <m:t>t</m:t>
              </m:r>
              <m:r>
                <m:t>r</m:t>
              </m:r>
              <m:r>
                <m:t>a</m:t>
              </m:r>
              <m:r>
                <m:t>d</m:t>
              </m:r>
              <m:r>
                <m:t>e</m:t>
              </m:r>
              <m:r>
                <m:t>v</m:t>
              </m:r>
              <m:r>
                <m:t>a</m:t>
              </m:r>
              <m:r>
                <m:t>l</m:t>
              </m:r>
              <m:r>
                <m:t>u</m:t>
              </m:r>
              <m:r>
                <m:t>e</m:t>
              </m:r>
              <m:r>
                <m:rPr>
                  <m:sty m:val="p"/>
                </m:rPr>
                <m:t>(</m:t>
              </m:r>
              <m:r>
                <m:t>U</m:t>
              </m:r>
              <m:r>
                <m:t>S</m:t>
              </m:r>
            </m:oMath>
            <w:r>
              <w:t xml:space="preserve">M)</w:t>
            </w:r>
          </w:p>
        </w:tc>
        <w:tc>
          <w:tcPr/>
          <w:p>
            <w:pPr>
              <w:pStyle w:val="Compact"/>
              <w:jc w:val="right"/>
            </w:pPr>
            <w:r>
              <w:t xml:space="preserve">362.9</w:t>
            </w:r>
          </w:p>
        </w:tc>
        <w:tc>
          <w:tcPr/>
          <w:p>
            <w:pPr>
              <w:pStyle w:val="Compact"/>
              <w:jc w:val="right"/>
            </w:pPr>
            <w:r>
              <w:t xml:space="preserve">713.4</w:t>
            </w:r>
          </w:p>
        </w:tc>
        <w:tc>
          <w:tcPr/>
          <w:p>
            <w:pPr>
              <w:pStyle w:val="Compact"/>
              <w:jc w:val="right"/>
            </w:pPr>
            <w:r>
              <w:t xml:space="preserve">1,114.2</w:t>
            </w:r>
          </w:p>
        </w:tc>
        <w:tc>
          <w:tcPr/>
          <w:p>
            <w:pPr>
              <w:pStyle w:val="Compact"/>
              <w:jc w:val="right"/>
            </w:pPr>
            <w:r>
              <w:t xml:space="preserve">1,496.7</w:t>
            </w:r>
          </w:p>
        </w:tc>
        <w:tc>
          <w:tcPr/>
          <w:p>
            <w:pPr>
              <w:pStyle w:val="Compact"/>
              <w:jc w:val="right"/>
            </w:pPr>
            <w:r>
              <w:t xml:space="preserve">1,822.2</w:t>
            </w:r>
          </w:p>
        </w:tc>
      </w:tr>
      <w:tr>
        <w:tc>
          <w:tcPr/>
          <w:p>
            <w:pPr>
              <w:pStyle w:val="Compact"/>
              <w:jc w:val="left"/>
            </w:pPr>
            <w:r>
              <w:t xml:space="preserve">Transaction fees (0.20% both sides)</w:t>
            </w:r>
          </w:p>
        </w:tc>
        <w:tc>
          <w:tcPr/>
          <w:p>
            <w:pPr>
              <w:pStyle w:val="Compact"/>
              <w:jc w:val="right"/>
            </w:pPr>
            <w:r>
              <w:t xml:space="preserve">725,800</w:t>
            </w:r>
          </w:p>
        </w:tc>
        <w:tc>
          <w:tcPr/>
          <w:p>
            <w:pPr>
              <w:pStyle w:val="Compact"/>
              <w:jc w:val="right"/>
            </w:pPr>
            <w:r>
              <w:t xml:space="preserve">1,426,800</w:t>
            </w:r>
          </w:p>
        </w:tc>
        <w:tc>
          <w:tcPr/>
          <w:p>
            <w:pPr>
              <w:pStyle w:val="Compact"/>
              <w:jc w:val="right"/>
            </w:pPr>
            <w:r>
              <w:t xml:space="preserve">2,228,400</w:t>
            </w:r>
          </w:p>
        </w:tc>
        <w:tc>
          <w:tcPr/>
          <w:p>
            <w:pPr>
              <w:pStyle w:val="Compact"/>
              <w:jc w:val="right"/>
            </w:pPr>
            <w:r>
              <w:t xml:space="preserve">2,993,400</w:t>
            </w:r>
          </w:p>
        </w:tc>
        <w:tc>
          <w:tcPr/>
          <w:p>
            <w:pPr>
              <w:pStyle w:val="Compact"/>
              <w:jc w:val="right"/>
            </w:pPr>
            <w:r>
              <w:t xml:space="preserve">3,644,400</w:t>
            </w:r>
          </w:p>
        </w:tc>
      </w:tr>
      <w:tr>
        <w:tc>
          <w:tcPr/>
          <w:p>
            <w:pPr>
              <w:pStyle w:val="Compact"/>
              <w:jc w:val="left"/>
            </w:pPr>
            <w:r>
              <w:t xml:space="preserve">Subscription revenue (Pro + Ent)</w:t>
            </w:r>
          </w:p>
        </w:tc>
        <w:tc>
          <w:tcPr/>
          <w:p>
            <w:pPr>
              <w:pStyle w:val="Compact"/>
              <w:jc w:val="right"/>
            </w:pPr>
            <w:r>
              <w:t xml:space="preserve">112,000</w:t>
            </w:r>
          </w:p>
        </w:tc>
        <w:tc>
          <w:tcPr/>
          <w:p>
            <w:pPr>
              <w:pStyle w:val="Compact"/>
              <w:jc w:val="right"/>
            </w:pPr>
            <w:r>
              <w:t xml:space="preserve">215,000</w:t>
            </w:r>
          </w:p>
        </w:tc>
        <w:tc>
          <w:tcPr/>
          <w:p>
            <w:pPr>
              <w:pStyle w:val="Compact"/>
              <w:jc w:val="right"/>
            </w:pPr>
            <w:r>
              <w:t xml:space="preserve">328,000</w:t>
            </w:r>
          </w:p>
        </w:tc>
        <w:tc>
          <w:tcPr/>
          <w:p>
            <w:pPr>
              <w:pStyle w:val="Compact"/>
              <w:jc w:val="right"/>
            </w:pPr>
            <w:r>
              <w:t xml:space="preserve">445,000</w:t>
            </w:r>
          </w:p>
        </w:tc>
        <w:tc>
          <w:tcPr/>
          <w:p>
            <w:pPr>
              <w:pStyle w:val="Compact"/>
              <w:jc w:val="right"/>
            </w:pPr>
            <w:r>
              <w:t xml:space="preserve">532,000</w:t>
            </w:r>
          </w:p>
        </w:tc>
      </w:tr>
      <w:tr>
        <w:tc>
          <w:tcPr/>
          <w:p>
            <w:pPr>
              <w:pStyle w:val="Compact"/>
              <w:jc w:val="left"/>
            </w:pPr>
            <w:r>
              <w:t xml:space="preserve">Digital contract fees ($25/trade)</w:t>
            </w:r>
          </w:p>
        </w:tc>
        <w:tc>
          <w:tcPr/>
          <w:p>
            <w:pPr>
              <w:pStyle w:val="Compact"/>
              <w:jc w:val="right"/>
            </w:pPr>
            <w:r>
              <w:t xml:space="preserve">75,600</w:t>
            </w:r>
          </w:p>
        </w:tc>
        <w:tc>
          <w:tcPr/>
          <w:p>
            <w:pPr>
              <w:pStyle w:val="Compact"/>
              <w:jc w:val="right"/>
            </w:pPr>
            <w:r>
              <w:t xml:space="preserve">142,800</w:t>
            </w:r>
          </w:p>
        </w:tc>
        <w:tc>
          <w:tcPr/>
          <w:p>
            <w:pPr>
              <w:pStyle w:val="Compact"/>
              <w:jc w:val="right"/>
            </w:pPr>
            <w:r>
              <w:t xml:space="preserve">214,200</w:t>
            </w:r>
          </w:p>
        </w:tc>
        <w:tc>
          <w:tcPr/>
          <w:p>
            <w:pPr>
              <w:pStyle w:val="Compact"/>
              <w:jc w:val="right"/>
            </w:pPr>
            <w:r>
              <w:t xml:space="preserve">277,200</w:t>
            </w:r>
          </w:p>
        </w:tc>
        <w:tc>
          <w:tcPr/>
          <w:p>
            <w:pPr>
              <w:pStyle w:val="Compact"/>
              <w:jc w:val="right"/>
            </w:pPr>
            <w:r>
              <w:t xml:space="preserve">325,500</w:t>
            </w:r>
          </w:p>
        </w:tc>
      </w:tr>
      <w:tr>
        <w:tc>
          <w:tcPr/>
          <w:p>
            <w:pPr>
              <w:pStyle w:val="Compact"/>
              <w:jc w:val="left"/>
            </w:pPr>
            <w:r>
              <w:t xml:space="preserve">Escrow fees (0.05% × trade value)</w:t>
            </w:r>
          </w:p>
        </w:tc>
        <w:tc>
          <w:tcPr/>
          <w:p>
            <w:pPr>
              <w:pStyle w:val="Compact"/>
              <w:jc w:val="right"/>
            </w:pPr>
            <w:r>
              <w:t xml:space="preserve">181,450</w:t>
            </w:r>
          </w:p>
        </w:tc>
        <w:tc>
          <w:tcPr/>
          <w:p>
            <w:pPr>
              <w:pStyle w:val="Compact"/>
              <w:jc w:val="right"/>
            </w:pPr>
            <w:r>
              <w:t xml:space="preserve">356,700</w:t>
            </w:r>
          </w:p>
        </w:tc>
        <w:tc>
          <w:tcPr/>
          <w:p>
            <w:pPr>
              <w:pStyle w:val="Compact"/>
              <w:jc w:val="right"/>
            </w:pPr>
            <w:r>
              <w:t xml:space="preserve">557,100</w:t>
            </w:r>
          </w:p>
        </w:tc>
        <w:tc>
          <w:tcPr/>
          <w:p>
            <w:pPr>
              <w:pStyle w:val="Compact"/>
              <w:jc w:val="right"/>
            </w:pPr>
            <w:r>
              <w:t xml:space="preserve">748,350</w:t>
            </w:r>
          </w:p>
        </w:tc>
        <w:tc>
          <w:tcPr/>
          <w:p>
            <w:pPr>
              <w:pStyle w:val="Compact"/>
              <w:jc w:val="right"/>
            </w:pPr>
            <w:r>
              <w:t xml:space="preserve">911,100</w:t>
            </w:r>
          </w:p>
        </w:tc>
      </w:tr>
      <w:tr>
        <w:tc>
          <w:tcPr/>
          <w:p>
            <w:pPr>
              <w:pStyle w:val="Compact"/>
              <w:jc w:val="left"/>
            </w:pPr>
            <w:r>
              <w:t xml:space="preserve">Featured listing + RFQ fees</w:t>
            </w:r>
          </w:p>
        </w:tc>
        <w:tc>
          <w:tcPr/>
          <w:p>
            <w:pPr>
              <w:pStyle w:val="Compact"/>
              <w:jc w:val="right"/>
            </w:pPr>
            <w:r>
              <w:t xml:space="preserve">48,000</w:t>
            </w:r>
          </w:p>
        </w:tc>
        <w:tc>
          <w:tcPr/>
          <w:p>
            <w:pPr>
              <w:pStyle w:val="Compact"/>
              <w:jc w:val="right"/>
            </w:pPr>
            <w:r>
              <w:t xml:space="preserve">96,000</w:t>
            </w:r>
          </w:p>
        </w:tc>
        <w:tc>
          <w:tcPr/>
          <w:p>
            <w:pPr>
              <w:pStyle w:val="Compact"/>
              <w:jc w:val="right"/>
            </w:pPr>
            <w:r>
              <w:t xml:space="preserve">156,000</w:t>
            </w:r>
          </w:p>
        </w:tc>
        <w:tc>
          <w:tcPr/>
          <w:p>
            <w:pPr>
              <w:pStyle w:val="Compact"/>
              <w:jc w:val="right"/>
            </w:pPr>
            <w:r>
              <w:t xml:space="preserve">228,000</w:t>
            </w:r>
          </w:p>
        </w:tc>
        <w:tc>
          <w:tcPr/>
          <w:p>
            <w:pPr>
              <w:pStyle w:val="Compact"/>
              <w:jc w:val="right"/>
            </w:pPr>
            <w:r>
              <w:t xml:space="preserve">288,000</w:t>
            </w:r>
          </w:p>
        </w:tc>
      </w:tr>
      <w:tr>
        <w:tc>
          <w:tcPr/>
          <w:p>
            <w:pPr>
              <w:pStyle w:val="Compact"/>
              <w:jc w:val="left"/>
            </w:pPr>
            <w:r>
              <w:t xml:space="preserve">Logistics coordination (Phase 3+)</w:t>
            </w:r>
          </w:p>
        </w:tc>
        <w:tc>
          <w:tcPr/>
          <w:p>
            <w:pPr>
              <w:pStyle w:val="Compact"/>
              <w:jc w:val="right"/>
            </w:pPr>
            <w:r>
              <w:t xml:space="preserve">—</w:t>
            </w:r>
          </w:p>
        </w:tc>
        <w:tc>
          <w:tcPr/>
          <w:p>
            <w:pPr>
              <w:pStyle w:val="Compact"/>
              <w:jc w:val="right"/>
            </w:pPr>
            <w:r>
              <w:t xml:space="preserve">61,200</w:t>
            </w:r>
          </w:p>
        </w:tc>
        <w:tc>
          <w:tcPr/>
          <w:p>
            <w:pPr>
              <w:pStyle w:val="Compact"/>
              <w:jc w:val="right"/>
            </w:pPr>
            <w:r>
              <w:t xml:space="preserve">193,000</w:t>
            </w:r>
          </w:p>
        </w:tc>
        <w:tc>
          <w:tcPr/>
          <w:p>
            <w:pPr>
              <w:pStyle w:val="Compact"/>
              <w:jc w:val="right"/>
            </w:pPr>
            <w:r>
              <w:t xml:space="preserve">388,000</w:t>
            </w:r>
          </w:p>
        </w:tc>
        <w:tc>
          <w:tcPr/>
          <w:p>
            <w:pPr>
              <w:pStyle w:val="Compact"/>
              <w:jc w:val="right"/>
            </w:pPr>
            <w:r>
              <w:t xml:space="preserve">553,000</w:t>
            </w:r>
          </w:p>
        </w:tc>
      </w:tr>
      <w:tr>
        <w:tc>
          <w:tcPr/>
          <w:p>
            <w:pPr>
              <w:pStyle w:val="Compact"/>
              <w:jc w:val="left"/>
            </w:pPr>
            <w:r>
              <w:rPr>
                <w:b/>
                <w:bCs/>
              </w:rPr>
              <w:t xml:space="preserve">Gross platform revenue</w:t>
            </w:r>
          </w:p>
        </w:tc>
        <w:tc>
          <w:tcPr/>
          <w:p>
            <w:pPr>
              <w:pStyle w:val="Compact"/>
              <w:jc w:val="right"/>
            </w:pPr>
            <w:r>
              <w:rPr>
                <w:b/>
                <w:bCs/>
              </w:rPr>
              <w:t xml:space="preserve">1,142,850</w:t>
            </w:r>
          </w:p>
        </w:tc>
        <w:tc>
          <w:tcPr/>
          <w:p>
            <w:pPr>
              <w:pStyle w:val="Compact"/>
              <w:jc w:val="right"/>
            </w:pPr>
            <w:r>
              <w:rPr>
                <w:b/>
                <w:bCs/>
              </w:rPr>
              <w:t xml:space="preserve">2,298,300</w:t>
            </w:r>
          </w:p>
        </w:tc>
        <w:tc>
          <w:tcPr/>
          <w:p>
            <w:pPr>
              <w:pStyle w:val="Compact"/>
              <w:jc w:val="right"/>
            </w:pPr>
            <w:r>
              <w:rPr>
                <w:b/>
                <w:bCs/>
              </w:rPr>
              <w:t xml:space="preserve">3,676,700</w:t>
            </w:r>
          </w:p>
        </w:tc>
        <w:tc>
          <w:tcPr/>
          <w:p>
            <w:pPr>
              <w:pStyle w:val="Compact"/>
              <w:jc w:val="right"/>
            </w:pPr>
            <w:r>
              <w:rPr>
                <w:b/>
                <w:bCs/>
              </w:rPr>
              <w:t xml:space="preserve">5,079,950</w:t>
            </w:r>
          </w:p>
        </w:tc>
        <w:tc>
          <w:tcPr/>
          <w:p>
            <w:pPr>
              <w:pStyle w:val="Compact"/>
              <w:jc w:val="right"/>
            </w:pPr>
            <w:r>
              <w:rPr>
                <w:b/>
                <w:bCs/>
              </w:rPr>
              <w:t xml:space="preserve">6,254,000</w:t>
            </w:r>
          </w:p>
        </w:tc>
      </w:tr>
      <w:tr>
        <w:tc>
          <w:tcPr/>
          <w:p>
            <w:pPr>
              <w:pStyle w:val="Compact"/>
              <w:jc w:val="left"/>
            </w:pPr>
            <w:r>
              <w:t xml:space="preserve">Less refunds/chargebacks (1%)</w:t>
            </w:r>
          </w:p>
        </w:tc>
        <w:tc>
          <w:tcPr/>
          <w:p>
            <w:pPr>
              <w:pStyle w:val="Compact"/>
              <w:jc w:val="right"/>
            </w:pPr>
            <w:r>
              <w:t xml:space="preserve">(11,428)</w:t>
            </w:r>
          </w:p>
        </w:tc>
        <w:tc>
          <w:tcPr/>
          <w:p>
            <w:pPr>
              <w:pStyle w:val="Compact"/>
              <w:jc w:val="right"/>
            </w:pPr>
            <w:r>
              <w:t xml:space="preserve">(22,983)</w:t>
            </w:r>
          </w:p>
        </w:tc>
        <w:tc>
          <w:tcPr/>
          <w:p>
            <w:pPr>
              <w:pStyle w:val="Compact"/>
              <w:jc w:val="right"/>
            </w:pPr>
            <w:r>
              <w:t xml:space="preserve">(36,767)</w:t>
            </w:r>
          </w:p>
        </w:tc>
        <w:tc>
          <w:tcPr/>
          <w:p>
            <w:pPr>
              <w:pStyle w:val="Compact"/>
              <w:jc w:val="right"/>
            </w:pPr>
            <w:r>
              <w:t xml:space="preserve">(50,800)</w:t>
            </w:r>
          </w:p>
        </w:tc>
        <w:tc>
          <w:tcPr/>
          <w:p>
            <w:pPr>
              <w:pStyle w:val="Compact"/>
              <w:jc w:val="right"/>
            </w:pPr>
            <w:r>
              <w:t xml:space="preserve">(62,540)</w:t>
            </w:r>
          </w:p>
        </w:tc>
      </w:tr>
      <w:tr>
        <w:tc>
          <w:tcPr/>
          <w:p>
            <w:pPr>
              <w:pStyle w:val="Compact"/>
              <w:jc w:val="left"/>
            </w:pPr>
            <w:r>
              <w:rPr>
                <w:b/>
                <w:bCs/>
              </w:rPr>
              <w:t xml:space="preserve">Net platform revenue</w:t>
            </w:r>
          </w:p>
        </w:tc>
        <w:tc>
          <w:tcPr/>
          <w:p>
            <w:pPr>
              <w:pStyle w:val="Compact"/>
              <w:jc w:val="right"/>
            </w:pPr>
            <w:r>
              <w:rPr>
                <w:b/>
                <w:bCs/>
              </w:rPr>
              <w:t xml:space="preserve">1,131,422</w:t>
            </w:r>
          </w:p>
        </w:tc>
        <w:tc>
          <w:tcPr/>
          <w:p>
            <w:pPr>
              <w:pStyle w:val="Compact"/>
              <w:jc w:val="right"/>
            </w:pPr>
            <w:r>
              <w:rPr>
                <w:b/>
                <w:bCs/>
              </w:rPr>
              <w:t xml:space="preserve">2,275,317</w:t>
            </w:r>
          </w:p>
        </w:tc>
        <w:tc>
          <w:tcPr/>
          <w:p>
            <w:pPr>
              <w:pStyle w:val="Compact"/>
              <w:jc w:val="right"/>
            </w:pPr>
            <w:r>
              <w:rPr>
                <w:b/>
                <w:bCs/>
              </w:rPr>
              <w:t xml:space="preserve">3,639,933</w:t>
            </w:r>
          </w:p>
        </w:tc>
        <w:tc>
          <w:tcPr/>
          <w:p>
            <w:pPr>
              <w:pStyle w:val="Compact"/>
              <w:jc w:val="right"/>
            </w:pPr>
            <w:r>
              <w:rPr>
                <w:b/>
                <w:bCs/>
              </w:rPr>
              <w:t xml:space="preserve">5,029,150</w:t>
            </w:r>
          </w:p>
        </w:tc>
        <w:tc>
          <w:tcPr/>
          <w:p>
            <w:pPr>
              <w:pStyle w:val="Compact"/>
              <w:jc w:val="right"/>
            </w:pPr>
            <w:r>
              <w:rPr>
                <w:b/>
                <w:bCs/>
              </w:rPr>
              <w:t xml:space="preserve">6,191,460</w:t>
            </w:r>
          </w:p>
        </w:tc>
      </w:tr>
      <w:tr>
        <w:tc>
          <w:tcPr/>
          <w:p>
            <w:pPr>
              <w:pStyle w:val="Compact"/>
              <w:jc w:val="left"/>
            </w:pPr>
            <w:r>
              <w:t xml:space="preserve">Smart Innovations share (70%)</w:t>
            </w:r>
          </w:p>
        </w:tc>
        <w:tc>
          <w:tcPr/>
          <w:p>
            <w:pPr>
              <w:pStyle w:val="Compact"/>
              <w:jc w:val="right"/>
            </w:pPr>
            <w:r>
              <w:t xml:space="preserve">791,995</w:t>
            </w:r>
          </w:p>
        </w:tc>
        <w:tc>
          <w:tcPr/>
          <w:p>
            <w:pPr>
              <w:pStyle w:val="Compact"/>
              <w:jc w:val="right"/>
            </w:pPr>
            <w:r>
              <w:t xml:space="preserve">1,592,722</w:t>
            </w:r>
          </w:p>
        </w:tc>
        <w:tc>
          <w:tcPr/>
          <w:p>
            <w:pPr>
              <w:pStyle w:val="Compact"/>
              <w:jc w:val="right"/>
            </w:pPr>
            <w:r>
              <w:t xml:space="preserve">2,547,953</w:t>
            </w:r>
          </w:p>
        </w:tc>
        <w:tc>
          <w:tcPr/>
          <w:p>
            <w:pPr>
              <w:pStyle w:val="Compact"/>
              <w:jc w:val="right"/>
            </w:pPr>
            <w:r>
              <w:t xml:space="preserve">3,520,405</w:t>
            </w:r>
          </w:p>
        </w:tc>
        <w:tc>
          <w:tcPr/>
          <w:p>
            <w:pPr>
              <w:pStyle w:val="Compact"/>
              <w:jc w:val="right"/>
            </w:pPr>
            <w:r>
              <w:t xml:space="preserve">4,334,022</w:t>
            </w:r>
          </w:p>
        </w:tc>
      </w:tr>
      <w:tr>
        <w:tc>
          <w:tcPr/>
          <w:p>
            <w:pPr>
              <w:pStyle w:val="Compact"/>
              <w:jc w:val="left"/>
            </w:pPr>
            <w:r>
              <w:t xml:space="preserve">Chamber share (30%)</w:t>
            </w:r>
          </w:p>
        </w:tc>
        <w:tc>
          <w:tcPr/>
          <w:p>
            <w:pPr>
              <w:pStyle w:val="Compact"/>
              <w:jc w:val="right"/>
            </w:pPr>
            <w:r>
              <w:t xml:space="preserve">339,427</w:t>
            </w:r>
          </w:p>
        </w:tc>
        <w:tc>
          <w:tcPr/>
          <w:p>
            <w:pPr>
              <w:pStyle w:val="Compact"/>
              <w:jc w:val="right"/>
            </w:pPr>
            <w:r>
              <w:t xml:space="preserve">682,595</w:t>
            </w:r>
          </w:p>
        </w:tc>
        <w:tc>
          <w:tcPr/>
          <w:p>
            <w:pPr>
              <w:pStyle w:val="Compact"/>
              <w:jc w:val="right"/>
            </w:pPr>
            <w:r>
              <w:t xml:space="preserve">1,091,980</w:t>
            </w:r>
          </w:p>
        </w:tc>
        <w:tc>
          <w:tcPr/>
          <w:p>
            <w:pPr>
              <w:pStyle w:val="Compact"/>
              <w:jc w:val="right"/>
            </w:pPr>
            <w:r>
              <w:t xml:space="preserve">1,508,745</w:t>
            </w:r>
          </w:p>
        </w:tc>
        <w:tc>
          <w:tcPr/>
          <w:p>
            <w:pPr>
              <w:pStyle w:val="Compact"/>
              <w:jc w:val="right"/>
            </w:pPr>
            <w:r>
              <w:t xml:space="preserve">1,857,438</w:t>
            </w:r>
          </w:p>
        </w:tc>
      </w:tr>
    </w:tbl>
    <w:p>
      <w:pPr>
        <w:pStyle w:val="BodyText"/>
      </w:pPr>
      <w:r>
        <w:rPr>
          <w:b/>
          <w:bCs/>
        </w:rPr>
        <w:t xml:space="preserve">Churn &amp; Net Revenue Retention:</w:t>
      </w:r>
      <w:r>
        <w:t xml:space="preserve"> </w:t>
      </w:r>
      <w:r>
        <w:t xml:space="preserve">Annual churn modeled at</w:t>
      </w:r>
      <w:r>
        <w:t xml:space="preserve"> </w:t>
      </w:r>
      <w:r>
        <w:rPr>
          <w:b/>
          <w:bCs/>
        </w:rPr>
        <w:t xml:space="preserve">12% blended</w:t>
      </w:r>
      <w:r>
        <w:t xml:space="preserve"> </w:t>
      </w:r>
      <w:r>
        <w:t xml:space="preserve">(15% buyer / 8% seller). Net Revenue Retention at</w:t>
      </w:r>
      <w:r>
        <w:t xml:space="preserve"> </w:t>
      </w:r>
      <w:r>
        <w:rPr>
          <w:b/>
          <w:bCs/>
        </w:rPr>
        <w:t xml:space="preserve">110%</w:t>
      </w:r>
      <w:r>
        <w:t xml:space="preserve"> </w:t>
      </w:r>
      <w:r>
        <w:t xml:space="preserve">(tier upgrades + VAS adoption + per-account volume growth offset churn). NRR of 110% is conservative versus best-in-class B2B SaaS (115–125%) but appropriate for a regulated product.</w:t>
      </w:r>
    </w:p>
    <w:bookmarkEnd w:id="35"/>
    <w:bookmarkStart w:id="36" w:name="e.-key-financial-metrics"/>
    <w:p>
      <w:pPr>
        <w:pStyle w:val="Heading3"/>
      </w:pPr>
      <w:r>
        <w:t xml:space="preserve">E. Key Financial Metrics</w:t>
      </w:r>
    </w:p>
    <w:p>
      <w:pPr>
        <w:pStyle w:val="FirstParagraph"/>
      </w:pPr>
      <w:r>
        <w:rPr>
          <w:b/>
          <w:bCs/>
        </w:rPr>
        <w:t xml:space="preserve">Table 4.3 — Key Financial Metrics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 / Benchmark</w:t>
            </w:r>
          </w:p>
        </w:tc>
        <w:tc>
          <w:tcPr/>
          <w:p>
            <w:pPr>
              <w:pStyle w:val="Compact"/>
              <w:jc w:val="left"/>
            </w:pPr>
            <w:r>
              <w:t xml:space="preserve">Status</w:t>
            </w:r>
          </w:p>
        </w:tc>
      </w:tr>
      <w:tr>
        <w:tc>
          <w:tcPr/>
          <w:p>
            <w:pPr>
              <w:pStyle w:val="Compact"/>
              <w:jc w:val="left"/>
            </w:pPr>
            <w:r>
              <w:t xml:space="preserve">CAC (per paying member)</w:t>
            </w:r>
          </w:p>
        </w:tc>
        <w:tc>
          <w:tcPr/>
          <w:p>
            <w:pPr>
              <w:pStyle w:val="Compact"/>
              <w:jc w:val="left"/>
            </w:pPr>
            <w:r>
              <w:t xml:space="preserve">US$847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LTV (blended cohort)</w:t>
            </w:r>
          </w:p>
        </w:tc>
        <w:tc>
          <w:tcPr/>
          <w:p>
            <w:pPr>
              <w:pStyle w:val="Compact"/>
              <w:jc w:val="left"/>
            </w:pPr>
            <w:r>
              <w:t xml:space="preserve">US$12,400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LTV:CAC ratio</w:t>
            </w:r>
          </w:p>
        </w:tc>
        <w:tc>
          <w:tcPr/>
          <w:p>
            <w:pPr>
              <w:pStyle w:val="Compact"/>
              <w:jc w:val="left"/>
            </w:pPr>
            <w:r>
              <w:t xml:space="preserve">14.6 : 1</w:t>
            </w:r>
          </w:p>
        </w:tc>
        <w:tc>
          <w:tcPr/>
          <w:p>
            <w:pPr>
              <w:pStyle w:val="Compact"/>
              <w:jc w:val="left"/>
            </w:pPr>
            <w:r>
              <w:t xml:space="preserve">≥ 3 : 1</w:t>
            </w:r>
          </w:p>
        </w:tc>
        <w:tc>
          <w:tcPr/>
          <w:p>
            <w:pPr>
              <w:pStyle w:val="Compact"/>
              <w:jc w:val="left"/>
            </w:pPr>
            <w:r>
              <w:rPr>
                <w:b/>
                <w:bCs/>
              </w:rPr>
              <w:t xml:space="preserve">Pass</w:t>
            </w:r>
          </w:p>
        </w:tc>
      </w:tr>
      <w:tr>
        <w:tc>
          <w:tcPr/>
          <w:p>
            <w:pPr>
              <w:pStyle w:val="Compact"/>
              <w:jc w:val="left"/>
            </w:pPr>
            <w:r>
              <w:t xml:space="preserve">CAC payback period</w:t>
            </w:r>
          </w:p>
        </w:tc>
        <w:tc>
          <w:tcPr/>
          <w:p>
            <w:pPr>
              <w:pStyle w:val="Compact"/>
              <w:jc w:val="left"/>
            </w:pPr>
            <w:r>
              <w:t xml:space="preserve">8.2 months</w:t>
            </w:r>
          </w:p>
        </w:tc>
        <w:tc>
          <w:tcPr/>
          <w:p>
            <w:pPr>
              <w:pStyle w:val="Compact"/>
              <w:jc w:val="left"/>
            </w:pPr>
            <w:r>
              <w:t xml:space="preserve">≤ 12 months</w:t>
            </w:r>
          </w:p>
        </w:tc>
        <w:tc>
          <w:tcPr/>
          <w:p>
            <w:pPr>
              <w:pStyle w:val="Compact"/>
              <w:jc w:val="left"/>
            </w:pPr>
            <w:r>
              <w:rPr>
                <w:b/>
                <w:bCs/>
              </w:rPr>
              <w:t xml:space="preserve">Pass</w:t>
            </w:r>
          </w:p>
        </w:tc>
      </w:tr>
      <w:tr>
        <w:tc>
          <w:tcPr/>
          <w:p>
            <w:pPr>
              <w:pStyle w:val="Compact"/>
              <w:jc w:val="left"/>
            </w:pPr>
            <w:r>
              <w:t xml:space="preserve">Annual churn (blended)</w:t>
            </w:r>
          </w:p>
        </w:tc>
        <w:tc>
          <w:tcPr/>
          <w:p>
            <w:pPr>
              <w:pStyle w:val="Compact"/>
              <w:jc w:val="left"/>
            </w:pPr>
            <w:r>
              <w:t xml:space="preserve">12%</w:t>
            </w:r>
          </w:p>
        </w:tc>
        <w:tc>
          <w:tcPr/>
          <w:p>
            <w:pPr>
              <w:pStyle w:val="Compact"/>
              <w:jc w:val="left"/>
            </w:pPr>
            <w:r>
              <w:t xml:space="preserve">≤ 15%</w:t>
            </w:r>
          </w:p>
        </w:tc>
        <w:tc>
          <w:tcPr/>
          <w:p>
            <w:pPr>
              <w:pStyle w:val="Compact"/>
              <w:jc w:val="left"/>
            </w:pPr>
            <w:r>
              <w:rPr>
                <w:b/>
                <w:bCs/>
              </w:rPr>
              <w:t xml:space="preserve">Pass</w:t>
            </w:r>
          </w:p>
        </w:tc>
      </w:tr>
      <w:tr>
        <w:tc>
          <w:tcPr/>
          <w:p>
            <w:pPr>
              <w:pStyle w:val="Compact"/>
              <w:jc w:val="left"/>
            </w:pPr>
            <w:r>
              <w:t xml:space="preserve">Net Revenue Retention</w:t>
            </w:r>
          </w:p>
        </w:tc>
        <w:tc>
          <w:tcPr/>
          <w:p>
            <w:pPr>
              <w:pStyle w:val="Compact"/>
              <w:jc w:val="left"/>
            </w:pPr>
            <w:r>
              <w:t xml:space="preserve">110%</w:t>
            </w:r>
          </w:p>
        </w:tc>
        <w:tc>
          <w:tcPr/>
          <w:p>
            <w:pPr>
              <w:pStyle w:val="Compact"/>
              <w:jc w:val="left"/>
            </w:pPr>
            <w:r>
              <w:t xml:space="preserve">≥ 100%</w:t>
            </w:r>
          </w:p>
        </w:tc>
        <w:tc>
          <w:tcPr/>
          <w:p>
            <w:pPr>
              <w:pStyle w:val="Compact"/>
              <w:jc w:val="left"/>
            </w:pPr>
            <w:r>
              <w:rPr>
                <w:b/>
                <w:bCs/>
              </w:rPr>
              <w:t xml:space="preserve">Pass</w:t>
            </w:r>
          </w:p>
        </w:tc>
      </w:tr>
      <w:tr>
        <w:tc>
          <w:tcPr/>
          <w:p>
            <w:pPr>
              <w:pStyle w:val="Compact"/>
              <w:jc w:val="left"/>
            </w:pPr>
            <w:r>
              <w:t xml:space="preserve">Break-even month</w:t>
            </w:r>
          </w:p>
        </w:tc>
        <w:tc>
          <w:tcPr/>
          <w:p>
            <w:pPr>
              <w:pStyle w:val="Compact"/>
              <w:jc w:val="left"/>
            </w:pPr>
            <w:r>
              <w:t xml:space="preserve">Month 22 (Q3 2029)</w:t>
            </w:r>
          </w:p>
        </w:tc>
        <w:tc>
          <w:tcPr/>
          <w:p>
            <w:pPr>
              <w:pStyle w:val="Compact"/>
              <w:jc w:val="left"/>
            </w:pPr>
            <w:r>
              <w:t xml:space="preserve">≤ Month 24</w:t>
            </w:r>
          </w:p>
        </w:tc>
        <w:tc>
          <w:tcPr/>
          <w:p>
            <w:pPr>
              <w:pStyle w:val="Compact"/>
              <w:jc w:val="left"/>
            </w:pPr>
            <w:r>
              <w:rPr>
                <w:b/>
                <w:bCs/>
              </w:rPr>
              <w:t xml:space="preserve">Pass</w:t>
            </w:r>
          </w:p>
        </w:tc>
      </w:tr>
      <w:tr>
        <w:tc>
          <w:tcPr/>
          <w:p>
            <w:pPr>
              <w:pStyle w:val="Compact"/>
              <w:jc w:val="left"/>
            </w:pPr>
            <w:r>
              <w:t xml:space="preserve">5-year cumulative net revenue</w:t>
            </w:r>
          </w:p>
        </w:tc>
        <w:tc>
          <w:tcPr/>
          <w:p>
            <w:pPr>
              <w:pStyle w:val="Compact"/>
              <w:jc w:val="left"/>
            </w:pPr>
            <w:r>
              <w:t xml:space="preserve">US$8.7M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5-year cumulative OpEx</w:t>
            </w:r>
          </w:p>
        </w:tc>
        <w:tc>
          <w:tcPr/>
          <w:p>
            <w:pPr>
              <w:pStyle w:val="Compact"/>
              <w:jc w:val="left"/>
            </w:pPr>
            <w:r>
              <w:t xml:space="preserve">US$4.4M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5-year cumulative CapEx + OpEx</w:t>
            </w:r>
          </w:p>
        </w:tc>
        <w:tc>
          <w:tcPr/>
          <w:p>
            <w:pPr>
              <w:pStyle w:val="Compact"/>
              <w:jc w:val="left"/>
            </w:pPr>
            <w:r>
              <w:t xml:space="preserve">US$4.86M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5-year net contribution (Smart Innovations share)</w:t>
            </w:r>
          </w:p>
        </w:tc>
        <w:tc>
          <w:tcPr/>
          <w:p>
            <w:pPr>
              <w:pStyle w:val="Compact"/>
              <w:jc w:val="left"/>
            </w:pPr>
            <w:r>
              <w:t xml:space="preserve">US$4.05M</w:t>
            </w:r>
          </w:p>
        </w:tc>
        <w:tc>
          <w:tcPr/>
          <w:p>
            <w:pPr>
              <w:pStyle w:val="Compact"/>
              <w:jc w:val="left"/>
            </w:pPr>
            <w:r>
              <w:t xml:space="preserve">—</w:t>
            </w:r>
          </w:p>
        </w:tc>
        <w:tc>
          <w:tcPr/>
          <w:p>
            <w:pPr>
              <w:pStyle w:val="Compact"/>
              <w:jc w:val="left"/>
            </w:pPr>
            <w:r>
              <w:t xml:space="preserve">—</w:t>
            </w:r>
          </w:p>
        </w:tc>
      </w:tr>
    </w:tbl>
    <w:p>
      <w:pPr>
        <w:pStyle w:val="BodyText"/>
      </w:pPr>
      <w:r>
        <w:rPr>
          <w:b/>
          <w:bCs/>
        </w:rPr>
        <w:t xml:space="preserve">Break-Even Trajectory (Indexed to Q3 2027 Launch):</w:t>
      </w:r>
    </w:p>
    <w:tbl>
      <w:tblPr>
        <w:tblStyle w:val="Table"/>
        <w:tblW w:type="pct" w:w="5000"/>
        <w:jc w:val="left"/>
        <w:tblLayout w:type="fixed"/>
        <w:tblLook w:firstRow="1" w:lastRow="0" w:firstColumn="0" w:lastColumn="0" w:noHBand="0" w:noVBand="0" w:val="0020"/>
      </w:tblPr>
      <w:tblGrid>
        <w:gridCol w:w="1460"/>
        <w:gridCol w:w="1384"/>
        <w:gridCol w:w="2076"/>
        <w:gridCol w:w="1537"/>
        <w:gridCol w:w="1460"/>
      </w:tblGrid>
      <w:tr>
        <w:trPr>
          <w:tblHeader w:val="on"/>
        </w:trPr>
        <w:tc>
          <w:tcPr/>
          <w:p>
            <w:pPr>
              <w:pStyle w:val="Compact"/>
              <w:jc w:val="left"/>
            </w:pPr>
            <w:r>
              <w:t xml:space="preserve">Month Post-Launch</w:t>
            </w:r>
          </w:p>
        </w:tc>
        <w:tc>
          <w:tcPr/>
          <w:p>
            <w:pPr>
              <w:pStyle w:val="Compact"/>
              <w:jc w:val="left"/>
            </w:pPr>
            <w:r>
              <w:t xml:space="preserve">Calendar Quarter</w:t>
            </w:r>
          </w:p>
        </w:tc>
        <w:tc>
          <w:tcPr/>
          <w:p>
            <w:pPr>
              <w:pStyle w:val="Compact"/>
              <w:jc w:val="right"/>
            </w:pPr>
            <w:r>
              <w:t xml:space="preserve">Monthly Net Revenue (US</w:t>
            </w:r>
            <m:oMath>
              <m:r>
                <m:rPr>
                  <m:sty m:val="p"/>
                </m:rPr>
                <m:t>)</m:t>
              </m:r>
              <m:r>
                <m:rPr>
                  <m:sty m:val="p"/>
                </m:rPr>
                <m:t>|</m:t>
              </m:r>
              <m:r>
                <m:t>M</m:t>
              </m:r>
              <m:r>
                <m:t>o</m:t>
              </m:r>
              <m:r>
                <m:t>n</m:t>
              </m:r>
              <m:r>
                <m:t>t</m:t>
              </m:r>
              <m:r>
                <m:t>h</m:t>
              </m:r>
              <m:r>
                <m:t>l</m:t>
              </m:r>
              <m:r>
                <m:t>y</m:t>
              </m:r>
              <m:r>
                <m:t>O</m:t>
              </m:r>
              <m:r>
                <m:t>p</m:t>
              </m:r>
              <m:r>
                <m:t>E</m:t>
              </m:r>
              <m:r>
                <m:t>x</m:t>
              </m:r>
              <m:r>
                <m:rPr>
                  <m:sty m:val="p"/>
                </m:rPr>
                <m:t>(</m:t>
              </m:r>
              <m:r>
                <m:t>U</m:t>
              </m:r>
              <m:r>
                <m:t>S</m:t>
              </m:r>
            </m:oMath>
            <w:r>
              <w:t xml:space="preserve">)</w:t>
            </w:r>
          </w:p>
        </w:tc>
        <w:tc>
          <w:tcPr/>
          <w:p>
            <w:pPr>
              <w:pStyle w:val="Compact"/>
              <w:jc w:val="right"/>
            </w:pPr>
            <w:r>
              <w:t xml:space="preserve">Cumulative (US$)</w:t>
            </w:r>
          </w:p>
        </w:tc>
        <w:tc>
          <w:tcPr/>
          <w:p>
            <w:pPr>
              <w:pStyle w:val="Compact"/>
            </w:pPr>
          </w:p>
        </w:tc>
      </w:tr>
      <w:tr>
        <w:tc>
          <w:tcPr/>
          <w:p>
            <w:pPr>
              <w:pStyle w:val="Compact"/>
              <w:jc w:val="left"/>
            </w:pPr>
            <w:r>
              <w:t xml:space="preserve">Month 3</w:t>
            </w:r>
          </w:p>
        </w:tc>
        <w:tc>
          <w:tcPr/>
          <w:p>
            <w:pPr>
              <w:pStyle w:val="Compact"/>
              <w:jc w:val="left"/>
            </w:pPr>
            <w:r>
              <w:t xml:space="preserve">Q4 2027</w:t>
            </w:r>
          </w:p>
        </w:tc>
        <w:tc>
          <w:tcPr/>
          <w:p>
            <w:pPr>
              <w:pStyle w:val="Compact"/>
              <w:jc w:val="right"/>
            </w:pPr>
            <w:r>
              <w:t xml:space="preserve">12,400</w:t>
            </w:r>
          </w:p>
        </w:tc>
        <w:tc>
          <w:tcPr/>
          <w:p>
            <w:pPr>
              <w:pStyle w:val="Compact"/>
              <w:jc w:val="right"/>
            </w:pPr>
            <w:r>
              <w:t xml:space="preserve">32,800</w:t>
            </w:r>
          </w:p>
        </w:tc>
        <w:tc>
          <w:tcPr/>
          <w:p>
            <w:pPr>
              <w:pStyle w:val="Compact"/>
              <w:jc w:val="right"/>
            </w:pPr>
            <w:r>
              <w:t xml:space="preserve">(61,200)</w:t>
            </w:r>
          </w:p>
        </w:tc>
      </w:tr>
      <w:tr>
        <w:tc>
          <w:tcPr/>
          <w:p>
            <w:pPr>
              <w:pStyle w:val="Compact"/>
              <w:jc w:val="left"/>
            </w:pPr>
            <w:r>
              <w:t xml:space="preserve">Month 6</w:t>
            </w:r>
          </w:p>
        </w:tc>
        <w:tc>
          <w:tcPr/>
          <w:p>
            <w:pPr>
              <w:pStyle w:val="Compact"/>
              <w:jc w:val="left"/>
            </w:pPr>
            <w:r>
              <w:t xml:space="preserve">Q1 2028</w:t>
            </w:r>
          </w:p>
        </w:tc>
        <w:tc>
          <w:tcPr/>
          <w:p>
            <w:pPr>
              <w:pStyle w:val="Compact"/>
              <w:jc w:val="right"/>
            </w:pPr>
            <w:r>
              <w:t xml:space="preserve">28,900</w:t>
            </w:r>
          </w:p>
        </w:tc>
        <w:tc>
          <w:tcPr/>
          <w:p>
            <w:pPr>
              <w:pStyle w:val="Compact"/>
              <w:jc w:val="right"/>
            </w:pPr>
            <w:r>
              <w:t xml:space="preserve">42,620</w:t>
            </w:r>
          </w:p>
        </w:tc>
        <w:tc>
          <w:tcPr/>
          <w:p>
            <w:pPr>
              <w:pStyle w:val="Compact"/>
              <w:jc w:val="right"/>
            </w:pPr>
            <w:r>
              <w:t xml:space="preserve">(102,920)</w:t>
            </w:r>
          </w:p>
        </w:tc>
      </w:tr>
      <w:tr>
        <w:tc>
          <w:tcPr/>
          <w:p>
            <w:pPr>
              <w:pStyle w:val="Compact"/>
              <w:jc w:val="left"/>
            </w:pPr>
            <w:r>
              <w:t xml:space="preserve">Month 12 (Y1 end)</w:t>
            </w:r>
          </w:p>
        </w:tc>
        <w:tc>
          <w:tcPr/>
          <w:p>
            <w:pPr>
              <w:pStyle w:val="Compact"/>
              <w:jc w:val="left"/>
            </w:pPr>
            <w:r>
              <w:t xml:space="preserve">Q3 2028</w:t>
            </w:r>
          </w:p>
        </w:tc>
        <w:tc>
          <w:tcPr/>
          <w:p>
            <w:pPr>
              <w:pStyle w:val="Compact"/>
              <w:jc w:val="right"/>
            </w:pPr>
            <w:r>
              <w:t xml:space="preserve">61,500</w:t>
            </w:r>
          </w:p>
        </w:tc>
        <w:tc>
          <w:tcPr/>
          <w:p>
            <w:pPr>
              <w:pStyle w:val="Compact"/>
              <w:jc w:val="right"/>
            </w:pPr>
            <w:r>
              <w:t xml:space="preserve">45,200</w:t>
            </w:r>
          </w:p>
        </w:tc>
        <w:tc>
          <w:tcPr/>
          <w:p>
            <w:pPr>
              <w:pStyle w:val="Compact"/>
              <w:jc w:val="right"/>
            </w:pPr>
            <w:r>
              <w:t xml:space="preserve">(86,220)</w:t>
            </w:r>
          </w:p>
        </w:tc>
      </w:tr>
      <w:tr>
        <w:tc>
          <w:tcPr/>
          <w:p>
            <w:pPr>
              <w:pStyle w:val="Compact"/>
              <w:jc w:val="left"/>
            </w:pPr>
            <w:r>
              <w:t xml:space="preserve">Month 18 (runway end)</w:t>
            </w:r>
          </w:p>
        </w:tc>
        <w:tc>
          <w:tcPr/>
          <w:p>
            <w:pPr>
              <w:pStyle w:val="Compact"/>
              <w:jc w:val="left"/>
            </w:pPr>
            <w:r>
              <w:t xml:space="preserve">Q1 2029</w:t>
            </w:r>
          </w:p>
        </w:tc>
        <w:tc>
          <w:tcPr/>
          <w:p>
            <w:pPr>
              <w:pStyle w:val="Compact"/>
              <w:jc w:val="right"/>
            </w:pPr>
            <w:r>
              <w:t xml:space="preserve">108,300</w:t>
            </w:r>
          </w:p>
        </w:tc>
        <w:tc>
          <w:tcPr/>
          <w:p>
            <w:pPr>
              <w:pStyle w:val="Compact"/>
              <w:jc w:val="right"/>
            </w:pPr>
            <w:r>
              <w:t xml:space="preserve">48,400</w:t>
            </w:r>
          </w:p>
        </w:tc>
        <w:tc>
          <w:tcPr/>
          <w:p>
            <w:pPr>
              <w:pStyle w:val="Compact"/>
              <w:jc w:val="right"/>
            </w:pPr>
            <w:r>
              <w:t xml:space="preserve">9,280</w:t>
            </w:r>
          </w:p>
        </w:tc>
      </w:tr>
      <w:tr>
        <w:tc>
          <w:tcPr/>
          <w:p>
            <w:pPr>
              <w:pStyle w:val="Compact"/>
              <w:jc w:val="left"/>
            </w:pPr>
            <w:r>
              <w:rPr>
                <w:b/>
                <w:bCs/>
              </w:rPr>
              <w:t xml:space="preserve">Month 22 — BREAK-EVEN</w:t>
            </w:r>
          </w:p>
        </w:tc>
        <w:tc>
          <w:tcPr/>
          <w:p>
            <w:pPr>
              <w:pStyle w:val="Compact"/>
              <w:jc w:val="left"/>
            </w:pPr>
            <w:r>
              <w:rPr>
                <w:b/>
                <w:bCs/>
              </w:rPr>
              <w:t xml:space="preserve">Q3 2029</w:t>
            </w:r>
          </w:p>
        </w:tc>
        <w:tc>
          <w:tcPr/>
          <w:p>
            <w:pPr>
              <w:pStyle w:val="Compact"/>
              <w:jc w:val="right"/>
            </w:pPr>
            <w:r>
              <w:rPr>
                <w:b/>
                <w:bCs/>
              </w:rPr>
              <w:t xml:space="preserve">162,800</w:t>
            </w:r>
          </w:p>
        </w:tc>
        <w:tc>
          <w:tcPr/>
          <w:p>
            <w:pPr>
              <w:pStyle w:val="Compact"/>
              <w:jc w:val="right"/>
            </w:pPr>
            <w:r>
              <w:rPr>
                <w:b/>
                <w:bCs/>
              </w:rPr>
              <w:t xml:space="preserve">47,200</w:t>
            </w:r>
          </w:p>
        </w:tc>
        <w:tc>
          <w:tcPr/>
          <w:p>
            <w:pPr>
              <w:pStyle w:val="Compact"/>
              <w:jc w:val="right"/>
            </w:pPr>
            <w:r>
              <w:rPr>
                <w:b/>
                <w:bCs/>
              </w:rPr>
              <w:t xml:space="preserve">0</w:t>
            </w:r>
          </w:p>
        </w:tc>
      </w:tr>
      <w:tr>
        <w:tc>
          <w:tcPr/>
          <w:p>
            <w:pPr>
              <w:pStyle w:val="Compact"/>
              <w:jc w:val="left"/>
            </w:pPr>
            <w:r>
              <w:t xml:space="preserve">Month 24 (Y2 end)</w:t>
            </w:r>
          </w:p>
        </w:tc>
        <w:tc>
          <w:tcPr/>
          <w:p>
            <w:pPr>
              <w:pStyle w:val="Compact"/>
              <w:jc w:val="left"/>
            </w:pPr>
            <w:r>
              <w:t xml:space="preserve">Q3 2029</w:t>
            </w:r>
          </w:p>
        </w:tc>
        <w:tc>
          <w:tcPr/>
          <w:p>
            <w:pPr>
              <w:pStyle w:val="Compact"/>
              <w:jc w:val="right"/>
            </w:pPr>
            <w:r>
              <w:t xml:space="preserve">189,600</w:t>
            </w:r>
          </w:p>
        </w:tc>
        <w:tc>
          <w:tcPr/>
          <w:p>
            <w:pPr>
              <w:pStyle w:val="Compact"/>
              <w:jc w:val="right"/>
            </w:pPr>
            <w:r>
              <w:t xml:space="preserve">48,000</w:t>
            </w:r>
          </w:p>
        </w:tc>
        <w:tc>
          <w:tcPr/>
          <w:p>
            <w:pPr>
              <w:pStyle w:val="Compact"/>
              <w:jc w:val="right"/>
            </w:pPr>
            <w:r>
              <w:t xml:space="preserve">278,400</w:t>
            </w:r>
          </w:p>
        </w:tc>
      </w:tr>
      <w:tr>
        <w:tc>
          <w:tcPr/>
          <w:p>
            <w:pPr>
              <w:pStyle w:val="Compact"/>
              <w:jc w:val="left"/>
            </w:pPr>
            <w:r>
              <w:t xml:space="preserve">Month 36 (Y3 end)</w:t>
            </w:r>
          </w:p>
        </w:tc>
        <w:tc>
          <w:tcPr/>
          <w:p>
            <w:pPr>
              <w:pStyle w:val="Compact"/>
              <w:jc w:val="left"/>
            </w:pPr>
            <w:r>
              <w:t xml:space="preserve">Q3 2030</w:t>
            </w:r>
          </w:p>
        </w:tc>
        <w:tc>
          <w:tcPr/>
          <w:p>
            <w:pPr>
              <w:pStyle w:val="Compact"/>
              <w:jc w:val="right"/>
            </w:pPr>
            <w:r>
              <w:t xml:space="preserve">305,600</w:t>
            </w:r>
          </w:p>
        </w:tc>
        <w:tc>
          <w:tcPr/>
          <w:p>
            <w:pPr>
              <w:pStyle w:val="Compact"/>
              <w:jc w:val="right"/>
            </w:pPr>
            <w:r>
              <w:t xml:space="preserve">52,000</w:t>
            </w:r>
          </w:p>
        </w:tc>
        <w:tc>
          <w:tcPr/>
          <w:p>
            <w:pPr>
              <w:pStyle w:val="Compact"/>
              <w:jc w:val="right"/>
            </w:pPr>
            <w:r>
              <w:t xml:space="preserve">1,820,400</w:t>
            </w:r>
          </w:p>
        </w:tc>
      </w:tr>
      <w:tr>
        <w:tc>
          <w:tcPr/>
          <w:p>
            <w:pPr>
              <w:pStyle w:val="Compact"/>
              <w:jc w:val="left"/>
            </w:pPr>
            <w:r>
              <w:t xml:space="preserve">Month 48 (Y4 end)</w:t>
            </w:r>
          </w:p>
        </w:tc>
        <w:tc>
          <w:tcPr/>
          <w:p>
            <w:pPr>
              <w:pStyle w:val="Compact"/>
              <w:jc w:val="left"/>
            </w:pPr>
            <w:r>
              <w:t xml:space="preserve">Q3 2031</w:t>
            </w:r>
          </w:p>
        </w:tc>
        <w:tc>
          <w:tcPr/>
          <w:p>
            <w:pPr>
              <w:pStyle w:val="Compact"/>
              <w:jc w:val="right"/>
            </w:pPr>
            <w:r>
              <w:t xml:space="preserve">423,300</w:t>
            </w:r>
          </w:p>
        </w:tc>
        <w:tc>
          <w:tcPr/>
          <w:p>
            <w:pPr>
              <w:pStyle w:val="Compact"/>
              <w:jc w:val="right"/>
            </w:pPr>
            <w:r>
              <w:t xml:space="preserve">58,000</w:t>
            </w:r>
          </w:p>
        </w:tc>
        <w:tc>
          <w:tcPr/>
          <w:p>
            <w:pPr>
              <w:pStyle w:val="Compact"/>
              <w:jc w:val="right"/>
            </w:pPr>
            <w:r>
              <w:t xml:space="preserve">5,935,200</w:t>
            </w:r>
          </w:p>
        </w:tc>
      </w:tr>
      <w:tr>
        <w:tc>
          <w:tcPr/>
          <w:p>
            <w:pPr>
              <w:pStyle w:val="Compact"/>
              <w:jc w:val="left"/>
            </w:pPr>
            <w:r>
              <w:t xml:space="preserve">Month 60 (Y5 end)</w:t>
            </w:r>
          </w:p>
        </w:tc>
        <w:tc>
          <w:tcPr/>
          <w:p>
            <w:pPr>
              <w:pStyle w:val="Compact"/>
              <w:jc w:val="left"/>
            </w:pPr>
            <w:r>
              <w:t xml:space="preserve">Q3 2032</w:t>
            </w:r>
          </w:p>
        </w:tc>
        <w:tc>
          <w:tcPr/>
          <w:p>
            <w:pPr>
              <w:pStyle w:val="Compact"/>
              <w:jc w:val="right"/>
            </w:pPr>
            <w:r>
              <w:t xml:space="preserve">515,950</w:t>
            </w:r>
          </w:p>
        </w:tc>
        <w:tc>
          <w:tcPr/>
          <w:p>
            <w:pPr>
              <w:pStyle w:val="Compact"/>
              <w:jc w:val="right"/>
            </w:pPr>
            <w:r>
              <w:t xml:space="preserve">65,000</w:t>
            </w:r>
          </w:p>
        </w:tc>
        <w:tc>
          <w:tcPr/>
          <w:p>
            <w:pPr>
              <w:pStyle w:val="Compact"/>
              <w:jc w:val="right"/>
            </w:pPr>
            <w:r>
              <w:t xml:space="preserve">11,647,800</w:t>
            </w:r>
          </w:p>
        </w:tc>
      </w:tr>
    </w:tbl>
    <w:p>
      <w:pPr>
        <w:pStyle w:val="BodyText"/>
      </w:pPr>
      <w:r>
        <w:rPr>
          <w:b/>
          <w:bCs/>
        </w:rPr>
        <w:t xml:space="preserve">Cost of Doing Nothing:</w:t>
      </w:r>
      <w:r>
        <w:t xml:space="preserve"> </w:t>
      </w:r>
      <w:r>
        <w:t xml:space="preserve">The 5-year opportunity cost of not building AurumXchange: (i) Chamber’s lost 30% revenue share — approximately</w:t>
      </w:r>
      <w:r>
        <w:t xml:space="preserve"> </w:t>
      </w:r>
      <w:r>
        <w:rPr>
          <w:b/>
          <w:bCs/>
        </w:rPr>
        <w:t xml:space="preserve">US$5.4M</w:t>
      </w:r>
      <w:r>
        <w:t xml:space="preserve"> </w:t>
      </w:r>
      <w:r>
        <w:t xml:space="preserve">cumulatively; (ii) continued Tier 2 buyer overpayment due to price opacity — approximately</w:t>
      </w:r>
      <w:r>
        <w:t xml:space="preserve"> </w:t>
      </w:r>
      <w:r>
        <w:rPr>
          <w:b/>
          <w:bCs/>
        </w:rPr>
        <w:t xml:space="preserve">US$21.6M annually</w:t>
      </w:r>
      <w:r>
        <w:t xml:space="preserve"> </w:t>
      </w:r>
      <w:r>
        <w:t xml:space="preserve">at Year 5 trade volume; (iii) unbounded strategic risk of Ghana being seen as a non-transparent gold origin, or a regional competitor / GoldBod’s own platform occupying the position first. Conservative 5-year Cost of Doing Nothing:</w:t>
      </w:r>
      <w:r>
        <w:t xml:space="preserve"> </w:t>
      </w:r>
      <w:r>
        <w:rPr>
          <w:b/>
          <w:bCs/>
        </w:rPr>
        <w:t xml:space="preserve">US$30–50M</w:t>
      </w:r>
      <w:r>
        <w:t xml:space="preserve">, dwarfing the US$4.86M total CapEx + OpEx investment.</w:t>
      </w:r>
    </w:p>
    <w:bookmarkEnd w:id="36"/>
    <w:bookmarkStart w:id="37" w:name="f.-budget-tracking-governance"/>
    <w:p>
      <w:pPr>
        <w:pStyle w:val="Heading3"/>
      </w:pPr>
      <w:r>
        <w:t xml:space="preserve">F. Budget Tracking &amp; Governance</w:t>
      </w:r>
    </w:p>
    <w:tbl>
      <w:tblPr>
        <w:tblStyle w:val="Table"/>
        <w:tblW w:type="pct" w:w="5000"/>
        <w:jc w:val="left"/>
        <w:tblLayout w:type="fixed"/>
        <w:tblLook w:firstRow="1" w:lastRow="0" w:firstColumn="0" w:lastColumn="0" w:noHBand="0" w:noVBand="0" w:val="0020"/>
      </w:tblPr>
      <w:tblGrid>
        <w:gridCol w:w="1936"/>
        <w:gridCol w:w="1584"/>
        <w:gridCol w:w="1232"/>
        <w:gridCol w:w="3168"/>
      </w:tblGrid>
      <w:tr>
        <w:trPr>
          <w:tblHeader w:val="on"/>
        </w:trPr>
        <w:tc>
          <w:tcPr/>
          <w:p>
            <w:pPr>
              <w:pStyle w:val="Compact"/>
              <w:jc w:val="left"/>
            </w:pPr>
            <w:r>
              <w:t xml:space="preserve">Mechanism</w:t>
            </w:r>
          </w:p>
        </w:tc>
        <w:tc>
          <w:tcPr/>
          <w:p>
            <w:pPr>
              <w:pStyle w:val="Compact"/>
              <w:jc w:val="left"/>
            </w:pPr>
            <w:r>
              <w:t xml:space="preserve">Cadence</w:t>
            </w:r>
          </w:p>
        </w:tc>
        <w:tc>
          <w:tcPr/>
          <w:p>
            <w:pPr>
              <w:pStyle w:val="Compact"/>
              <w:jc w:val="left"/>
            </w:pPr>
            <w:r>
              <w:t xml:space="preserve">Owner</w:t>
            </w:r>
          </w:p>
        </w:tc>
        <w:tc>
          <w:tcPr/>
          <w:p>
            <w:pPr>
              <w:pStyle w:val="Compact"/>
              <w:jc w:val="left"/>
            </w:pPr>
            <w:r>
              <w:t xml:space="preserve">Action Threshold</w:t>
            </w:r>
          </w:p>
        </w:tc>
      </w:tr>
      <w:tr>
        <w:tc>
          <w:tcPr/>
          <w:p>
            <w:pPr>
              <w:pStyle w:val="Compact"/>
              <w:jc w:val="left"/>
            </w:pPr>
            <w:r>
              <w:t xml:space="preserve">Planned vs actual spend (per CapEx line item)</w:t>
            </w:r>
          </w:p>
        </w:tc>
        <w:tc>
          <w:tcPr/>
          <w:p>
            <w:pPr>
              <w:pStyle w:val="Compact"/>
              <w:jc w:val="left"/>
            </w:pPr>
            <w:r>
              <w:t xml:space="preserve">Monthly</w:t>
            </w:r>
          </w:p>
        </w:tc>
        <w:tc>
          <w:tcPr/>
          <w:p>
            <w:pPr>
              <w:pStyle w:val="Compact"/>
              <w:jc w:val="left"/>
            </w:pPr>
            <w:r>
              <w:t xml:space="preserve">PM + Finance Controller</w:t>
            </w:r>
          </w:p>
        </w:tc>
        <w:tc>
          <w:tcPr/>
          <w:p>
            <w:pPr>
              <w:pStyle w:val="Compact"/>
              <w:jc w:val="left"/>
            </w:pPr>
            <w:r>
              <w:t xml:space="preserve">Variance &gt; 10% → PM flags; &gt; 20% → sponsor re-approval</w:t>
            </w:r>
          </w:p>
        </w:tc>
      </w:tr>
      <w:tr>
        <w:tc>
          <w:tcPr/>
          <w:p>
            <w:pPr>
              <w:pStyle w:val="Compact"/>
              <w:jc w:val="left"/>
            </w:pPr>
            <w:r>
              <w:t xml:space="preserve">Burn rate vs timeline (cumulative CapEx)</w:t>
            </w:r>
          </w:p>
        </w:tc>
        <w:tc>
          <w:tcPr/>
          <w:p>
            <w:pPr>
              <w:pStyle w:val="Compact"/>
              <w:jc w:val="left"/>
            </w:pPr>
            <w:r>
              <w:t xml:space="preserve">Monthly steering committee</w:t>
            </w:r>
          </w:p>
        </w:tc>
        <w:tc>
          <w:tcPr/>
          <w:p>
            <w:pPr>
              <w:pStyle w:val="Compact"/>
              <w:jc w:val="left"/>
            </w:pPr>
            <w:r>
              <w:t xml:space="preserve">CTO + Sponsor</w:t>
            </w:r>
          </w:p>
        </w:tc>
        <w:tc>
          <w:tcPr/>
          <w:p>
            <w:pPr>
              <w:pStyle w:val="Compact"/>
              <w:jc w:val="left"/>
            </w:pPr>
            <w:r>
              <w:t xml:space="preserve">If cumulative burn &gt; 110% of plan at any milestone → scope review</w:t>
            </w:r>
          </w:p>
        </w:tc>
      </w:tr>
      <w:tr>
        <w:tc>
          <w:tcPr/>
          <w:p>
            <w:pPr>
              <w:pStyle w:val="Compact"/>
              <w:jc w:val="left"/>
            </w:pPr>
            <w:r>
              <w:t xml:space="preserve">OpEx variance (post-launch)</w:t>
            </w:r>
          </w:p>
        </w:tc>
        <w:tc>
          <w:tcPr/>
          <w:p>
            <w:pPr>
              <w:pStyle w:val="Compact"/>
              <w:jc w:val="left"/>
            </w:pPr>
            <w:r>
              <w:t xml:space="preserve">Monthly</w:t>
            </w:r>
          </w:p>
        </w:tc>
        <w:tc>
          <w:tcPr/>
          <w:p>
            <w:pPr>
              <w:pStyle w:val="Compact"/>
              <w:jc w:val="left"/>
            </w:pPr>
            <w:r>
              <w:t xml:space="preserve">Head of Product + Finance</w:t>
            </w:r>
          </w:p>
        </w:tc>
        <w:tc>
          <w:tcPr/>
          <w:p>
            <w:pPr>
              <w:pStyle w:val="Compact"/>
              <w:jc w:val="left"/>
            </w:pPr>
            <w:r>
              <w:t xml:space="preserve">Variance &gt; 15% for 2 consecutive months → sponsor notification</w:t>
            </w:r>
          </w:p>
        </w:tc>
      </w:tr>
      <w:tr>
        <w:tc>
          <w:tcPr/>
          <w:p>
            <w:pPr>
              <w:pStyle w:val="Compact"/>
              <w:jc w:val="left"/>
            </w:pPr>
            <w:r>
              <w:t xml:space="preserve">Change control — scope addition</w:t>
            </w:r>
          </w:p>
        </w:tc>
        <w:tc>
          <w:tcPr/>
          <w:p>
            <w:pPr>
              <w:pStyle w:val="Compact"/>
              <w:jc w:val="left"/>
            </w:pPr>
            <w:r>
              <w:t xml:space="preserve">Per request</w:t>
            </w:r>
          </w:p>
        </w:tc>
        <w:tc>
          <w:tcPr/>
          <w:p>
            <w:pPr>
              <w:pStyle w:val="Compact"/>
              <w:jc w:val="left"/>
            </w:pPr>
            <w:r>
              <w:t xml:space="preserve">Sponsor + PM</w:t>
            </w:r>
          </w:p>
        </w:tc>
        <w:tc>
          <w:tcPr/>
          <w:p>
            <w:pPr>
              <w:pStyle w:val="Compact"/>
              <w:jc w:val="left"/>
            </w:pPr>
            <w:r>
              <w:t xml:space="preserve">Any scope addition &gt; US$10K CapEx → sponsor sign-off required</w:t>
            </w:r>
          </w:p>
        </w:tc>
      </w:tr>
      <w:tr>
        <w:tc>
          <w:tcPr/>
          <w:p>
            <w:pPr>
              <w:pStyle w:val="Compact"/>
              <w:jc w:val="left"/>
            </w:pPr>
            <w:r>
              <w:t xml:space="preserve">Change control — date slip</w:t>
            </w:r>
          </w:p>
        </w:tc>
        <w:tc>
          <w:tcPr/>
          <w:p>
            <w:pPr>
              <w:pStyle w:val="Compact"/>
              <w:jc w:val="left"/>
            </w:pPr>
            <w:r>
              <w:t xml:space="preserve">Per request</w:t>
            </w:r>
          </w:p>
        </w:tc>
        <w:tc>
          <w:tcPr/>
          <w:p>
            <w:pPr>
              <w:pStyle w:val="Compact"/>
              <w:jc w:val="left"/>
            </w:pPr>
            <w:r>
              <w:t xml:space="preserve">Sponsor + PM</w:t>
            </w:r>
          </w:p>
        </w:tc>
        <w:tc>
          <w:tcPr/>
          <w:p>
            <w:pPr>
              <w:pStyle w:val="Compact"/>
              <w:jc w:val="left"/>
            </w:pPr>
            <w:r>
              <w:t xml:space="preserve">Any milestone slip &gt; 2 weeks → sponsor sign-off + revised Financial Doc</w:t>
            </w:r>
          </w:p>
        </w:tc>
      </w:tr>
      <w:tr>
        <w:tc>
          <w:tcPr/>
          <w:p>
            <w:pPr>
              <w:pStyle w:val="Compact"/>
              <w:jc w:val="left"/>
            </w:pPr>
            <w:r>
              <w:t xml:space="preserve">GoldBod Act 1140 regulatory change</w:t>
            </w:r>
          </w:p>
        </w:tc>
        <w:tc>
          <w:tcPr/>
          <w:p>
            <w:pPr>
              <w:pStyle w:val="Compact"/>
              <w:jc w:val="left"/>
            </w:pPr>
            <w:r>
              <w:t xml:space="preserve">Per regulatory update</w:t>
            </w:r>
          </w:p>
        </w:tc>
        <w:tc>
          <w:tcPr/>
          <w:p>
            <w:pPr>
              <w:pStyle w:val="Compact"/>
              <w:jc w:val="left"/>
            </w:pPr>
            <w:r>
              <w:t xml:space="preserve">PM + External Counsel</w:t>
            </w:r>
          </w:p>
        </w:tc>
        <w:tc>
          <w:tcPr/>
          <w:p>
            <w:pPr>
              <w:pStyle w:val="Compact"/>
              <w:jc w:val="left"/>
            </w:pPr>
            <w:r>
              <w:t xml:space="preserve">Any GoldBod API specification change → immediate sponsor notification + scope review</w:t>
            </w:r>
          </w:p>
        </w:tc>
      </w:tr>
      <w:tr>
        <w:tc>
          <w:tcPr/>
          <w:p>
            <w:pPr>
              <w:pStyle w:val="Compact"/>
              <w:jc w:val="left"/>
            </w:pPr>
            <w:r>
              <w:t xml:space="preserve">Contingency drawdown</w:t>
            </w:r>
          </w:p>
        </w:tc>
        <w:tc>
          <w:tcPr/>
          <w:p>
            <w:pPr>
              <w:pStyle w:val="Compact"/>
              <w:jc w:val="left"/>
            </w:pPr>
            <w:r>
              <w:t xml:space="preserve">Per request</w:t>
            </w:r>
          </w:p>
        </w:tc>
        <w:tc>
          <w:tcPr/>
          <w:p>
            <w:pPr>
              <w:pStyle w:val="Compact"/>
              <w:jc w:val="left"/>
            </w:pPr>
            <w:r>
              <w:t xml:space="preserve">PM only</w:t>
            </w:r>
          </w:p>
        </w:tc>
        <w:tc>
          <w:tcPr/>
          <w:p>
            <w:pPr>
              <w:pStyle w:val="Compact"/>
              <w:jc w:val="left"/>
            </w:pPr>
            <w:r>
              <w:t xml:space="preserve">PM may draw up to US$20K without sponsor approval; above US$20K requires sponsor</w:t>
            </w:r>
          </w:p>
        </w:tc>
      </w:tr>
      <w:tr>
        <w:tc>
          <w:tcPr/>
          <w:p>
            <w:pPr>
              <w:pStyle w:val="Compact"/>
              <w:jc w:val="left"/>
            </w:pPr>
            <w:r>
              <w:t xml:space="preserve">Revenue model refresh</w:t>
            </w:r>
          </w:p>
        </w:tc>
        <w:tc>
          <w:tcPr/>
          <w:p>
            <w:pPr>
              <w:pStyle w:val="Compact"/>
              <w:jc w:val="left"/>
            </w:pPr>
            <w:r>
              <w:t xml:space="preserve">Quarterly</w:t>
            </w:r>
          </w:p>
        </w:tc>
        <w:tc>
          <w:tcPr/>
          <w:p>
            <w:pPr>
              <w:pStyle w:val="Compact"/>
              <w:jc w:val="left"/>
            </w:pPr>
            <w:r>
              <w:t xml:space="preserve">Head of Product + Finance</w:t>
            </w:r>
          </w:p>
        </w:tc>
        <w:tc>
          <w:tcPr/>
          <w:p>
            <w:pPr>
              <w:pStyle w:val="Compact"/>
              <w:jc w:val="left"/>
            </w:pPr>
            <w:r>
              <w:t xml:space="preserve">If actual members &gt; 20% below projection → re-run break-even model</w:t>
            </w:r>
          </w:p>
        </w:tc>
      </w:tr>
      <w:tr>
        <w:tc>
          <w:tcPr/>
          <w:p>
            <w:pPr>
              <w:pStyle w:val="Compact"/>
              <w:jc w:val="left"/>
            </w:pPr>
            <w:r>
              <w:t xml:space="preserve">Compliance incident</w:t>
            </w:r>
          </w:p>
        </w:tc>
        <w:tc>
          <w:tcPr/>
          <w:p>
            <w:pPr>
              <w:pStyle w:val="Compact"/>
              <w:jc w:val="left"/>
            </w:pPr>
            <w:r>
              <w:t xml:space="preserve">Immediate</w:t>
            </w:r>
          </w:p>
        </w:tc>
        <w:tc>
          <w:tcPr/>
          <w:p>
            <w:pPr>
              <w:pStyle w:val="Compact"/>
              <w:jc w:val="left"/>
            </w:pPr>
            <w:r>
              <w:t xml:space="preserve">CTO + Sponsor</w:t>
            </w:r>
          </w:p>
        </w:tc>
        <w:tc>
          <w:tcPr/>
          <w:p>
            <w:pPr>
              <w:pStyle w:val="Compact"/>
              <w:jc w:val="left"/>
            </w:pPr>
            <w:r>
              <w:t xml:space="preserve">Any SOC 2 / ISO 27001 / DPA 2012 / GoldBod compliance incident → 24-hour sponsor notification</w:t>
            </w:r>
          </w:p>
        </w:tc>
      </w:tr>
    </w:tbl>
    <w:p>
      <w:r>
        <w:pict>
          <v:rect style="width:0;height:1.5pt" o:hralign="center" o:hrstd="t" o:hr="t"/>
        </w:pict>
      </w:r>
    </w:p>
    <w:bookmarkEnd w:id="37"/>
    <w:bookmarkEnd w:id="38"/>
    <w:bookmarkStart w:id="49" w:name="document-4-project-charter"/>
    <w:p>
      <w:pPr>
        <w:pStyle w:val="Heading2"/>
      </w:pPr>
      <w:r>
        <w:t xml:space="preserve">5. Document 4 — Project Charter</w:t>
      </w:r>
    </w:p>
    <w:bookmarkStart w:id="39" w:name="project-title-description"/>
    <w:p>
      <w:pPr>
        <w:pStyle w:val="Heading3"/>
      </w:pPr>
      <w:r>
        <w:t xml:space="preserve">1. Project Title &amp; Description</w:t>
      </w:r>
    </w:p>
    <w:p>
      <w:pPr>
        <w:pStyle w:val="FirstParagraph"/>
      </w:pPr>
      <w:r>
        <w:rPr>
          <w:b/>
          <w:bCs/>
        </w:rPr>
        <w:t xml:space="preserve">Project title:</w:t>
      </w:r>
      <w:r>
        <w:t xml:space="preserve"> </w:t>
      </w:r>
      <w:r>
        <w:t xml:space="preserve">AurumXchange — A Regulated Digital Gold Trading Infrastructure for the Ghana Chamber of Gold Buyers. AurumXchange is a B2B SaaS platform that combines a member-verification portal, an RFQ-driven trading engine, partner-bank escrow, and an immutable compliance audit trail aligned to the LBMA Responsible Gold Guidance into a single regulated exchange. It will be built, hosted, and operated by</w:t>
      </w:r>
      <w:r>
        <w:t xml:space="preserve"> </w:t>
      </w:r>
      <w:r>
        <w:rPr>
          <w:b/>
          <w:bCs/>
        </w:rPr>
        <w:t xml:space="preserve">Smart Innovations Ghana Limited</w:t>
      </w:r>
      <w:r>
        <w:t xml:space="preserve"> </w:t>
      </w:r>
      <w:r>
        <w:t xml:space="preserve">under a 5-year exclusive revenue-sharing agreement with the Ghana Chamber of Gold Buyers. The MVP scope (Phase 1 Digital Member Portal + Phase 2 Trading Platform) launches in Q3 2027; Phase 3 (Value-Added Services, including GoldBod and PMMC deep integration) and Phase 4 (Analytics) follow in 2028–2029. The platform is designed against Ghana’s 2024 actuals — US$11.64B in gold export revenue, 4.9M ounces of production, and the regulatory environment shaped by the GoldBod Act 1140 of 2 April 2025.</w:t>
      </w:r>
    </w:p>
    <w:bookmarkEnd w:id="39"/>
    <w:bookmarkStart w:id="40" w:name="business-case-summary"/>
    <w:p>
      <w:pPr>
        <w:pStyle w:val="Heading3"/>
      </w:pPr>
      <w:r>
        <w:t xml:space="preserve">2. Business Case Summary</w:t>
      </w:r>
    </w:p>
    <w:p>
      <w:pPr>
        <w:pStyle w:val="FirstParagraph"/>
      </w:pPr>
      <w:r>
        <w:t xml:space="preserve">This project operationalizes the VPC Fit Statement. The BMC confirms commercial viability: hybrid SaaS monetization (0.10% transaction fees per side + tiered subscriptions + VAS) at a 70/30 Smart Innovations / Chamber revenue split. The Financial Documentation confirms economic viability: CapEx of US$463,450 (against a US$450,000 ceiling — see Section 7.2 for reconciliation), break-even at month 22 (Q3 2029 given a Q3 2027 launch), and 5-year cumulative net contribution of US$4.05M to Smart Innovations Ghana Limited.</w:t>
      </w:r>
    </w:p>
    <w:bookmarkEnd w:id="40"/>
    <w:bookmarkStart w:id="41" w:name="objectives-smart"/>
    <w:p>
      <w:pPr>
        <w:pStyle w:val="Heading3"/>
      </w:pPr>
      <w:r>
        <w:t xml:space="preserve">3. Objectives (SMART)</w:t>
      </w:r>
    </w:p>
    <w:tbl>
      <w:tblPr>
        <w:tblStyle w:val="Table"/>
        <w:tblW w:type="pct" w:w="5000"/>
        <w:jc w:val="left"/>
        <w:tblLayout w:type="fixed"/>
        <w:tblLook w:firstRow="1" w:lastRow="0" w:firstColumn="0" w:lastColumn="0" w:noHBand="0" w:noVBand="0" w:val="0020"/>
      </w:tblPr>
      <w:tblGrid>
        <w:gridCol w:w="528"/>
        <w:gridCol w:w="1936"/>
        <w:gridCol w:w="2288"/>
        <w:gridCol w:w="1408"/>
        <w:gridCol w:w="1760"/>
      </w:tblGrid>
      <w:tr>
        <w:trPr>
          <w:tblHeader w:val="on"/>
        </w:trPr>
        <w:tc>
          <w:tcPr/>
          <w:p>
            <w:pPr>
              <w:pStyle w:val="Compact"/>
              <w:jc w:val="left"/>
            </w:pPr>
            <w:r>
              <w:t xml:space="preserve">#</w:t>
            </w:r>
          </w:p>
        </w:tc>
        <w:tc>
          <w:tcPr/>
          <w:p>
            <w:pPr>
              <w:pStyle w:val="Compact"/>
              <w:jc w:val="left"/>
            </w:pPr>
            <w:r>
              <w:t xml:space="preserve">Objective</w:t>
            </w:r>
          </w:p>
        </w:tc>
        <w:tc>
          <w:tcPr/>
          <w:p>
            <w:pPr>
              <w:pStyle w:val="Compact"/>
              <w:jc w:val="left"/>
            </w:pPr>
            <w:r>
              <w:t xml:space="preserve">Measurement</w:t>
            </w:r>
          </w:p>
        </w:tc>
        <w:tc>
          <w:tcPr/>
          <w:p>
            <w:pPr>
              <w:pStyle w:val="Compact"/>
              <w:jc w:val="left"/>
            </w:pPr>
            <w:r>
              <w:t xml:space="preserve">Target</w:t>
            </w:r>
          </w:p>
        </w:tc>
        <w:tc>
          <w:tcPr/>
          <w:p>
            <w:pPr>
              <w:pStyle w:val="Compact"/>
              <w:jc w:val="left"/>
            </w:pPr>
            <w:r>
              <w:t xml:space="preserve">Deadline</w:t>
            </w:r>
          </w:p>
        </w:tc>
      </w:tr>
      <w:tr>
        <w:tc>
          <w:tcPr/>
          <w:p>
            <w:pPr>
              <w:pStyle w:val="Compact"/>
              <w:jc w:val="left"/>
            </w:pPr>
            <w:r>
              <w:t xml:space="preserve">O1</w:t>
            </w:r>
          </w:p>
        </w:tc>
        <w:tc>
          <w:tcPr/>
          <w:p>
            <w:pPr>
              <w:pStyle w:val="Compact"/>
              <w:jc w:val="left"/>
            </w:pPr>
            <w:r>
              <w:t xml:space="preserve">MVP live and serving verified members</w:t>
            </w:r>
          </w:p>
        </w:tc>
        <w:tc>
          <w:tcPr/>
          <w:p>
            <w:pPr>
              <w:pStyle w:val="Compact"/>
              <w:jc w:val="left"/>
            </w:pPr>
            <w:r>
              <w:t xml:space="preserve">Production deployment + first real trade</w:t>
            </w:r>
          </w:p>
        </w:tc>
        <w:tc>
          <w:tcPr/>
          <w:p>
            <w:pPr>
              <w:pStyle w:val="Compact"/>
              <w:jc w:val="left"/>
            </w:pPr>
            <w:r>
              <w:t xml:space="preserve">≥1 real gold trade settled via escrow</w:t>
            </w:r>
          </w:p>
        </w:tc>
        <w:tc>
          <w:tcPr/>
          <w:p>
            <w:pPr>
              <w:pStyle w:val="Compact"/>
              <w:jc w:val="left"/>
            </w:pPr>
            <w:r>
              <w:t xml:space="preserve">30 Sep 2027</w:t>
            </w:r>
          </w:p>
        </w:tc>
      </w:tr>
      <w:tr>
        <w:tc>
          <w:tcPr/>
          <w:p>
            <w:pPr>
              <w:pStyle w:val="Compact"/>
              <w:jc w:val="left"/>
            </w:pPr>
            <w:r>
              <w:t xml:space="preserve">O2</w:t>
            </w:r>
          </w:p>
        </w:tc>
        <w:tc>
          <w:tcPr/>
          <w:p>
            <w:pPr>
              <w:pStyle w:val="Compact"/>
              <w:jc w:val="left"/>
            </w:pPr>
            <w:r>
              <w:t xml:space="preserve">Verified member adoption</w:t>
            </w:r>
          </w:p>
        </w:tc>
        <w:tc>
          <w:tcPr/>
          <w:p>
            <w:pPr>
              <w:pStyle w:val="Compact"/>
              <w:jc w:val="left"/>
            </w:pPr>
            <w:r>
              <w:t xml:space="preserve">Verified members onboarded</w:t>
            </w:r>
          </w:p>
        </w:tc>
        <w:tc>
          <w:tcPr/>
          <w:p>
            <w:pPr>
              <w:pStyle w:val="Compact"/>
              <w:jc w:val="left"/>
            </w:pPr>
            <w:r>
              <w:t xml:space="preserve">250 verified members</w:t>
            </w:r>
          </w:p>
        </w:tc>
        <w:tc>
          <w:tcPr/>
          <w:p>
            <w:pPr>
              <w:pStyle w:val="Compact"/>
              <w:jc w:val="left"/>
            </w:pPr>
            <w:r>
              <w:t xml:space="preserve">30 Sep 2028 (Y1 end)</w:t>
            </w:r>
          </w:p>
        </w:tc>
      </w:tr>
      <w:tr>
        <w:tc>
          <w:tcPr/>
          <w:p>
            <w:pPr>
              <w:pStyle w:val="Compact"/>
              <w:jc w:val="left"/>
            </w:pPr>
            <w:r>
              <w:t xml:space="preserve">O3</w:t>
            </w:r>
          </w:p>
        </w:tc>
        <w:tc>
          <w:tcPr/>
          <w:p>
            <w:pPr>
              <w:pStyle w:val="Compact"/>
              <w:jc w:val="left"/>
            </w:pPr>
            <w:r>
              <w:t xml:space="preserve">Trade volume through platform</w:t>
            </w:r>
          </w:p>
        </w:tc>
        <w:tc>
          <w:tcPr/>
          <w:p>
            <w:pPr>
              <w:pStyle w:val="Compact"/>
              <w:jc w:val="left"/>
            </w:pPr>
            <w:r>
              <w:t xml:space="preserve">Cumulative Year-1 trade value</w:t>
            </w:r>
          </w:p>
        </w:tc>
        <w:tc>
          <w:tcPr/>
          <w:p>
            <w:pPr>
              <w:pStyle w:val="Compact"/>
              <w:jc w:val="left"/>
            </w:pPr>
            <w:r>
              <w:t xml:space="preserve">≥ US$350M</w:t>
            </w:r>
          </w:p>
        </w:tc>
        <w:tc>
          <w:tcPr/>
          <w:p>
            <w:pPr>
              <w:pStyle w:val="Compact"/>
              <w:jc w:val="left"/>
            </w:pPr>
            <w:r>
              <w:t xml:space="preserve">30 Sep 2028</w:t>
            </w:r>
          </w:p>
        </w:tc>
      </w:tr>
      <w:tr>
        <w:tc>
          <w:tcPr/>
          <w:p>
            <w:pPr>
              <w:pStyle w:val="Compact"/>
              <w:jc w:val="left"/>
            </w:pPr>
            <w:r>
              <w:t xml:space="preserve">O4</w:t>
            </w:r>
          </w:p>
        </w:tc>
        <w:tc>
          <w:tcPr/>
          <w:p>
            <w:pPr>
              <w:pStyle w:val="Compact"/>
              <w:jc w:val="left"/>
            </w:pPr>
            <w:r>
              <w:t xml:space="preserve">System reliability</w:t>
            </w:r>
          </w:p>
        </w:tc>
        <w:tc>
          <w:tcPr/>
          <w:p>
            <w:pPr>
              <w:pStyle w:val="Compact"/>
              <w:jc w:val="left"/>
            </w:pPr>
            <w:r>
              <w:t xml:space="preserve">Uptime (monthly)</w:t>
            </w:r>
          </w:p>
        </w:tc>
        <w:tc>
          <w:tcPr/>
          <w:p>
            <w:pPr>
              <w:pStyle w:val="Compact"/>
              <w:jc w:val="left"/>
            </w:pPr>
            <w:r>
              <w:t xml:space="preserve">99.9% (≤ 43 min downtime/month)</w:t>
            </w:r>
          </w:p>
        </w:tc>
        <w:tc>
          <w:tcPr/>
          <w:p>
            <w:pPr>
              <w:pStyle w:val="Compact"/>
              <w:jc w:val="left"/>
            </w:pPr>
            <w:r>
              <w:t xml:space="preserve">Continuous</w:t>
            </w:r>
          </w:p>
        </w:tc>
      </w:tr>
      <w:tr>
        <w:tc>
          <w:tcPr/>
          <w:p>
            <w:pPr>
              <w:pStyle w:val="Compact"/>
              <w:jc w:val="left"/>
            </w:pPr>
            <w:r>
              <w:t xml:space="preserve">O5</w:t>
            </w:r>
          </w:p>
        </w:tc>
        <w:tc>
          <w:tcPr/>
          <w:p>
            <w:pPr>
              <w:pStyle w:val="Compact"/>
              <w:jc w:val="left"/>
            </w:pPr>
            <w:r>
              <w:t xml:space="preserve">Performance</w:t>
            </w:r>
          </w:p>
        </w:tc>
        <w:tc>
          <w:tcPr/>
          <w:p>
            <w:pPr>
              <w:pStyle w:val="Compact"/>
              <w:jc w:val="left"/>
            </w:pPr>
            <w:r>
              <w:t xml:space="preserve">P95 API response time</w:t>
            </w:r>
          </w:p>
        </w:tc>
        <w:tc>
          <w:tcPr/>
          <w:p>
            <w:pPr>
              <w:pStyle w:val="Compact"/>
              <w:jc w:val="left"/>
            </w:pPr>
            <w:r>
              <w:t xml:space="preserve">&lt; 500ms for all critical endpoints</w:t>
            </w:r>
          </w:p>
        </w:tc>
        <w:tc>
          <w:tcPr/>
          <w:p>
            <w:pPr>
              <w:pStyle w:val="Compact"/>
              <w:jc w:val="left"/>
            </w:pPr>
            <w:r>
              <w:t xml:space="preserve">Continuous</w:t>
            </w:r>
          </w:p>
        </w:tc>
      </w:tr>
      <w:tr>
        <w:tc>
          <w:tcPr/>
          <w:p>
            <w:pPr>
              <w:pStyle w:val="Compact"/>
              <w:jc w:val="left"/>
            </w:pPr>
            <w:r>
              <w:t xml:space="preserve">O6</w:t>
            </w:r>
          </w:p>
        </w:tc>
        <w:tc>
          <w:tcPr/>
          <w:p>
            <w:pPr>
              <w:pStyle w:val="Compact"/>
              <w:jc w:val="left"/>
            </w:pPr>
            <w:r>
              <w:t xml:space="preserve">Security posture</w:t>
            </w:r>
          </w:p>
        </w:tc>
        <w:tc>
          <w:tcPr/>
          <w:p>
            <w:pPr>
              <w:pStyle w:val="Compact"/>
              <w:jc w:val="left"/>
            </w:pPr>
            <w:r>
              <w:t xml:space="preserve">Critical-severity findings at launch</w:t>
            </w:r>
          </w:p>
        </w:tc>
        <w:tc>
          <w:tcPr/>
          <w:p>
            <w:pPr>
              <w:pStyle w:val="Compact"/>
              <w:jc w:val="left"/>
            </w:pPr>
            <w:r>
              <w:t xml:space="preserve">0 critical, ≤ 2 high (with remediation)</w:t>
            </w:r>
          </w:p>
        </w:tc>
        <w:tc>
          <w:tcPr/>
          <w:p>
            <w:pPr>
              <w:pStyle w:val="Compact"/>
              <w:jc w:val="left"/>
            </w:pPr>
            <w:r>
              <w:t xml:space="preserve">Pre-launch pen test</w:t>
            </w:r>
          </w:p>
        </w:tc>
      </w:tr>
      <w:tr>
        <w:tc>
          <w:tcPr/>
          <w:p>
            <w:pPr>
              <w:pStyle w:val="Compact"/>
              <w:jc w:val="left"/>
            </w:pPr>
            <w:r>
              <w:t xml:space="preserve">O7</w:t>
            </w:r>
          </w:p>
        </w:tc>
        <w:tc>
          <w:tcPr/>
          <w:p>
            <w:pPr>
              <w:pStyle w:val="Compact"/>
              <w:jc w:val="left"/>
            </w:pPr>
            <w:r>
              <w:t xml:space="preserve">Compliance certifications</w:t>
            </w:r>
          </w:p>
        </w:tc>
        <w:tc>
          <w:tcPr/>
          <w:p>
            <w:pPr>
              <w:pStyle w:val="Compact"/>
              <w:jc w:val="left"/>
            </w:pPr>
            <w:r>
              <w:t xml:space="preserve">SOC 2 Type II attestation</w:t>
            </w:r>
          </w:p>
        </w:tc>
        <w:tc>
          <w:tcPr/>
          <w:p>
            <w:pPr>
              <w:pStyle w:val="Compact"/>
              <w:jc w:val="left"/>
            </w:pPr>
            <w:r>
              <w:t xml:space="preserve">Report issued by auditor</w:t>
            </w:r>
          </w:p>
        </w:tc>
        <w:tc>
          <w:tcPr/>
          <w:p>
            <w:pPr>
              <w:pStyle w:val="Compact"/>
              <w:jc w:val="left"/>
            </w:pPr>
            <w:r>
              <w:t xml:space="preserve">30 Sep 2028</w:t>
            </w:r>
          </w:p>
        </w:tc>
      </w:tr>
      <w:tr>
        <w:tc>
          <w:tcPr/>
          <w:p>
            <w:pPr>
              <w:pStyle w:val="Compact"/>
              <w:jc w:val="left"/>
            </w:pPr>
            <w:r>
              <w:t xml:space="preserve">O8</w:t>
            </w:r>
          </w:p>
        </w:tc>
        <w:tc>
          <w:tcPr/>
          <w:p>
            <w:pPr>
              <w:pStyle w:val="Compact"/>
              <w:jc w:val="left"/>
            </w:pPr>
            <w:r>
              <w:t xml:space="preserve">GoldBod Act 1140 integration</w:t>
            </w:r>
          </w:p>
        </w:tc>
        <w:tc>
          <w:tcPr/>
          <w:p>
            <w:pPr>
              <w:pStyle w:val="Compact"/>
              <w:jc w:val="left"/>
            </w:pPr>
            <w:r>
              <w:t xml:space="preserve">Phase 3 GoldBod API integration live</w:t>
            </w:r>
          </w:p>
        </w:tc>
        <w:tc>
          <w:tcPr/>
          <w:p>
            <w:pPr>
              <w:pStyle w:val="Compact"/>
              <w:jc w:val="left"/>
            </w:pPr>
            <w:r>
              <w:t xml:space="preserve">≥ 95% of small-scale-channel trades auto-routed</w:t>
            </w:r>
          </w:p>
        </w:tc>
        <w:tc>
          <w:tcPr/>
          <w:p>
            <w:pPr>
              <w:pStyle w:val="Compact"/>
              <w:jc w:val="left"/>
            </w:pPr>
            <w:r>
              <w:t xml:space="preserve">30 Jun 2028</w:t>
            </w:r>
          </w:p>
        </w:tc>
      </w:tr>
      <w:tr>
        <w:tc>
          <w:tcPr/>
          <w:p>
            <w:pPr>
              <w:pStyle w:val="Compact"/>
              <w:jc w:val="left"/>
            </w:pPr>
            <w:r>
              <w:t xml:space="preserve">O9</w:t>
            </w:r>
          </w:p>
        </w:tc>
        <w:tc>
          <w:tcPr/>
          <w:p>
            <w:pPr>
              <w:pStyle w:val="Compact"/>
              <w:jc w:val="left"/>
            </w:pPr>
            <w:r>
              <w:t xml:space="preserve">Customer satisfaction</w:t>
            </w:r>
          </w:p>
        </w:tc>
        <w:tc>
          <w:tcPr/>
          <w:p>
            <w:pPr>
              <w:pStyle w:val="Compact"/>
              <w:jc w:val="left"/>
            </w:pPr>
            <w:r>
              <w:t xml:space="preserve">NPS</w:t>
            </w:r>
          </w:p>
        </w:tc>
        <w:tc>
          <w:tcPr/>
          <w:p>
            <w:pPr>
              <w:pStyle w:val="Compact"/>
              <w:jc w:val="left"/>
            </w:pPr>
            <w:r>
              <w:t xml:space="preserve">≥ 40</w:t>
            </w:r>
          </w:p>
        </w:tc>
        <w:tc>
          <w:tcPr/>
          <w:p>
            <w:pPr>
              <w:pStyle w:val="Compact"/>
              <w:jc w:val="left"/>
            </w:pPr>
            <w:r>
              <w:t xml:space="preserve">Quarterly from launch</w:t>
            </w:r>
          </w:p>
        </w:tc>
      </w:tr>
      <w:tr>
        <w:tc>
          <w:tcPr/>
          <w:p>
            <w:pPr>
              <w:pStyle w:val="Compact"/>
              <w:jc w:val="left"/>
            </w:pPr>
            <w:r>
              <w:t xml:space="preserve">O10</w:t>
            </w:r>
          </w:p>
        </w:tc>
        <w:tc>
          <w:tcPr/>
          <w:p>
            <w:pPr>
              <w:pStyle w:val="Compact"/>
              <w:jc w:val="left"/>
            </w:pPr>
            <w:r>
              <w:t xml:space="preserve">Unit economics</w:t>
            </w:r>
          </w:p>
        </w:tc>
        <w:tc>
          <w:tcPr/>
          <w:p>
            <w:pPr>
              <w:pStyle w:val="Compact"/>
              <w:jc w:val="left"/>
            </w:pPr>
            <w:r>
              <w:t xml:space="preserve">LTV:CAC ratio</w:t>
            </w:r>
          </w:p>
        </w:tc>
        <w:tc>
          <w:tcPr/>
          <w:p>
            <w:pPr>
              <w:pStyle w:val="Compact"/>
              <w:jc w:val="left"/>
            </w:pPr>
            <w:r>
              <w:t xml:space="preserve">≥ 3:1 (target 5:1)</w:t>
            </w:r>
          </w:p>
        </w:tc>
        <w:tc>
          <w:tcPr/>
          <w:p>
            <w:pPr>
              <w:pStyle w:val="Compact"/>
              <w:jc w:val="left"/>
            </w:pPr>
            <w:r>
              <w:t xml:space="preserve">Measured at month 12</w:t>
            </w:r>
          </w:p>
        </w:tc>
      </w:tr>
      <w:tr>
        <w:tc>
          <w:tcPr/>
          <w:p>
            <w:pPr>
              <w:pStyle w:val="Compact"/>
              <w:jc w:val="left"/>
            </w:pPr>
            <w:r>
              <w:t xml:space="preserve">O11</w:t>
            </w:r>
          </w:p>
        </w:tc>
        <w:tc>
          <w:tcPr/>
          <w:p>
            <w:pPr>
              <w:pStyle w:val="Compact"/>
              <w:jc w:val="left"/>
            </w:pPr>
            <w:r>
              <w:t xml:space="preserve">Financial break-even</w:t>
            </w:r>
          </w:p>
        </w:tc>
        <w:tc>
          <w:tcPr/>
          <w:p>
            <w:pPr>
              <w:pStyle w:val="Compact"/>
              <w:jc w:val="left"/>
            </w:pPr>
            <w:r>
              <w:t xml:space="preserve">Cumulative cash position = 0</w:t>
            </w:r>
          </w:p>
        </w:tc>
        <w:tc>
          <w:tcPr/>
          <w:p>
            <w:pPr>
              <w:pStyle w:val="Compact"/>
              <w:jc w:val="left"/>
            </w:pPr>
            <w:r>
              <w:t xml:space="preserve">Month 22 (Q3 2029)</w:t>
            </w:r>
          </w:p>
        </w:tc>
        <w:tc>
          <w:tcPr/>
          <w:p>
            <w:pPr>
              <w:pStyle w:val="Compact"/>
              <w:jc w:val="left"/>
            </w:pPr>
            <w:r>
              <w:t xml:space="preserve">31 Jul 2029</w:t>
            </w:r>
          </w:p>
        </w:tc>
      </w:tr>
    </w:tbl>
    <w:bookmarkEnd w:id="41"/>
    <w:bookmarkStart w:id="42" w:name="scope"/>
    <w:p>
      <w:pPr>
        <w:pStyle w:val="Heading3"/>
      </w:pPr>
      <w:r>
        <w:t xml:space="preserve">4. Scope</w:t>
      </w:r>
    </w:p>
    <w:p>
      <w:pPr>
        <w:pStyle w:val="FirstParagraph"/>
      </w:pPr>
      <w:r>
        <w:rPr>
          <w:b/>
          <w:bCs/>
        </w:rPr>
        <w:t xml:space="preserve">In-Scope (MVP — Phase 1 + Phase 2):</w:t>
      </w:r>
      <w:r>
        <w:t xml:space="preserve"> </w:t>
      </w:r>
      <w:r>
        <w:t xml:space="preserve">- Digital Member Portal (Phase 1): registration, KYC via Smile Identity, Minerals Commission + GoldBod verification, document repository, in-app messaging, role-based access.</w:t>
      </w:r>
      <w:r>
        <w:t xml:space="preserve"> </w:t>
      </w:r>
      <w:r>
        <w:t xml:space="preserve">- Trading Platform (Phase 2): gold lot creation, RFQs, bid comparison with live LBMA PM Fix overlay, negotiation thread, Chamber trade-approval workflow, digital contracts + e-signature, escrow integration (Stanbic/Ecobank Ghana), delivery tracking.</w:t>
      </w:r>
      <w:r>
        <w:t xml:space="preserve"> </w:t>
      </w:r>
      <w:r>
        <w:t xml:space="preserve">- Compliance Core (cross-cutting): immutable append-only audit log pre-validated against LBMA RGG five-step due diligence; PII handling per DPA 2012 (Act 843); SOC 2-aligned access controls; audit-package export for GoldBod, PMMC, MinComm, GRA, LBMA-aligned refiners.</w:t>
      </w:r>
      <w:r>
        <w:t xml:space="preserve"> </w:t>
      </w:r>
      <w:r>
        <w:t xml:space="preserve">- Infrastructure &amp; DevOps: AWS Ghana (af-west-1) primary with DPA 2012 data residency; DR to AWS af-south-1; CI/CD pipeline; observability (Datadog, Sentry); on-call rotation with 30-minute P1 acknowledgement SLA.</w:t>
      </w:r>
    </w:p>
    <w:p>
      <w:pPr>
        <w:pStyle w:val="BodyText"/>
      </w:pPr>
      <w:r>
        <w:rPr>
          <w:b/>
          <w:bCs/>
        </w:rPr>
        <w:t xml:space="preserve">Out-of-Scope (Deferred to Future Phases):</w:t>
      </w:r>
      <w:r>
        <w:t xml:space="preserve"> </w:t>
      </w:r>
      <w:r>
        <w:t xml:space="preserve">- GoldBod API deep integration → Phase 3 (M8, target 30 Jun 2028).</w:t>
      </w:r>
      <w:r>
        <w:t xml:space="preserve"> </w:t>
      </w:r>
      <w:r>
        <w:t xml:space="preserve">- PMMC API deep integration → Phase 3.</w:t>
      </w:r>
      <w:r>
        <w:t xml:space="preserve"> </w:t>
      </w:r>
      <w:r>
        <w:t xml:space="preserve">- Auction module (timed, reverse, sealed-bid) → Phase 3.</w:t>
      </w:r>
      <w:r>
        <w:t xml:space="preserve"> </w:t>
      </w:r>
      <w:r>
        <w:t xml:space="preserve">- Native mobile apps (iOS/Android) → Phase 5.</w:t>
      </w:r>
      <w:r>
        <w:t xml:space="preserve"> </w:t>
      </w:r>
      <w:r>
        <w:t xml:space="preserve">- Assay service coordination, armored transport booking, vault management, insurance referral → Phase 3.</w:t>
      </w:r>
      <w:r>
        <w:t xml:space="preserve"> </w:t>
      </w:r>
      <w:r>
        <w:t xml:space="preserve">- Market intelligence dashboard, AI price prediction, fraud/collusion detection, sale-timing recommendations → Phase 4.</w:t>
      </w:r>
      <w:r>
        <w:t xml:space="preserve"> </w:t>
      </w:r>
      <w:r>
        <w:t xml:space="preserve">- White-label versions for other commodity associations (cocoa, timber, diamonds) → Future strategic expansion.</w:t>
      </w:r>
      <w:r>
        <w:t xml:space="preserve"> </w:t>
      </w:r>
      <w:r>
        <w:t xml:space="preserve">- ERP integrations (SAP, Oracle, NetSuite) and bank API marketplaces → Out-of-Scope (Enterprise API access only at Enterprise tier, post-launch).</w:t>
      </w:r>
      <w:r>
        <w:t xml:space="preserve"> </w:t>
      </w:r>
      <w:r>
        <w:t xml:space="preserve">- Offline desktop support and offline-first web → Out-of-Scope.</w:t>
      </w:r>
    </w:p>
    <w:bookmarkEnd w:id="42"/>
    <w:bookmarkStart w:id="43" w:name="stakeholders-governance"/>
    <w:p>
      <w:pPr>
        <w:pStyle w:val="Heading3"/>
      </w:pPr>
      <w:r>
        <w:t xml:space="preserve">5. Stakeholders &amp; Governance</w:t>
      </w:r>
    </w:p>
    <w:p>
      <w:pPr>
        <w:pStyle w:val="FirstParagraph"/>
      </w:pPr>
      <w:r>
        <w:rPr>
          <w:b/>
          <w:bCs/>
        </w:rPr>
        <w:t xml:space="preserve">Sponsor:</w:t>
      </w:r>
      <w:r>
        <w:t xml:space="preserve"> </w:t>
      </w:r>
      <w:r>
        <w:t xml:space="preserve">【Sponsor name】, Chief Executive Officer, Smart Innovations Ghana Limited. Budget authority: full authority over US$450K CapEx ceiling (with US$13,450 GoldBod incremental pending approval) and 18-month OpEx runway; authority to approve changes up to US$50K cumulative variance without Steering Committee escalation.</w:t>
      </w:r>
    </w:p>
    <w:p>
      <w:pPr>
        <w:pStyle w:val="BodyText"/>
      </w:pPr>
      <w:r>
        <w:rPr>
          <w:b/>
          <w:bCs/>
        </w:rPr>
        <w:t xml:space="preserve">Project Manager:</w:t>
      </w:r>
      <w:r>
        <w:t xml:space="preserve"> </w:t>
      </w:r>
      <w:r>
        <w:t xml:space="preserve">【PM name】, Project Manager, AurumXchange Initiative. Authority: expend resources within US$463,450 CapEx envelope; draw down contingency up to US$20K without Sponsor approval; day-to-day scope and prioritization; no authority for changes &gt; US$10K CapEx or &gt; 2 weeks schedule slip.</w:t>
      </w:r>
    </w:p>
    <w:tbl>
      <w:tblPr>
        <w:tblStyle w:val="Table"/>
        <w:tblW w:type="pct" w:w="5000"/>
        <w:jc w:val="left"/>
        <w:tblLayout w:type="fixed"/>
        <w:tblLook w:firstRow="1" w:lastRow="0" w:firstColumn="0" w:lastColumn="0" w:noHBand="0" w:noVBand="0" w:val="0020"/>
      </w:tblPr>
      <w:tblGrid>
        <w:gridCol w:w="1397"/>
        <w:gridCol w:w="1397"/>
        <w:gridCol w:w="3727"/>
        <w:gridCol w:w="1397"/>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c>
          <w:tcPr/>
          <w:p>
            <w:pPr>
              <w:pStyle w:val="Compact"/>
              <w:jc w:val="left"/>
            </w:pPr>
            <w:r>
              <w:t xml:space="preserve">RACI</w:t>
            </w:r>
          </w:p>
        </w:tc>
      </w:tr>
      <w:tr>
        <w:tc>
          <w:tcPr/>
          <w:p>
            <w:pPr>
              <w:pStyle w:val="Compact"/>
              <w:jc w:val="left"/>
            </w:pPr>
            <w:r>
              <w:t xml:space="preserve">Sponsor (CEO, Smart Innovations)</w:t>
            </w:r>
          </w:p>
        </w:tc>
        <w:tc>
          <w:tcPr/>
          <w:p>
            <w:pPr>
              <w:pStyle w:val="Compact"/>
              <w:jc w:val="left"/>
            </w:pPr>
            <w:r>
              <w:t xml:space="preserve">【Sponsor name】</w:t>
            </w:r>
          </w:p>
        </w:tc>
        <w:tc>
          <w:tcPr/>
          <w:p>
            <w:pPr>
              <w:pStyle w:val="Compact"/>
              <w:jc w:val="left"/>
            </w:pPr>
            <w:r>
              <w:t xml:space="preserve">Budget authority; ultimate accountability</w:t>
            </w:r>
          </w:p>
        </w:tc>
        <w:tc>
          <w:tcPr/>
          <w:p>
            <w:pPr>
              <w:pStyle w:val="Compact"/>
              <w:jc w:val="left"/>
            </w:pPr>
            <w:r>
              <w:t xml:space="preserve">Accountable for budget, scope, Charter sign-off</w:t>
            </w:r>
          </w:p>
        </w:tc>
      </w:tr>
      <w:tr>
        <w:tc>
          <w:tcPr/>
          <w:p>
            <w:pPr>
              <w:pStyle w:val="Compact"/>
              <w:jc w:val="left"/>
            </w:pPr>
            <w:r>
              <w:t xml:space="preserve">Project Manager</w:t>
            </w:r>
          </w:p>
        </w:tc>
        <w:tc>
          <w:tcPr/>
          <w:p>
            <w:pPr>
              <w:pStyle w:val="Compact"/>
              <w:jc w:val="left"/>
            </w:pPr>
            <w:r>
              <w:t xml:space="preserve">【PM name】</w:t>
            </w:r>
          </w:p>
        </w:tc>
        <w:tc>
          <w:tcPr/>
          <w:p>
            <w:pPr>
              <w:pStyle w:val="Compact"/>
              <w:jc w:val="left"/>
            </w:pPr>
            <w:r>
              <w:t xml:space="preserve">Delivery; day-to-day scope &amp; prioritization</w:t>
            </w:r>
          </w:p>
        </w:tc>
        <w:tc>
          <w:tcPr/>
          <w:p>
            <w:pPr>
              <w:pStyle w:val="Compact"/>
              <w:jc w:val="left"/>
            </w:pPr>
            <w:r>
              <w:t xml:space="preserve">Responsible for execution; Consulted on scope changes</w:t>
            </w:r>
          </w:p>
        </w:tc>
      </w:tr>
      <w:tr>
        <w:tc>
          <w:tcPr/>
          <w:p>
            <w:pPr>
              <w:pStyle w:val="Compact"/>
              <w:jc w:val="left"/>
            </w:pPr>
            <w:r>
              <w:t xml:space="preserve">Product Owner / Head of Product</w:t>
            </w:r>
          </w:p>
        </w:tc>
        <w:tc>
          <w:tcPr/>
          <w:p>
            <w:pPr>
              <w:pStyle w:val="Compact"/>
              <w:jc w:val="left"/>
            </w:pPr>
            <w:r>
              <w:t xml:space="preserve">【PO name】</w:t>
            </w:r>
          </w:p>
        </w:tc>
        <w:tc>
          <w:tcPr/>
          <w:p>
            <w:pPr>
              <w:pStyle w:val="Compact"/>
              <w:jc w:val="left"/>
            </w:pPr>
            <w:r>
              <w:t xml:space="preserve">Roadmap; requirements; Chamber liaison</w:t>
            </w:r>
          </w:p>
        </w:tc>
        <w:tc>
          <w:tcPr/>
          <w:p>
            <w:pPr>
              <w:pStyle w:val="Compact"/>
              <w:jc w:val="left"/>
            </w:pPr>
            <w:r>
              <w:t xml:space="preserve">Responsible for backlog; Accountable for acceptance</w:t>
            </w:r>
          </w:p>
        </w:tc>
      </w:tr>
      <w:tr>
        <w:tc>
          <w:tcPr/>
          <w:p>
            <w:pPr>
              <w:pStyle w:val="Compact"/>
              <w:jc w:val="left"/>
            </w:pPr>
            <w:r>
              <w:t xml:space="preserve">Scrum Master (0.5 FTE)</w:t>
            </w:r>
          </w:p>
        </w:tc>
        <w:tc>
          <w:tcPr/>
          <w:p>
            <w:pPr>
              <w:pStyle w:val="Compact"/>
              <w:jc w:val="left"/>
            </w:pPr>
            <w:r>
              <w:t xml:space="preserve">【SM name】</w:t>
            </w:r>
          </w:p>
        </w:tc>
        <w:tc>
          <w:tcPr/>
          <w:p>
            <w:pPr>
              <w:pStyle w:val="Compact"/>
              <w:jc w:val="left"/>
            </w:pPr>
            <w:r>
              <w:t xml:space="preserve">Sprint process; impediment removal</w:t>
            </w:r>
          </w:p>
        </w:tc>
        <w:tc>
          <w:tcPr/>
          <w:p>
            <w:pPr>
              <w:pStyle w:val="Compact"/>
              <w:jc w:val="left"/>
            </w:pPr>
            <w:r>
              <w:t xml:space="preserve">Responsible for sprint cadence</w:t>
            </w:r>
          </w:p>
        </w:tc>
      </w:tr>
      <w:tr>
        <w:tc>
          <w:tcPr/>
          <w:p>
            <w:pPr>
              <w:pStyle w:val="Compact"/>
              <w:jc w:val="left"/>
            </w:pPr>
            <w:r>
              <w:t xml:space="preserve">Lead Engineer / Tech Lead</w:t>
            </w:r>
          </w:p>
        </w:tc>
        <w:tc>
          <w:tcPr/>
          <w:p>
            <w:pPr>
              <w:pStyle w:val="Compact"/>
              <w:jc w:val="left"/>
            </w:pPr>
            <w:r>
              <w:t xml:space="preserve">【LE name】</w:t>
            </w:r>
          </w:p>
        </w:tc>
        <w:tc>
          <w:tcPr/>
          <w:p>
            <w:pPr>
              <w:pStyle w:val="Compact"/>
              <w:jc w:val="left"/>
            </w:pPr>
            <w:r>
              <w:t xml:space="preserve">Architecture; code quality; technical risk</w:t>
            </w:r>
          </w:p>
        </w:tc>
        <w:tc>
          <w:tcPr/>
          <w:p>
            <w:pPr>
              <w:pStyle w:val="Compact"/>
              <w:jc w:val="left"/>
            </w:pPr>
            <w:r>
              <w:t xml:space="preserve">Consulted on all technical decisions</w:t>
            </w:r>
          </w:p>
        </w:tc>
      </w:tr>
      <w:tr>
        <w:tc>
          <w:tcPr/>
          <w:p>
            <w:pPr>
              <w:pStyle w:val="Compact"/>
              <w:jc w:val="left"/>
            </w:pPr>
            <w:r>
              <w:t xml:space="preserve">QA Lead</w:t>
            </w:r>
          </w:p>
        </w:tc>
        <w:tc>
          <w:tcPr/>
          <w:p>
            <w:pPr>
              <w:pStyle w:val="Compact"/>
              <w:jc w:val="left"/>
            </w:pPr>
            <w:r>
              <w:t xml:space="preserve">【QA name】</w:t>
            </w:r>
          </w:p>
        </w:tc>
        <w:tc>
          <w:tcPr/>
          <w:p>
            <w:pPr>
              <w:pStyle w:val="Compact"/>
              <w:jc w:val="left"/>
            </w:pPr>
            <w:r>
              <w:t xml:space="preserve">Test strategy; quality gate enforcement</w:t>
            </w:r>
          </w:p>
        </w:tc>
        <w:tc>
          <w:tcPr/>
          <w:p>
            <w:pPr>
              <w:pStyle w:val="Compact"/>
              <w:jc w:val="left"/>
            </w:pPr>
            <w:r>
              <w:t xml:space="preserve">Responsible for go/no-go on each release</w:t>
            </w:r>
          </w:p>
        </w:tc>
      </w:tr>
      <w:tr>
        <w:tc>
          <w:tcPr/>
          <w:p>
            <w:pPr>
              <w:pStyle w:val="Compact"/>
              <w:jc w:val="left"/>
            </w:pPr>
            <w:r>
              <w:t xml:space="preserve">CTO</w:t>
            </w:r>
          </w:p>
        </w:tc>
        <w:tc>
          <w:tcPr/>
          <w:p>
            <w:pPr>
              <w:pStyle w:val="Compact"/>
              <w:jc w:val="left"/>
            </w:pPr>
            <w:r>
              <w:t xml:space="preserve">【CTO name】</w:t>
            </w:r>
          </w:p>
        </w:tc>
        <w:tc>
          <w:tcPr/>
          <w:p>
            <w:pPr>
              <w:pStyle w:val="Compact"/>
              <w:jc w:val="left"/>
            </w:pPr>
            <w:r>
              <w:t xml:space="preserve">Technical authority; vendor selection</w:t>
            </w:r>
          </w:p>
        </w:tc>
        <w:tc>
          <w:tcPr/>
          <w:p>
            <w:pPr>
              <w:pStyle w:val="Compact"/>
              <w:jc w:val="left"/>
            </w:pPr>
            <w:r>
              <w:t xml:space="preserve">Accountable for architecture &amp; security</w:t>
            </w:r>
          </w:p>
        </w:tc>
      </w:tr>
      <w:tr>
        <w:tc>
          <w:tcPr/>
          <w:p>
            <w:pPr>
              <w:pStyle w:val="Compact"/>
              <w:jc w:val="left"/>
            </w:pPr>
            <w:r>
              <w:t xml:space="preserve">External Counsel (Ghana-barred)</w:t>
            </w:r>
          </w:p>
        </w:tc>
        <w:tc>
          <w:tcPr/>
          <w:p>
            <w:pPr>
              <w:pStyle w:val="Compact"/>
              <w:jc w:val="left"/>
            </w:pPr>
            <w:r>
              <w:t xml:space="preserve">【Counsel firm】</w:t>
            </w:r>
          </w:p>
        </w:tc>
        <w:tc>
          <w:tcPr/>
          <w:p>
            <w:pPr>
              <w:pStyle w:val="Compact"/>
              <w:jc w:val="left"/>
            </w:pPr>
            <w:r>
              <w:t xml:space="preserve">GoldBod Act 1140 compliance review; DPA 2012; member terms</w:t>
            </w:r>
          </w:p>
        </w:tc>
        <w:tc>
          <w:tcPr/>
          <w:p>
            <w:pPr>
              <w:pStyle w:val="Compact"/>
              <w:jc w:val="left"/>
            </w:pPr>
            <w:r>
              <w:t xml:space="preserve">Consulted on regulatory decisions</w:t>
            </w:r>
          </w:p>
        </w:tc>
      </w:tr>
      <w:tr>
        <w:tc>
          <w:tcPr/>
          <w:p>
            <w:pPr>
              <w:pStyle w:val="Compact"/>
              <w:jc w:val="left"/>
            </w:pPr>
            <w:r>
              <w:t xml:space="preserve">Chamber Representative</w:t>
            </w:r>
          </w:p>
        </w:tc>
        <w:tc>
          <w:tcPr/>
          <w:p>
            <w:pPr>
              <w:pStyle w:val="Compact"/>
              <w:jc w:val="left"/>
            </w:pPr>
            <w:r>
              <w:t xml:space="preserve">Nana Chairperson or delegate</w:t>
            </w:r>
          </w:p>
        </w:tc>
        <w:tc>
          <w:tcPr/>
          <w:p>
            <w:pPr>
              <w:pStyle w:val="Compact"/>
              <w:jc w:val="left"/>
            </w:pPr>
            <w:r>
              <w:t xml:space="preserve">Trade rules; member verification; trade approval policy</w:t>
            </w:r>
          </w:p>
        </w:tc>
        <w:tc>
          <w:tcPr/>
          <w:p>
            <w:pPr>
              <w:pStyle w:val="Compact"/>
              <w:jc w:val="left"/>
            </w:pPr>
            <w:r>
              <w:t xml:space="preserve">Consulted on Chamber-affecting decisions</w:t>
            </w:r>
          </w:p>
        </w:tc>
      </w:tr>
      <w:tr>
        <w:tc>
          <w:tcPr/>
          <w:p>
            <w:pPr>
              <w:pStyle w:val="Compact"/>
              <w:jc w:val="left"/>
            </w:pPr>
            <w:r>
              <w:t xml:space="preserve">End-User Representatives</w:t>
            </w:r>
          </w:p>
        </w:tc>
        <w:tc>
          <w:tcPr/>
          <w:p>
            <w:pPr>
              <w:pStyle w:val="Compact"/>
              <w:jc w:val="left"/>
            </w:pPr>
            <w:r>
              <w:t xml:space="preserve">Abena Owusu, Kofi Mensah, + 1 Tier 1 (Swiss refiner)</w:t>
            </w:r>
          </w:p>
        </w:tc>
        <w:tc>
          <w:tcPr/>
          <w:p>
            <w:pPr>
              <w:pStyle w:val="Compact"/>
              <w:jc w:val="left"/>
            </w:pPr>
            <w:r>
              <w:t xml:space="preserve">Pilot feedback; UAT</w:t>
            </w:r>
          </w:p>
        </w:tc>
        <w:tc>
          <w:tcPr/>
          <w:p>
            <w:pPr>
              <w:pStyle w:val="Compact"/>
              <w:jc w:val="left"/>
            </w:pPr>
            <w:r>
              <w:t xml:space="preserve">Informed + Consulted on UX decisions</w:t>
            </w:r>
          </w:p>
        </w:tc>
      </w:tr>
      <w:tr>
        <w:tc>
          <w:tcPr/>
          <w:p>
            <w:pPr>
              <w:pStyle w:val="Compact"/>
              <w:jc w:val="left"/>
            </w:pPr>
            <w:r>
              <w:t xml:space="preserve">Finance Controller</w:t>
            </w:r>
          </w:p>
        </w:tc>
        <w:tc>
          <w:tcPr/>
          <w:p>
            <w:pPr>
              <w:pStyle w:val="Compact"/>
              <w:jc w:val="left"/>
            </w:pPr>
            <w:r>
              <w:t xml:space="preserve">【FC name】</w:t>
            </w:r>
          </w:p>
        </w:tc>
        <w:tc>
          <w:tcPr/>
          <w:p>
            <w:pPr>
              <w:pStyle w:val="Compact"/>
              <w:jc w:val="left"/>
            </w:pPr>
            <w:r>
              <w:t xml:space="preserve">Variance reporting; accounting treatment</w:t>
            </w:r>
          </w:p>
        </w:tc>
        <w:tc>
          <w:tcPr/>
          <w:p>
            <w:pPr>
              <w:pStyle w:val="Compact"/>
              <w:jc w:val="left"/>
            </w:pPr>
            <w:r>
              <w:t xml:space="preserve">Responsible for monthly variance report</w:t>
            </w:r>
          </w:p>
        </w:tc>
      </w:tr>
    </w:tbl>
    <w:p>
      <w:pPr>
        <w:pStyle w:val="BodyText"/>
      </w:pPr>
      <w:r>
        <w:rPr>
          <w:b/>
          <w:bCs/>
        </w:rPr>
        <w:t xml:space="preserve">Decision-Making Structure:</w:t>
      </w:r>
      <w:r>
        <w:t xml:space="preserve"> </w:t>
      </w:r>
      <w:r>
        <w:t xml:space="preserve">- Steering Committee cadence: Monthly, 90 minutes, first Tuesday. Attendees: Sponsor, PM, CTO, Head of Product, Chamber Representative, Finance Controller, External Counsel (when regulatory items on agenda).</w:t>
      </w:r>
      <w:r>
        <w:t xml:space="preserve"> </w:t>
      </w:r>
      <w:r>
        <w:t xml:space="preserve">- Sprint cadence: Two-week sprints; sprint review on the second Friday; retrospective same Friday; backlog grooming on the Wednesday before sprint planning.</w:t>
      </w:r>
      <w:r>
        <w:t xml:space="preserve"> </w:t>
      </w:r>
      <w:r>
        <w:t xml:space="preserve">- Escalation path: Team member → PM (same day) → Sponsor (within 24 hours if budget/scope) → Steering Committee (within 5 business days if &gt; US$50K or &gt; 2 weeks slip).</w:t>
      </w:r>
      <w:r>
        <w:t xml:space="preserve"> </w:t>
      </w:r>
      <w:r>
        <w:t xml:space="preserve">- GoldBod regulatory liaison: External Counsel maintains the GoldBod relationship; any change to Act 1140 implementing regulations or the GoldBod API specification triggers immediate Steering Committee notification per Table 4.F.</w:t>
      </w:r>
    </w:p>
    <w:bookmarkEnd w:id="43"/>
    <w:bookmarkStart w:id="44" w:name="high-level-timeline-milestones"/>
    <w:p>
      <w:pPr>
        <w:pStyle w:val="Heading3"/>
      </w:pPr>
      <w:r>
        <w:t xml:space="preserve">6. High-Level Timeline &amp; Milestones</w:t>
      </w:r>
    </w:p>
    <w:tbl>
      <w:tblPr>
        <w:tblStyle w:val="Table"/>
        <w:tblW w:type="pct" w:w="5000"/>
        <w:jc w:val="left"/>
        <w:tblLayout w:type="fixed"/>
        <w:tblLook w:firstRow="1" w:lastRow="0" w:firstColumn="0" w:lastColumn="0" w:noHBand="0" w:noVBand="0" w:val="0020"/>
      </w:tblPr>
      <w:tblGrid>
        <w:gridCol w:w="1458"/>
        <w:gridCol w:w="1667"/>
        <w:gridCol w:w="3334"/>
        <w:gridCol w:w="1458"/>
      </w:tblGrid>
      <w:tr>
        <w:trPr>
          <w:tblHeader w:val="on"/>
        </w:trPr>
        <w:tc>
          <w:tcPr/>
          <w:p>
            <w:pPr>
              <w:pStyle w:val="Compact"/>
              <w:jc w:val="left"/>
            </w:pPr>
            <w:r>
              <w:t xml:space="preserve">Phase</w:t>
            </w:r>
          </w:p>
        </w:tc>
        <w:tc>
          <w:tcPr/>
          <w:p>
            <w:pPr>
              <w:pStyle w:val="Compact"/>
              <w:jc w:val="left"/>
            </w:pPr>
            <w:r>
              <w:t xml:space="preserve">Window</w:t>
            </w:r>
          </w:p>
        </w:tc>
        <w:tc>
          <w:tcPr/>
          <w:p>
            <w:pPr>
              <w:pStyle w:val="Compact"/>
              <w:jc w:val="left"/>
            </w:pPr>
            <w:r>
              <w:t xml:space="preserve">Exit Criterion</w:t>
            </w:r>
          </w:p>
        </w:tc>
        <w:tc>
          <w:tcPr/>
          <w:p>
            <w:pPr>
              <w:pStyle w:val="Compact"/>
              <w:jc w:val="left"/>
            </w:pPr>
            <w:r>
              <w:t xml:space="preserve">Owner</w:t>
            </w:r>
          </w:p>
        </w:tc>
      </w:tr>
      <w:tr>
        <w:tc>
          <w:tcPr/>
          <w:p>
            <w:pPr>
              <w:pStyle w:val="Compact"/>
              <w:jc w:val="left"/>
            </w:pPr>
            <w:r>
              <w:t xml:space="preserve">M0 — Charter sign-off</w:t>
            </w:r>
          </w:p>
        </w:tc>
        <w:tc>
          <w:tcPr/>
          <w:p>
            <w:pPr>
              <w:pStyle w:val="Compact"/>
              <w:jc w:val="left"/>
            </w:pPr>
            <w:r>
              <w:t xml:space="preserve">By 15 Aug 2026</w:t>
            </w:r>
          </w:p>
        </w:tc>
        <w:tc>
          <w:tcPr/>
          <w:p>
            <w:pPr>
              <w:pStyle w:val="Compact"/>
              <w:jc w:val="left"/>
            </w:pPr>
            <w:r>
              <w:t xml:space="preserve">Signed Charter + CapEx released</w:t>
            </w:r>
          </w:p>
        </w:tc>
        <w:tc>
          <w:tcPr/>
          <w:p>
            <w:pPr>
              <w:pStyle w:val="Compact"/>
              <w:jc w:val="left"/>
            </w:pPr>
            <w:r>
              <w:t xml:space="preserve">Sponsor</w:t>
            </w:r>
          </w:p>
        </w:tc>
      </w:tr>
      <w:tr>
        <w:tc>
          <w:tcPr/>
          <w:p>
            <w:pPr>
              <w:pStyle w:val="Compact"/>
              <w:jc w:val="left"/>
            </w:pPr>
            <w:r>
              <w:t xml:space="preserve">M1 — Discovery</w:t>
            </w:r>
          </w:p>
        </w:tc>
        <w:tc>
          <w:tcPr/>
          <w:p>
            <w:pPr>
              <w:pStyle w:val="Compact"/>
              <w:jc w:val="left"/>
            </w:pPr>
            <w:r>
              <w:t xml:space="preserve">15 Aug – 30 Sep 2026</w:t>
            </w:r>
          </w:p>
        </w:tc>
        <w:tc>
          <w:tcPr/>
          <w:p>
            <w:pPr>
              <w:pStyle w:val="Compact"/>
              <w:jc w:val="left"/>
            </w:pPr>
            <w:r>
              <w:t xml:space="preserve">Requirements backlog + Smile Identity KYC PoC + GoldBod Act 1140 compliance review complete</w:t>
            </w:r>
          </w:p>
        </w:tc>
        <w:tc>
          <w:tcPr/>
          <w:p>
            <w:pPr>
              <w:pStyle w:val="Compact"/>
              <w:jc w:val="left"/>
            </w:pPr>
            <w:r>
              <w:t xml:space="preserve">Head of Product + External Counsel</w:t>
            </w:r>
          </w:p>
        </w:tc>
      </w:tr>
      <w:tr>
        <w:tc>
          <w:tcPr/>
          <w:p>
            <w:pPr>
              <w:pStyle w:val="Compact"/>
              <w:jc w:val="left"/>
            </w:pPr>
            <w:r>
              <w:t xml:space="preserve">M2 — Design</w:t>
            </w:r>
          </w:p>
        </w:tc>
        <w:tc>
          <w:tcPr/>
          <w:p>
            <w:pPr>
              <w:pStyle w:val="Compact"/>
              <w:jc w:val="left"/>
            </w:pPr>
            <w:r>
              <w:t xml:space="preserve">1 Oct – 30 Nov 2026</w:t>
            </w:r>
          </w:p>
        </w:tc>
        <w:tc>
          <w:tcPr/>
          <w:p>
            <w:pPr>
              <w:pStyle w:val="Compact"/>
              <w:jc w:val="left"/>
            </w:pPr>
            <w:r>
              <w:t xml:space="preserve">UX wireframes + audit-log architecture decision record (LBMA RGG pre-validated) + Chamber sign-off on trade-approval workflow + GoldBod liaison sign-off on integration approach</w:t>
            </w:r>
          </w:p>
        </w:tc>
        <w:tc>
          <w:tcPr/>
          <w:p>
            <w:pPr>
              <w:pStyle w:val="Compact"/>
              <w:jc w:val="left"/>
            </w:pPr>
            <w:r>
              <w:t xml:space="preserve">Head of Product + CTO</w:t>
            </w:r>
          </w:p>
        </w:tc>
      </w:tr>
      <w:tr>
        <w:tc>
          <w:tcPr/>
          <w:p>
            <w:pPr>
              <w:pStyle w:val="Compact"/>
              <w:jc w:val="left"/>
            </w:pPr>
            <w:r>
              <w:t xml:space="preserve">M3 — Development</w:t>
            </w:r>
          </w:p>
        </w:tc>
        <w:tc>
          <w:tcPr/>
          <w:p>
            <w:pPr>
              <w:pStyle w:val="Compact"/>
              <w:jc w:val="left"/>
            </w:pPr>
            <w:r>
              <w:t xml:space="preserve">1 Dec 2026 – 31 Jul 2027</w:t>
            </w:r>
          </w:p>
        </w:tc>
        <w:tc>
          <w:tcPr/>
          <w:p>
            <w:pPr>
              <w:pStyle w:val="Compact"/>
              <w:jc w:val="left"/>
            </w:pPr>
            <w:r>
              <w:t xml:space="preserve">Phase 1 + Phase 2 features complete; CI/CD green; sandbox bank escrow integration verified (Stanbic/Ecobank Ghana)</w:t>
            </w:r>
          </w:p>
        </w:tc>
        <w:tc>
          <w:tcPr/>
          <w:p>
            <w:pPr>
              <w:pStyle w:val="Compact"/>
              <w:jc w:val="left"/>
            </w:pPr>
            <w:r>
              <w:t xml:space="preserve">CTO</w:t>
            </w:r>
          </w:p>
        </w:tc>
      </w:tr>
      <w:tr>
        <w:tc>
          <w:tcPr/>
          <w:p>
            <w:pPr>
              <w:pStyle w:val="Compact"/>
              <w:jc w:val="left"/>
            </w:pPr>
            <w:r>
              <w:t xml:space="preserve">M4 — QA</w:t>
            </w:r>
          </w:p>
        </w:tc>
        <w:tc>
          <w:tcPr/>
          <w:p>
            <w:pPr>
              <w:pStyle w:val="Compact"/>
              <w:jc w:val="left"/>
            </w:pPr>
            <w:r>
              <w:t xml:space="preserve">1 Aug – 31 Aug 2027</w:t>
            </w:r>
          </w:p>
        </w:tc>
        <w:tc>
          <w:tcPr/>
          <w:p>
            <w:pPr>
              <w:pStyle w:val="Compact"/>
              <w:jc w:val="left"/>
            </w:pPr>
            <w:r>
              <w:t xml:space="preserve">Regression suite passing; pre-launch penetration test complete; 0 critical findings</w:t>
            </w:r>
          </w:p>
        </w:tc>
        <w:tc>
          <w:tcPr/>
          <w:p>
            <w:pPr>
              <w:pStyle w:val="Compact"/>
              <w:jc w:val="left"/>
            </w:pPr>
            <w:r>
              <w:t xml:space="preserve">QA Lead</w:t>
            </w:r>
          </w:p>
        </w:tc>
      </w:tr>
      <w:tr>
        <w:tc>
          <w:tcPr/>
          <w:p>
            <w:pPr>
              <w:pStyle w:val="Compact"/>
              <w:jc w:val="left"/>
            </w:pPr>
            <w:r>
              <w:t xml:space="preserve">M5 — UAT</w:t>
            </w:r>
          </w:p>
        </w:tc>
        <w:tc>
          <w:tcPr/>
          <w:p>
            <w:pPr>
              <w:pStyle w:val="Compact"/>
              <w:jc w:val="left"/>
            </w:pPr>
            <w:r>
              <w:t xml:space="preserve">1 Sep – 20 Sep 2027</w:t>
            </w:r>
          </w:p>
        </w:tc>
        <w:tc>
          <w:tcPr/>
          <w:p>
            <w:pPr>
              <w:pStyle w:val="Compact"/>
              <w:jc w:val="left"/>
            </w:pPr>
            <w:r>
              <w:t xml:space="preserve">3 pilot members complete ≥ 1 trade end-to-end; NPS from pilot ≥ 30</w:t>
            </w:r>
          </w:p>
        </w:tc>
        <w:tc>
          <w:tcPr/>
          <w:p>
            <w:pPr>
              <w:pStyle w:val="Compact"/>
              <w:jc w:val="left"/>
            </w:pPr>
            <w:r>
              <w:t xml:space="preserve">Head of Product</w:t>
            </w:r>
          </w:p>
        </w:tc>
      </w:tr>
      <w:tr>
        <w:tc>
          <w:tcPr/>
          <w:p>
            <w:pPr>
              <w:pStyle w:val="Compact"/>
              <w:jc w:val="left"/>
            </w:pPr>
            <w:r>
              <w:rPr>
                <w:b/>
                <w:bCs/>
              </w:rPr>
              <w:t xml:space="preserve">M6 — Launch</w:t>
            </w:r>
          </w:p>
        </w:tc>
        <w:tc>
          <w:tcPr/>
          <w:p>
            <w:pPr>
              <w:pStyle w:val="Compact"/>
              <w:jc w:val="left"/>
            </w:pPr>
            <w:r>
              <w:rPr>
                <w:b/>
                <w:bCs/>
              </w:rPr>
              <w:t xml:space="preserve">30 September 2027 (Q3 2027)</w:t>
            </w:r>
          </w:p>
        </w:tc>
        <w:tc>
          <w:tcPr/>
          <w:p>
            <w:pPr>
              <w:pStyle w:val="Compact"/>
              <w:jc w:val="left"/>
            </w:pPr>
            <w:r>
              <w:t xml:space="preserve">MVP live in production on AWS Ghana; first real gold trade settled via escrow</w:t>
            </w:r>
          </w:p>
        </w:tc>
        <w:tc>
          <w:tcPr/>
          <w:p>
            <w:pPr>
              <w:pStyle w:val="Compact"/>
              <w:jc w:val="left"/>
            </w:pPr>
            <w:r>
              <w:t xml:space="preserve">PM + CTO</w:t>
            </w:r>
          </w:p>
        </w:tc>
      </w:tr>
      <w:tr>
        <w:tc>
          <w:tcPr/>
          <w:p>
            <w:pPr>
              <w:pStyle w:val="Compact"/>
              <w:jc w:val="left"/>
            </w:pPr>
            <w:r>
              <w:t xml:space="preserve">M7 — SOC 2 Type II issued</w:t>
            </w:r>
          </w:p>
        </w:tc>
        <w:tc>
          <w:tcPr/>
          <w:p>
            <w:pPr>
              <w:pStyle w:val="Compact"/>
              <w:jc w:val="left"/>
            </w:pPr>
            <w:r>
              <w:t xml:space="preserve">By 30 Sep 2028</w:t>
            </w:r>
          </w:p>
        </w:tc>
        <w:tc>
          <w:tcPr/>
          <w:p>
            <w:pPr>
              <w:pStyle w:val="Compact"/>
              <w:jc w:val="left"/>
            </w:pPr>
            <w:r>
              <w:t xml:space="preserve">Auditor report issued</w:t>
            </w:r>
          </w:p>
        </w:tc>
        <w:tc>
          <w:tcPr/>
          <w:p>
            <w:pPr>
              <w:pStyle w:val="Compact"/>
              <w:jc w:val="left"/>
            </w:pPr>
            <w:r>
              <w:t xml:space="preserve">External auditor + CTO</w:t>
            </w:r>
          </w:p>
        </w:tc>
      </w:tr>
      <w:tr>
        <w:tc>
          <w:tcPr/>
          <w:p>
            <w:pPr>
              <w:pStyle w:val="Compact"/>
              <w:jc w:val="left"/>
            </w:pPr>
            <w:r>
              <w:t xml:space="preserve">M8 — Phase 3 GoldBod + PMMC deep integration live</w:t>
            </w:r>
          </w:p>
        </w:tc>
        <w:tc>
          <w:tcPr/>
          <w:p>
            <w:pPr>
              <w:pStyle w:val="Compact"/>
              <w:jc w:val="left"/>
            </w:pPr>
            <w:r>
              <w:t xml:space="preserve">By 30 Jun 2028</w:t>
            </w:r>
          </w:p>
        </w:tc>
        <w:tc>
          <w:tcPr/>
          <w:p>
            <w:pPr>
              <w:pStyle w:val="Compact"/>
              <w:jc w:val="left"/>
            </w:pPr>
            <w:r>
              <w:t xml:space="preserve">≥ 95% of small-scale-channel trades auto-routed through GoldBod; PMMC release workflow automated end-to-end</w:t>
            </w:r>
          </w:p>
        </w:tc>
        <w:tc>
          <w:tcPr/>
          <w:p>
            <w:pPr>
              <w:pStyle w:val="Compact"/>
              <w:jc w:val="left"/>
            </w:pPr>
            <w:r>
              <w:t xml:space="preserve">CTO + Head of Product</w:t>
            </w:r>
          </w:p>
        </w:tc>
      </w:tr>
    </w:tbl>
    <w:p>
      <w:pPr>
        <w:pStyle w:val="BodyText"/>
      </w:pPr>
      <w:r>
        <w:rPr>
          <w:b/>
          <w:bCs/>
        </w:rPr>
        <w:t xml:space="preserve">Date reconciliation note:</w:t>
      </w:r>
      <w:r>
        <w:t xml:space="preserve"> </w:t>
      </w:r>
      <w:r>
        <w:t xml:space="preserve">The locked assumption was</w:t>
      </w:r>
      <w:r>
        <w:t xml:space="preserve"> </w:t>
      </w:r>
      <w:r>
        <w:t xml:space="preserve">‘</w:t>
      </w:r>
      <w:r>
        <w:t xml:space="preserve">MVP launch Q1 2027.</w:t>
      </w:r>
      <w:r>
        <w:t xml:space="preserve">’</w:t>
      </w:r>
      <w:r>
        <w:t xml:space="preserve"> </w:t>
      </w:r>
      <w:r>
        <w:t xml:space="preserve">On a 13-month build from an August 2026 Charter sign-off, the realistic launch window is</w:t>
      </w:r>
      <w:r>
        <w:t xml:space="preserve"> </w:t>
      </w:r>
      <w:r>
        <w:rPr>
          <w:b/>
          <w:bCs/>
        </w:rPr>
        <w:t xml:space="preserve">Q3 2027 (30 September 2027)</w:t>
      </w:r>
      <w:r>
        <w:t xml:space="preserve">. The original Q1 2027 target would have required an aggressive 6-month build, incompatible with the regulated nature of the platform — extended KYC integration, escrow bank onboarding, SOC 2 readiness, and the GoldBod Act 1140 compliance review all require calendar time. The Financial Documentation’s break-even at month 22 shifts accordingly to</w:t>
      </w:r>
      <w:r>
        <w:t xml:space="preserve"> </w:t>
      </w:r>
      <w:r>
        <w:rPr>
          <w:b/>
          <w:bCs/>
        </w:rPr>
        <w:t xml:space="preserve">Q3 2029 (31 July 2029)</w:t>
      </w:r>
      <w:r>
        <w:t xml:space="preserve">, not Q4 2028. This is the single reconciliation the Golden Thread absorbs.</w:t>
      </w:r>
    </w:p>
    <w:bookmarkEnd w:id="44"/>
    <w:bookmarkStart w:id="45" w:name="resources"/>
    <w:p>
      <w:pPr>
        <w:pStyle w:val="Heading3"/>
      </w:pPr>
      <w:r>
        <w:t xml:space="preserve">7. Resources</w:t>
      </w:r>
    </w:p>
    <w:p>
      <w:pPr>
        <w:pStyle w:val="FirstParagraph"/>
      </w:pPr>
      <w:r>
        <w:rPr>
          <w:b/>
          <w:bCs/>
        </w:rPr>
        <w:t xml:space="preserve">Team Composition:</w:t>
      </w:r>
      <w:r>
        <w:t xml:space="preserve"> </w:t>
      </w:r>
      <w:r>
        <w:t xml:space="preserve">- 12 FTE at peak build (December 2026 – July 2027): 1 CTO (0.5 FTE), 1 Head of Product (1.0 FTE), 4 senior backend engineers (2.0 FTE peak), 2 senior frontend engineers, 1 DevOps/SRE, 1 QA Lead (joined month 8), 1 UI/UX Designer (0.5 FTE × 6 months), 1 PM (0.5 FTE). Team based in Accra with satellite presence in Kumasi.</w:t>
      </w:r>
      <w:r>
        <w:t xml:space="preserve"> </w:t>
      </w:r>
      <w:r>
        <w:t xml:space="preserve">- Post-launch (from October 2027): Retain 3 FTE for enhancements and incident response (1 backend, 1 frontend, 1 DevOps); add 2 Tier 1 support + 1 Customer Success Manager (6 FTE steady-state). Engineering scales back up to 8 FTE for Phase 3 build (Q1 2028).</w:t>
      </w:r>
    </w:p>
    <w:p>
      <w:pPr>
        <w:pStyle w:val="BodyText"/>
      </w:pPr>
      <w:r>
        <w:rPr>
          <w:b/>
          <w:bCs/>
        </w:rPr>
        <w:t xml:space="preserve">Estimated Budget Summary:</w:t>
      </w:r>
      <w:r>
        <w:t xml:space="preserve"> </w:t>
      </w:r>
      <w:r>
        <w:t xml:space="preserve">- CapEx (build, 13 months):</w:t>
      </w:r>
      <w:r>
        <w:t xml:space="preserve"> </w:t>
      </w:r>
      <w:r>
        <w:rPr>
          <w:b/>
          <w:bCs/>
        </w:rPr>
        <w:t xml:space="preserve">US$463,450</w:t>
      </w:r>
      <w:r>
        <w:t xml:space="preserve"> </w:t>
      </w:r>
      <w:r>
        <w:t xml:space="preserve">(per Table 4.1) — US$13,450 above the US$450,000 ceiling. Sponsor decision: (a) approve ceiling increase to US$463,450 preserving full contingency; or (b) absorb overrun from contingency (reducing contingency from US$60,450 to US$47,000).</w:t>
      </w:r>
      <w:r>
        <w:t xml:space="preserve"> </w:t>
      </w:r>
      <w:r>
        <w:rPr>
          <w:b/>
          <w:bCs/>
        </w:rPr>
        <w:t xml:space="preserve">Recommended: (a) ceiling increase.</w:t>
      </w:r>
      <w:r>
        <w:t xml:space="preserve"> </w:t>
      </w:r>
      <w:r>
        <w:t xml:space="preserve">- OpEx runway (18 months post-launch):</w:t>
      </w:r>
      <w:r>
        <w:t xml:space="preserve"> </w:t>
      </w:r>
      <w:r>
        <w:rPr>
          <w:b/>
          <w:bCs/>
        </w:rPr>
        <w:t xml:space="preserve">~US$715,000</w:t>
      </w:r>
      <w:r>
        <w:t xml:space="preserve"> </w:t>
      </w:r>
      <w:r>
        <w:t xml:space="preserve">(per Financial Doc Section B).</w:t>
      </w:r>
      <w:r>
        <w:t xml:space="preserve"> </w:t>
      </w:r>
      <w:r>
        <w:t xml:space="preserve">- Total capital required to break-even:</w:t>
      </w:r>
      <w:r>
        <w:t xml:space="preserve"> </w:t>
      </w:r>
      <w:r>
        <w:rPr>
          <w:b/>
          <w:bCs/>
        </w:rPr>
        <w:t xml:space="preserve">~US$1,178,450</w:t>
      </w:r>
      <w:r>
        <w:t xml:space="preserve"> </w:t>
      </w:r>
      <w:r>
        <w:t xml:space="preserve">(CapEx + OpEx), plus a US$170,000 bridge between month 18 (Q1 2029) and month 22 (Q3 2029) — to be covered by a Series A round in month 18 (Q1 2029).</w:t>
      </w:r>
    </w:p>
    <w:p>
      <w:pPr>
        <w:pStyle w:val="BodyText"/>
      </w:pPr>
      <w:r>
        <w:rPr>
          <w:b/>
          <w:bCs/>
        </w:rPr>
        <w:t xml:space="preserve">Tools, Infrastructure &amp; Third-Party Dependencies:</w:t>
      </w:r>
      <w:r>
        <w:t xml:space="preserve"> </w:t>
      </w:r>
      <w:r>
        <w:t xml:space="preserve">- Source control &amp; CI/CD: GitHub Enterprise + GitHub Actions; deployment via ArgoCD or AWS CodePipeline.</w:t>
      </w:r>
      <w:r>
        <w:t xml:space="preserve"> </w:t>
      </w:r>
      <w:r>
        <w:t xml:space="preserve">- Project management: Jira + Confluence.</w:t>
      </w:r>
      <w:r>
        <w:t xml:space="preserve"> </w:t>
      </w:r>
      <w:r>
        <w:t xml:space="preserve">- Observability: Datadog (APM, logs, dashboards), Sentry (error tracking), Snyk (dependency security), GitHub Dependabot.</w:t>
      </w:r>
      <w:r>
        <w:t xml:space="preserve"> </w:t>
      </w:r>
      <w:r>
        <w:t xml:space="preserve">- Cloud: AWS Ghana (af-west-1, GA since 2021) for DPA 2012 data residency; DR to AWS af-south-1 (Cape Town).</w:t>
      </w:r>
      <w:r>
        <w:t xml:space="preserve"> </w:t>
      </w:r>
      <w:r>
        <w:t xml:space="preserve">- Identity &amp; KYC: Smile Identity (preferred; 50+ African countries) or Youverify (fallback).</w:t>
      </w:r>
      <w:r>
        <w:t xml:space="preserve"> </w:t>
      </w:r>
      <w:r>
        <w:t xml:space="preserve">- Escrow banking: Stanbic Bank Ghana or Ecobank Ghana — both confirmed operating corporate banking in Ghana. Selection completed during M1 Discovery; partner must be LBMA-aligned.</w:t>
      </w:r>
      <w:r>
        <w:t xml:space="preserve"> </w:t>
      </w:r>
      <w:r>
        <w:t xml:space="preserve">- LBMA price feed: PM Fix via authorized data vendor (FastMarkets or Refinitiv).</w:t>
      </w:r>
      <w:r>
        <w:t xml:space="preserve"> </w:t>
      </w:r>
      <w:r>
        <w:t xml:space="preserve">- GoldBod (Act 1140): integration with the Ghana Gold Board’s small-scale-mined gold channel; regulatory liaison maintained by External Counsel; API integration deep-build deferred to Phase 3 (M8).</w:t>
      </w:r>
      <w:r>
        <w:t xml:space="preserve"> </w:t>
      </w:r>
      <w:r>
        <w:t xml:space="preserve">- PMMC and Minerals Commission: integration via API where available, manual workflow where not (Phase 3 closes the loop).</w:t>
      </w:r>
      <w:r>
        <w:t xml:space="preserve"> </w:t>
      </w:r>
      <w:r>
        <w:t xml:space="preserve">- Bank of Ghana: DGPP reference prices + forex verification for export proceeds.</w:t>
      </w:r>
      <w:r>
        <w:t xml:space="preserve"> </w:t>
      </w:r>
      <w:r>
        <w:t xml:space="preserve">- External auditor for SOC 2 Type II: Selection completed during M1 Discovery; contract signed before M3 begins.</w:t>
      </w:r>
    </w:p>
    <w:bookmarkEnd w:id="45"/>
    <w:bookmarkStart w:id="46" w:name="X3560824e3f935c2df330af0f6a32948a5fd4238"/>
    <w:p>
      <w:pPr>
        <w:pStyle w:val="Heading3"/>
      </w:pPr>
      <w:r>
        <w:t xml:space="preserve">8. Risks, Assumptions, Constraints &amp; Mitigations</w:t>
      </w:r>
    </w:p>
    <w:p>
      <w:pPr>
        <w:pStyle w:val="FirstParagraph"/>
      </w:pPr>
      <w:r>
        <w:rPr>
          <w:b/>
          <w:bCs/>
        </w:rPr>
        <w:t xml:space="preserve">Top 11 Risks:</w:t>
      </w:r>
    </w:p>
    <w:tbl>
      <w:tblPr>
        <w:tblStyle w:val="Table"/>
        <w:tblW w:type="pct" w:w="5000"/>
        <w:jc w:val="left"/>
        <w:tblLayout w:type="fixed"/>
        <w:tblLook w:firstRow="1" w:lastRow="0" w:firstColumn="0" w:lastColumn="0" w:noHBand="0" w:noVBand="0" w:val="0020"/>
      </w:tblPr>
      <w:tblGrid>
        <w:gridCol w:w="475"/>
        <w:gridCol w:w="950"/>
        <w:gridCol w:w="1584"/>
        <w:gridCol w:w="1742"/>
        <w:gridCol w:w="1267"/>
        <w:gridCol w:w="190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Category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GoldBod Act 1140 implementing regulations or API specification changes during build window</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External Counsel maintains GoldBod relationship; quarterly regulatory review; sandbox integration PoC in M1 Discovery; 15% contingency absorbs rework</w:t>
            </w:r>
          </w:p>
        </w:tc>
      </w:tr>
      <w:tr>
        <w:tc>
          <w:tcPr/>
          <w:p>
            <w:pPr>
              <w:pStyle w:val="Compact"/>
              <w:jc w:val="left"/>
            </w:pPr>
            <w:r>
              <w:t xml:space="preserve">R2</w:t>
            </w:r>
          </w:p>
        </w:tc>
        <w:tc>
          <w:tcPr/>
          <w:p>
            <w:pPr>
              <w:pStyle w:val="Compact"/>
              <w:jc w:val="left"/>
            </w:pPr>
            <w:r>
              <w:t xml:space="preserve">KYC/AML API latency or downtime during onboarding (Smile Identity)</w:t>
            </w:r>
          </w:p>
        </w:tc>
        <w:tc>
          <w:tcPr/>
          <w:p>
            <w:pPr>
              <w:pStyle w:val="Compact"/>
              <w:jc w:val="left"/>
            </w:pPr>
            <w:r>
              <w:t xml:space="preserve">Technical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Fallback to Youverify; queue onboarding if both fail; SLA of 30s p95 with Smile Identity in contract</w:t>
            </w:r>
          </w:p>
        </w:tc>
      </w:tr>
      <w:tr>
        <w:tc>
          <w:tcPr/>
          <w:p>
            <w:pPr>
              <w:pStyle w:val="Compact"/>
              <w:jc w:val="left"/>
            </w:pPr>
            <w:r>
              <w:t xml:space="preserve">R3</w:t>
            </w:r>
          </w:p>
        </w:tc>
        <w:tc>
          <w:tcPr/>
          <w:p>
            <w:pPr>
              <w:pStyle w:val="Compact"/>
              <w:jc w:val="left"/>
            </w:pPr>
            <w:r>
              <w:t xml:space="preserve">Escrow bank onboarding takes &gt; 90 days (Stanbic/Ecobank)</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Begin bank selection during M1 Discovery; pre-negotiate with 2 candidate banks; fallback to manual escrow workflow in MVP</w:t>
            </w:r>
          </w:p>
        </w:tc>
      </w:tr>
      <w:tr>
        <w:tc>
          <w:tcPr/>
          <w:p>
            <w:pPr>
              <w:pStyle w:val="Compact"/>
              <w:jc w:val="left"/>
            </w:pPr>
            <w:r>
              <w:t xml:space="preserve">R4</w:t>
            </w:r>
          </w:p>
        </w:tc>
        <w:tc>
          <w:tcPr/>
          <w:p>
            <w:pPr>
              <w:pStyle w:val="Compact"/>
              <w:jc w:val="left"/>
            </w:pPr>
            <w:r>
              <w:t xml:space="preserve">PMMC API not available for export workflow integration</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MVP delivers audit-package export only; full PMMC API integration deferred to Phase 3 (M8) with manual workaround in interim</w:t>
            </w:r>
          </w:p>
        </w:tc>
      </w:tr>
      <w:tr>
        <w:tc>
          <w:tcPr/>
          <w:p>
            <w:pPr>
              <w:pStyle w:val="Compact"/>
              <w:jc w:val="left"/>
            </w:pPr>
            <w:r>
              <w:t xml:space="preserve">R5</w:t>
            </w:r>
          </w:p>
        </w:tc>
        <w:tc>
          <w:tcPr/>
          <w:p>
            <w:pPr>
              <w:pStyle w:val="Compact"/>
              <w:jc w:val="left"/>
            </w:pPr>
            <w:r>
              <w:t xml:space="preserve">LBMA Responsible Gold Guidance audit fails on platform design</w:t>
            </w:r>
          </w:p>
        </w:tc>
        <w:tc>
          <w:tcPr/>
          <w:p>
            <w:pPr>
              <w:pStyle w:val="Compact"/>
              <w:jc w:val="left"/>
            </w:pPr>
            <w:r>
              <w:t xml:space="preserve">Compliance</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Engage LBMA-aligned auditor in M2 Design; pre-validate audit-log architecture against LBMA RGG five-step due diligence</w:t>
            </w:r>
          </w:p>
        </w:tc>
      </w:tr>
      <w:tr>
        <w:tc>
          <w:tcPr/>
          <w:p>
            <w:pPr>
              <w:pStyle w:val="Compact"/>
              <w:jc w:val="left"/>
            </w:pPr>
            <w:r>
              <w:t xml:space="preserve">R6</w:t>
            </w:r>
          </w:p>
        </w:tc>
        <w:tc>
          <w:tcPr/>
          <w:p>
            <w:pPr>
              <w:pStyle w:val="Compact"/>
              <w:jc w:val="left"/>
            </w:pPr>
            <w:r>
              <w:t xml:space="preserve">Chamber member adoption below projection (&lt; 250 verified by Y1 end)</w:t>
            </w:r>
          </w:p>
        </w:tc>
        <w:tc>
          <w:tcPr/>
          <w:p>
            <w:pPr>
              <w:pStyle w:val="Compact"/>
              <w:jc w:val="left"/>
            </w:pPr>
            <w:r>
              <w:t xml:space="preserve">Market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Co-funded marketing with Chamber; 14-day free Professional trial; in-person demo events in Accra, Kumasi, Tarkwa, Obuasi; PM triggers revenue-model refresh if Q2 actuals &gt; 20% below plan</w:t>
            </w:r>
          </w:p>
        </w:tc>
      </w:tr>
      <w:tr>
        <w:tc>
          <w:tcPr/>
          <w:p>
            <w:pPr>
              <w:pStyle w:val="Compact"/>
              <w:jc w:val="left"/>
            </w:pPr>
            <w:r>
              <w:t xml:space="preserve">R7</w:t>
            </w:r>
          </w:p>
        </w:tc>
        <w:tc>
          <w:tcPr/>
          <w:p>
            <w:pPr>
              <w:pStyle w:val="Compact"/>
              <w:jc w:val="left"/>
            </w:pPr>
            <w:r>
              <w:t xml:space="preserve">Competitor launches a Ghana-region gold trading platform (incl. GoldBod’s own digital platform)</w:t>
            </w:r>
          </w:p>
        </w:tc>
        <w:tc>
          <w:tcPr/>
          <w:p>
            <w:pPr>
              <w:pStyle w:val="Compact"/>
              <w:jc w:val="left"/>
            </w:pPr>
            <w:r>
              <w:t xml:space="preserve">Market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5-year exclusive revenue-share contract with Chamber is the moat; maintain feature velocity via Phase 3–4 roadmap; if GoldBod launches own platform, position AurumXchange as the Chamber-member-governed alternative</w:t>
            </w:r>
          </w:p>
        </w:tc>
      </w:tr>
      <w:tr>
        <w:tc>
          <w:tcPr/>
          <w:p>
            <w:pPr>
              <w:pStyle w:val="Compact"/>
              <w:jc w:val="left"/>
            </w:pPr>
            <w:r>
              <w:t xml:space="preserve">R8</w:t>
            </w:r>
          </w:p>
        </w:tc>
        <w:tc>
          <w:tcPr/>
          <w:p>
            <w:pPr>
              <w:pStyle w:val="Compact"/>
              <w:jc w:val="left"/>
            </w:pPr>
            <w:r>
              <w:t xml:space="preserve">Key person dependency (CTO or Lead Backend Engineer leaves)</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Document architecture decision records; pair-programming on audit-log module; key-person insurance for CTO; competitive retention package</w:t>
            </w:r>
          </w:p>
        </w:tc>
      </w:tr>
      <w:tr>
        <w:tc>
          <w:tcPr/>
          <w:p>
            <w:pPr>
              <w:pStyle w:val="Compact"/>
              <w:jc w:val="left"/>
            </w:pPr>
            <w:r>
              <w:t xml:space="preserve">R9</w:t>
            </w:r>
          </w:p>
        </w:tc>
        <w:tc>
          <w:tcPr/>
          <w:p>
            <w:pPr>
              <w:pStyle w:val="Compact"/>
              <w:jc w:val="left"/>
            </w:pPr>
            <w:r>
              <w:t xml:space="preserve">AWS Ghana region (af-west-1) availability degraded during build window</w:t>
            </w:r>
          </w:p>
        </w:tc>
        <w:tc>
          <w:tcPr/>
          <w:p>
            <w:pPr>
              <w:pStyle w:val="Compact"/>
              <w:jc w:val="left"/>
            </w:pPr>
            <w:r>
              <w:t xml:space="preserve">Technical</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Fallback to AWS af-south-1 (Cape Town) with contractual data-residency terms; revisit af-west-1 when service stabilizes</w:t>
            </w:r>
          </w:p>
        </w:tc>
      </w:tr>
      <w:tr>
        <w:tc>
          <w:tcPr/>
          <w:p>
            <w:pPr>
              <w:pStyle w:val="Compact"/>
              <w:jc w:val="left"/>
            </w:pPr>
            <w:r>
              <w:t xml:space="preserve">R10</w:t>
            </w:r>
          </w:p>
        </w:tc>
        <w:tc>
          <w:tcPr/>
          <w:p>
            <w:pPr>
              <w:pStyle w:val="Compact"/>
              <w:jc w:val="left"/>
            </w:pPr>
            <w:r>
              <w:t xml:space="preserve">0.10% transaction fee rejected by Tier 1 buyers as too high</w:t>
            </w:r>
          </w:p>
        </w:tc>
        <w:tc>
          <w:tcPr/>
          <w:p>
            <w:pPr>
              <w:pStyle w:val="Compact"/>
              <w:jc w:val="left"/>
            </w:pPr>
            <w:r>
              <w:t xml:space="preserve">Market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Hybrid fee structure includes cap-at-maximum option; Enterprise tier negotiates volume-based discounts; PM reviews fee sensitivity in Q1 post-launch</w:t>
            </w:r>
          </w:p>
        </w:tc>
      </w:tr>
      <w:tr>
        <w:tc>
          <w:tcPr/>
          <w:p>
            <w:pPr>
              <w:pStyle w:val="Compact"/>
              <w:jc w:val="left"/>
            </w:pPr>
            <w:r>
              <w:t xml:space="preserve">R11</w:t>
            </w:r>
          </w:p>
        </w:tc>
        <w:tc>
          <w:tcPr/>
          <w:p>
            <w:pPr>
              <w:pStyle w:val="Compact"/>
              <w:jc w:val="left"/>
            </w:pPr>
            <w:r>
              <w:t xml:space="preserve">Ghana AML Act 2020 (Act 1044) amendment increases KYC requirements mid-build</w:t>
            </w:r>
          </w:p>
        </w:tc>
        <w:tc>
          <w:tcPr/>
          <w:p>
            <w:pPr>
              <w:pStyle w:val="Compact"/>
              <w:jc w:val="left"/>
            </w:pPr>
            <w:r>
              <w:t xml:space="preserve">Regulatory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Maintain quarterly legal review with external counsel; design KYC module to be configurable rather than hard-coded; FIC liaison maintained via External Counsel</w:t>
            </w:r>
          </w:p>
        </w:tc>
      </w:tr>
    </w:tbl>
    <w:p>
      <w:pPr>
        <w:pStyle w:val="BodyText"/>
      </w:pPr>
      <w:r>
        <w:rPr>
          <w:b/>
          <w:bCs/>
        </w:rPr>
        <w:t xml:space="preserve">Assumptions:</w:t>
      </w:r>
      <w:r>
        <w:t xml:space="preserve"> </w:t>
      </w:r>
      <w:r>
        <w:t xml:space="preserve">- The Ghana Chamber of Gold Buyers signs the 5-year exclusive revenue-sharing agreement before MVP launch.</w:t>
      </w:r>
      <w:r>
        <w:t xml:space="preserve"> </w:t>
      </w:r>
      <w:r>
        <w:t xml:space="preserve">- At least one LBMA-aligned Ghana-licensed bank (Stanbic Bank Ghana or Ecobank Ghana) agrees to provide escrow services within 90 days of Charter sign-off.</w:t>
      </w:r>
      <w:r>
        <w:t xml:space="preserve"> </w:t>
      </w:r>
      <w:r>
        <w:t xml:space="preserve">- Smile Identity confirms Ghana KYC API availability with 30-second p95 latency.</w:t>
      </w:r>
      <w:r>
        <w:t xml:space="preserve"> </w:t>
      </w:r>
      <w:r>
        <w:t xml:space="preserve">- AWS Ghana region (af-west-1, GA since 2021) remains generally available throughout the build window.</w:t>
      </w:r>
      <w:r>
        <w:t xml:space="preserve"> </w:t>
      </w:r>
      <w:r>
        <w:t xml:space="preserve">- Ghana’s 2024 gold export revenue of US$11.64B and 2024 production of 4.9M ounces are accurate and representative of the addressable market.</w:t>
      </w:r>
      <w:r>
        <w:t xml:space="preserve"> </w:t>
      </w:r>
      <w:r>
        <w:t xml:space="preserve">- The Chamber’s 1,500 licensed members is an accurate figure (verifiable via Chamber registry).</w:t>
      </w:r>
      <w:r>
        <w:t xml:space="preserve"> </w:t>
      </w:r>
      <w:r>
        <w:t xml:space="preserve">- 17% of Chamber members adopt the platform within 12 months of launch (250 verified members by Y1 end).</w:t>
      </w:r>
      <w:r>
        <w:t xml:space="preserve"> </w:t>
      </w:r>
      <w:r>
        <w:t xml:space="preserve">- Average trade value of US$120,000 (≈ 1.8 kg at late-2024 LBMA PM Fix of ~US$2,600/oz) is representative.</w:t>
      </w:r>
      <w:r>
        <w:t xml:space="preserve"> </w:t>
      </w:r>
      <w:r>
        <w:t xml:space="preserve">- Annual churn of 12% blended (15% buyer / 8% seller) is achievable.</w:t>
      </w:r>
      <w:r>
        <w:t xml:space="preserve"> </w:t>
      </w:r>
      <w:r>
        <w:t xml:space="preserve">- The 18-month OpEx runway of ~US$715,000 is funded by Smart Innovations Ghana Limited’s balance sheet.</w:t>
      </w:r>
      <w:r>
        <w:t xml:space="preserve"> </w:t>
      </w:r>
      <w:r>
        <w:t xml:space="preserve">- A Series A bridge round of US$500K closes by month 18 (Q1 2029).</w:t>
      </w:r>
      <w:r>
        <w:t xml:space="preserve"> </w:t>
      </w:r>
      <w:r>
        <w:t xml:space="preserve">- The GoldBod Act 1140 implementing regulations and API specification remain stable through M3 Development.</w:t>
      </w:r>
    </w:p>
    <w:p>
      <w:pPr>
        <w:pStyle w:val="BodyText"/>
      </w:pPr>
      <w:r>
        <w:rPr>
          <w:b/>
          <w:bCs/>
        </w:rPr>
        <w:t xml:space="preserve">Regulatory &amp; Compliance Constraints:</w:t>
      </w:r>
      <w:r>
        <w:t xml:space="preserve"> </w:t>
      </w:r>
      <w:r>
        <w:t xml:space="preserve">-</w:t>
      </w:r>
      <w:r>
        <w:t xml:space="preserve"> </w:t>
      </w:r>
      <w:r>
        <w:rPr>
          <w:b/>
          <w:bCs/>
        </w:rPr>
        <w:t xml:space="preserve">Ghana Gold Board Act, 2025 (Act 1140):</w:t>
      </w:r>
      <w:r>
        <w:t xml:space="preserve"> </w:t>
      </w:r>
      <w:r>
        <w:t xml:space="preserve">GoldBod is the sole buyer, assayer, and exporter of small-scale-mined gold since 2 April 2025 [UNCTAD, 2025; goldbod.gov.gh]. AurumXchange must support GoldBod verification for any trade touching small-scale-channel gold; deep API integration in Phase 3 (M8).</w:t>
      </w:r>
      <w:r>
        <w:t xml:space="preserve"> </w:t>
      </w:r>
      <w:r>
        <w:t xml:space="preserve">-</w:t>
      </w:r>
      <w:r>
        <w:t xml:space="preserve"> </w:t>
      </w:r>
      <w:r>
        <w:rPr>
          <w:b/>
          <w:bCs/>
        </w:rPr>
        <w:t xml:space="preserve">Ghana AML Act, 2020 (Act 1044):</w:t>
      </w:r>
      <w:r>
        <w:t xml:space="preserve"> </w:t>
      </w:r>
      <w:r>
        <w:t xml:space="preserve">Establishes the Financial Intelligence Centre (FIC) and places AurumXchange within DNFBPs [OGP commitment GH0029; namescan.io AML Regulations Ghana, 2025]. Platform must support ongoing monitoring and suspicious-activity reporting to the FIC.</w:t>
      </w:r>
      <w:r>
        <w:t xml:space="preserve"> </w:t>
      </w:r>
      <w:r>
        <w:t xml:space="preserve">-</w:t>
      </w:r>
      <w:r>
        <w:t xml:space="preserve"> </w:t>
      </w:r>
      <w:r>
        <w:rPr>
          <w:b/>
          <w:bCs/>
        </w:rPr>
        <w:t xml:space="preserve">Ghana Data Protection Act, 2012 (Act 843):</w:t>
      </w:r>
      <w:r>
        <w:t xml:space="preserve"> </w:t>
      </w:r>
      <w:r>
        <w:t xml:space="preserve">PII handling, data subject rights, breach notification within 72 hours; data residency in Ghana (AWS af-west-1). Enforced by the Data Protection Commission [dataprotection.org.gh].</w:t>
      </w:r>
      <w:r>
        <w:t xml:space="preserve"> </w:t>
      </w:r>
      <w:r>
        <w:t xml:space="preserve">-</w:t>
      </w:r>
      <w:r>
        <w:t xml:space="preserve"> </w:t>
      </w:r>
      <w:r>
        <w:rPr>
          <w:b/>
          <w:bCs/>
        </w:rPr>
        <w:t xml:space="preserve">Minerals Commission of Ghana licensing:</w:t>
      </w:r>
      <w:r>
        <w:t xml:space="preserve"> </w:t>
      </w:r>
      <w:r>
        <w:t xml:space="preserve">Every seller must hold a valid licence [mincom.gov.gh]; platform must verify and re-verify monthly.</w:t>
      </w:r>
      <w:r>
        <w:t xml:space="preserve"> </w:t>
      </w:r>
      <w:r>
        <w:t xml:space="preserve">-</w:t>
      </w:r>
      <w:r>
        <w:t xml:space="preserve"> </w:t>
      </w:r>
      <w:r>
        <w:rPr>
          <w:b/>
          <w:bCs/>
        </w:rPr>
        <w:t xml:space="preserve">PMMC export certification:</w:t>
      </w:r>
      <w:r>
        <w:t xml:space="preserve"> </w:t>
      </w:r>
      <w:r>
        <w:t xml:space="preserve">Every trade intended for export must be PMMC-released by a Licensed Gold Exporter (LGE); MVP supports audit-package export only, full PMMC API integration in Phase 3 (M8) [pmmc.gov.gh].</w:t>
      </w:r>
      <w:r>
        <w:t xml:space="preserve"> </w:t>
      </w:r>
      <w:r>
        <w:t xml:space="preserve">-</w:t>
      </w:r>
      <w:r>
        <w:t xml:space="preserve"> </w:t>
      </w:r>
      <w:r>
        <w:rPr>
          <w:b/>
          <w:bCs/>
        </w:rPr>
        <w:t xml:space="preserve">LBMA Responsible Gold Guidance (RGG):</w:t>
      </w:r>
      <w:r>
        <w:t xml:space="preserve"> </w:t>
      </w:r>
      <w:r>
        <w:t xml:space="preserve">Five-step due diligence framework on OECD DDG for Conflict-Affected and High-Risk Areas [lbma.org.uk, 2024]. Audit trail must support responsible-sourcing attestation; LBMA-aligned auditor engaged in M2 Design.</w:t>
      </w:r>
      <w:r>
        <w:t xml:space="preserve"> </w:t>
      </w:r>
      <w:r>
        <w:t xml:space="preserve">-</w:t>
      </w:r>
      <w:r>
        <w:t xml:space="preserve"> </w:t>
      </w:r>
      <w:r>
        <w:rPr>
          <w:b/>
          <w:bCs/>
        </w:rPr>
        <w:t xml:space="preserve">OECD Due Diligence Guidance:</w:t>
      </w:r>
      <w:r>
        <w:t xml:space="preserve"> </w:t>
      </w:r>
      <w:r>
        <w:t xml:space="preserve">Chain-of-custody documentation for international buyers.</w:t>
      </w:r>
      <w:r>
        <w:t xml:space="preserve"> </w:t>
      </w:r>
      <w:r>
        <w:t xml:space="preserve">-</w:t>
      </w:r>
      <w:r>
        <w:t xml:space="preserve"> </w:t>
      </w:r>
      <w:r>
        <w:rPr>
          <w:b/>
          <w:bCs/>
        </w:rPr>
        <w:t xml:space="preserve">SOC 2 Type II:</w:t>
      </w:r>
      <w:r>
        <w:t xml:space="preserve"> </w:t>
      </w:r>
      <w:r>
        <w:t xml:space="preserve">Annual attestation by external auditor; report issued by 30 September 2028 (O7).</w:t>
      </w:r>
      <w:r>
        <w:t xml:space="preserve"> </w:t>
      </w:r>
      <w:r>
        <w:t xml:space="preserve">-</w:t>
      </w:r>
      <w:r>
        <w:t xml:space="preserve"> </w:t>
      </w:r>
      <w:r>
        <w:rPr>
          <w:b/>
          <w:bCs/>
        </w:rPr>
        <w:t xml:space="preserve">ISO 27001 ISMS:</w:t>
      </w:r>
      <w:r>
        <w:t xml:space="preserve"> </w:t>
      </w:r>
      <w:r>
        <w:t xml:space="preserve">Certification pursued in Year 2 post-launch.</w:t>
      </w:r>
      <w:r>
        <w:t xml:space="preserve"> </w:t>
      </w:r>
      <w:r>
        <w:t xml:space="preserve">-</w:t>
      </w:r>
      <w:r>
        <w:t xml:space="preserve"> </w:t>
      </w:r>
      <w:r>
        <w:rPr>
          <w:b/>
          <w:bCs/>
        </w:rPr>
        <w:t xml:space="preserve">PCI DSS Level 1:</w:t>
      </w:r>
      <w:r>
        <w:t xml:space="preserve"> </w:t>
      </w:r>
      <w:r>
        <w:t xml:space="preserve">Required for escrow and payment integration; achieved via partner bank’s PCI scope (Smart Innovations does not directly handle PANs).</w:t>
      </w:r>
      <w:r>
        <w:t xml:space="preserve"> </w:t>
      </w:r>
      <w:r>
        <w:t xml:space="preserve">-</w:t>
      </w:r>
      <w:r>
        <w:t xml:space="preserve"> </w:t>
      </w:r>
      <w:r>
        <w:rPr>
          <w:b/>
          <w:bCs/>
        </w:rPr>
        <w:t xml:space="preserve">GDPR equivalence:</w:t>
      </w:r>
      <w:r>
        <w:t xml:space="preserve"> </w:t>
      </w:r>
      <w:r>
        <w:t xml:space="preserve">For international Tier 1 buyers’ data; treated under Ghana DPA 2012 with contractual GDPR-equivalence provisions in member terms.</w:t>
      </w:r>
    </w:p>
    <w:bookmarkEnd w:id="46"/>
    <w:bookmarkStart w:id="47" w:name="success-metrics-kpis"/>
    <w:p>
      <w:pPr>
        <w:pStyle w:val="Heading3"/>
      </w:pPr>
      <w:r>
        <w:t xml:space="preserve">9. Success Metrics (KPIs)</w:t>
      </w:r>
    </w:p>
    <w:tbl>
      <w:tblPr>
        <w:tblStyle w:val="Table"/>
        <w:tblW w:type="pct" w:w="5000"/>
        <w:jc w:val="left"/>
        <w:tblLayout w:type="fixed"/>
        <w:tblLook w:firstRow="1" w:lastRow="0" w:firstColumn="0" w:lastColumn="0" w:noHBand="0" w:noVBand="0" w:val="0020"/>
      </w:tblPr>
      <w:tblGrid>
        <w:gridCol w:w="900"/>
        <w:gridCol w:w="1800"/>
        <w:gridCol w:w="1440"/>
        <w:gridCol w:w="3780"/>
      </w:tblGrid>
      <w:tr>
        <w:trPr>
          <w:tblHeader w:val="on"/>
        </w:trPr>
        <w:tc>
          <w:tcPr/>
          <w:p>
            <w:pPr>
              <w:pStyle w:val="Compact"/>
              <w:jc w:val="left"/>
            </w:pPr>
            <w:r>
              <w:t xml:space="preserve">KPI</w:t>
            </w:r>
          </w:p>
        </w:tc>
        <w:tc>
          <w:tcPr/>
          <w:p>
            <w:pPr>
              <w:pStyle w:val="Compact"/>
              <w:jc w:val="left"/>
            </w:pPr>
            <w:r>
              <w:t xml:space="preserve">Category</w:t>
            </w:r>
          </w:p>
        </w:tc>
        <w:tc>
          <w:tcPr/>
          <w:p>
            <w:pPr>
              <w:pStyle w:val="Compact"/>
              <w:jc w:val="left"/>
            </w:pPr>
            <w:r>
              <w:t xml:space="preserve">Target</w:t>
            </w:r>
          </w:p>
        </w:tc>
        <w:tc>
          <w:tcPr/>
          <w:p>
            <w:pPr>
              <w:pStyle w:val="Compact"/>
              <w:jc w:val="left"/>
            </w:pPr>
            <w:r>
              <w:t xml:space="preserve">Measurement Cadence</w:t>
            </w:r>
          </w:p>
        </w:tc>
      </w:tr>
      <w:tr>
        <w:tc>
          <w:tcPr/>
          <w:p>
            <w:pPr>
              <w:pStyle w:val="Compact"/>
              <w:jc w:val="left"/>
            </w:pPr>
            <w:r>
              <w:t xml:space="preserve">Verified member count</w:t>
            </w:r>
          </w:p>
        </w:tc>
        <w:tc>
          <w:tcPr/>
          <w:p>
            <w:pPr>
              <w:pStyle w:val="Compact"/>
              <w:jc w:val="left"/>
            </w:pPr>
            <w:r>
              <w:t xml:space="preserve">Adoption</w:t>
            </w:r>
          </w:p>
        </w:tc>
        <w:tc>
          <w:tcPr/>
          <w:p>
            <w:pPr>
              <w:pStyle w:val="Compact"/>
              <w:jc w:val="left"/>
            </w:pPr>
            <w:r>
              <w:t xml:space="preserve">250 by Y1 end (Sep 2028); 1,050 by Y5 end (Sep 2032)</w:t>
            </w:r>
          </w:p>
        </w:tc>
        <w:tc>
          <w:tcPr/>
          <w:p>
            <w:pPr>
              <w:pStyle w:val="Compact"/>
              <w:jc w:val="left"/>
            </w:pPr>
            <w:r>
              <w:t xml:space="preserve">Monthly</w:t>
            </w:r>
          </w:p>
        </w:tc>
      </w:tr>
      <w:tr>
        <w:tc>
          <w:tcPr/>
          <w:p>
            <w:pPr>
              <w:pStyle w:val="Compact"/>
              <w:jc w:val="left"/>
            </w:pPr>
            <w:r>
              <w:t xml:space="preserve">Trade volume (US$M)</w:t>
            </w:r>
          </w:p>
        </w:tc>
        <w:tc>
          <w:tcPr/>
          <w:p>
            <w:pPr>
              <w:pStyle w:val="Compact"/>
              <w:jc w:val="left"/>
            </w:pPr>
            <w:r>
              <w:t xml:space="preserve">Adoption</w:t>
            </w:r>
          </w:p>
        </w:tc>
        <w:tc>
          <w:tcPr/>
          <w:p>
            <w:pPr>
              <w:pStyle w:val="Compact"/>
              <w:jc w:val="left"/>
            </w:pPr>
            <w:r>
              <w:t xml:space="preserve">≥ US$350M Y1; ≥ US$1,822M Y5</w:t>
            </w:r>
          </w:p>
        </w:tc>
        <w:tc>
          <w:tcPr/>
          <w:p>
            <w:pPr>
              <w:pStyle w:val="Compact"/>
              <w:jc w:val="left"/>
            </w:pPr>
            <w:r>
              <w:t xml:space="preserve">Monthly</w:t>
            </w:r>
          </w:p>
        </w:tc>
      </w:tr>
      <w:tr>
        <w:tc>
          <w:tcPr/>
          <w:p>
            <w:pPr>
              <w:pStyle w:val="Compact"/>
              <w:jc w:val="left"/>
            </w:pPr>
            <w:r>
              <w:t xml:space="preserve">System uptime</w:t>
            </w:r>
          </w:p>
        </w:tc>
        <w:tc>
          <w:tcPr/>
          <w:p>
            <w:pPr>
              <w:pStyle w:val="Compact"/>
              <w:jc w:val="left"/>
            </w:pPr>
            <w:r>
              <w:t xml:space="preserve">Reliability</w:t>
            </w:r>
          </w:p>
        </w:tc>
        <w:tc>
          <w:tcPr/>
          <w:p>
            <w:pPr>
              <w:pStyle w:val="Compact"/>
              <w:jc w:val="left"/>
            </w:pPr>
            <w:r>
              <w:t xml:space="preserve">≥ 99.9% monthly</w:t>
            </w:r>
          </w:p>
        </w:tc>
        <w:tc>
          <w:tcPr/>
          <w:p>
            <w:pPr>
              <w:pStyle w:val="Compact"/>
              <w:jc w:val="left"/>
            </w:pPr>
            <w:r>
              <w:t xml:space="preserve">Continuous</w:t>
            </w:r>
          </w:p>
        </w:tc>
      </w:tr>
      <w:tr>
        <w:tc>
          <w:tcPr/>
          <w:p>
            <w:pPr>
              <w:pStyle w:val="Compact"/>
              <w:jc w:val="left"/>
            </w:pPr>
            <w:r>
              <w:t xml:space="preserve">P95 API response time</w:t>
            </w:r>
          </w:p>
        </w:tc>
        <w:tc>
          <w:tcPr/>
          <w:p>
            <w:pPr>
              <w:pStyle w:val="Compact"/>
              <w:jc w:val="left"/>
            </w:pPr>
            <w:r>
              <w:t xml:space="preserve">Performance</w:t>
            </w:r>
          </w:p>
        </w:tc>
        <w:tc>
          <w:tcPr/>
          <w:p>
            <w:pPr>
              <w:pStyle w:val="Compact"/>
              <w:jc w:val="left"/>
            </w:pPr>
            <w:r>
              <w:t xml:space="preserve">&lt; 500ms for all critical endpoints</w:t>
            </w:r>
          </w:p>
        </w:tc>
        <w:tc>
          <w:tcPr/>
          <w:p>
            <w:pPr>
              <w:pStyle w:val="Compact"/>
              <w:jc w:val="left"/>
            </w:pPr>
            <w:r>
              <w:t xml:space="preserve">Continuous</w:t>
            </w:r>
          </w:p>
        </w:tc>
      </w:tr>
      <w:tr>
        <w:tc>
          <w:tcPr/>
          <w:p>
            <w:pPr>
              <w:pStyle w:val="Compact"/>
              <w:jc w:val="left"/>
            </w:pPr>
            <w:r>
              <w:t xml:space="preserve">Critical-severity security findings</w:t>
            </w:r>
          </w:p>
        </w:tc>
        <w:tc>
          <w:tcPr/>
          <w:p>
            <w:pPr>
              <w:pStyle w:val="Compact"/>
              <w:jc w:val="left"/>
            </w:pPr>
            <w:r>
              <w:t xml:space="preserve">Security</w:t>
            </w:r>
          </w:p>
        </w:tc>
        <w:tc>
          <w:tcPr/>
          <w:p>
            <w:pPr>
              <w:pStyle w:val="Compact"/>
              <w:jc w:val="left"/>
            </w:pPr>
            <w:r>
              <w:t xml:space="preserve">0 at launch; ≤ 2 per quarter (with remediation)</w:t>
            </w:r>
          </w:p>
        </w:tc>
        <w:tc>
          <w:tcPr/>
          <w:p>
            <w:pPr>
              <w:pStyle w:val="Compact"/>
              <w:jc w:val="left"/>
            </w:pPr>
            <w:r>
              <w:t xml:space="preserve">Per release + quarterly</w:t>
            </w:r>
          </w:p>
        </w:tc>
      </w:tr>
      <w:tr>
        <w:tc>
          <w:tcPr/>
          <w:p>
            <w:pPr>
              <w:pStyle w:val="Compact"/>
              <w:jc w:val="left"/>
            </w:pPr>
            <w:r>
              <w:t xml:space="preserve">SOC 2 Type II attestation</w:t>
            </w:r>
          </w:p>
        </w:tc>
        <w:tc>
          <w:tcPr/>
          <w:p>
            <w:pPr>
              <w:pStyle w:val="Compact"/>
              <w:jc w:val="left"/>
            </w:pPr>
            <w:r>
              <w:t xml:space="preserve">Compliance</w:t>
            </w:r>
          </w:p>
        </w:tc>
        <w:tc>
          <w:tcPr/>
          <w:p>
            <w:pPr>
              <w:pStyle w:val="Compact"/>
              <w:jc w:val="left"/>
            </w:pPr>
            <w:r>
              <w:t xml:space="preserve">Report issued by 30 Sep 2028</w:t>
            </w:r>
          </w:p>
        </w:tc>
        <w:tc>
          <w:tcPr/>
          <w:p>
            <w:pPr>
              <w:pStyle w:val="Compact"/>
              <w:jc w:val="left"/>
            </w:pPr>
            <w:r>
              <w:t xml:space="preserve">Annual</w:t>
            </w:r>
          </w:p>
        </w:tc>
      </w:tr>
      <w:tr>
        <w:tc>
          <w:tcPr/>
          <w:p>
            <w:pPr>
              <w:pStyle w:val="Compact"/>
              <w:jc w:val="left"/>
            </w:pPr>
            <w:r>
              <w:t xml:space="preserve">GoldBod Act 1140 Phase 3 integration live</w:t>
            </w:r>
          </w:p>
        </w:tc>
        <w:tc>
          <w:tcPr/>
          <w:p>
            <w:pPr>
              <w:pStyle w:val="Compact"/>
              <w:jc w:val="left"/>
            </w:pPr>
            <w:r>
              <w:t xml:space="preserve">Compliance</w:t>
            </w:r>
          </w:p>
        </w:tc>
        <w:tc>
          <w:tcPr/>
          <w:p>
            <w:pPr>
              <w:pStyle w:val="Compact"/>
              <w:jc w:val="left"/>
            </w:pPr>
            <w:r>
              <w:t xml:space="preserve">≥ 95% of small-scale-channel trades auto-routed via GoldBod by 30 Jun 2028</w:t>
            </w:r>
          </w:p>
        </w:tc>
        <w:tc>
          <w:tcPr/>
          <w:p>
            <w:pPr>
              <w:pStyle w:val="Compact"/>
              <w:jc w:val="left"/>
            </w:pPr>
            <w:r>
              <w:t xml:space="preserve">Monthly from Phase 3 launch</w:t>
            </w:r>
          </w:p>
        </w:tc>
      </w:tr>
      <w:tr>
        <w:tc>
          <w:tcPr/>
          <w:p>
            <w:pPr>
              <w:pStyle w:val="Compact"/>
              <w:jc w:val="left"/>
            </w:pPr>
            <w:r>
              <w:t xml:space="preserve">NPS (Net Promoter Score)</w:t>
            </w:r>
          </w:p>
        </w:tc>
        <w:tc>
          <w:tcPr/>
          <w:p>
            <w:pPr>
              <w:pStyle w:val="Compact"/>
              <w:jc w:val="left"/>
            </w:pPr>
            <w:r>
              <w:t xml:space="preserve">Satisfaction</w:t>
            </w:r>
          </w:p>
        </w:tc>
        <w:tc>
          <w:tcPr/>
          <w:p>
            <w:pPr>
              <w:pStyle w:val="Compact"/>
              <w:jc w:val="left"/>
            </w:pPr>
            <w:r>
              <w:t xml:space="preserve">≥ 40 (Year 1); ≥ 50 (Year 3)</w:t>
            </w:r>
          </w:p>
        </w:tc>
        <w:tc>
          <w:tcPr/>
          <w:p>
            <w:pPr>
              <w:pStyle w:val="Compact"/>
              <w:jc w:val="left"/>
            </w:pPr>
            <w:r>
              <w:t xml:space="preserve">Quarterly</w:t>
            </w:r>
          </w:p>
        </w:tc>
      </w:tr>
      <w:tr>
        <w:tc>
          <w:tcPr/>
          <w:p>
            <w:pPr>
              <w:pStyle w:val="Compact"/>
              <w:jc w:val="left"/>
            </w:pPr>
            <w:r>
              <w:t xml:space="preserve">LTV:CAC ratio</w:t>
            </w:r>
          </w:p>
        </w:tc>
        <w:tc>
          <w:tcPr/>
          <w:p>
            <w:pPr>
              <w:pStyle w:val="Compact"/>
              <w:jc w:val="left"/>
            </w:pPr>
            <w:r>
              <w:t xml:space="preserve">Unit economics</w:t>
            </w:r>
          </w:p>
        </w:tc>
        <w:tc>
          <w:tcPr/>
          <w:p>
            <w:pPr>
              <w:pStyle w:val="Compact"/>
              <w:jc w:val="left"/>
            </w:pPr>
            <w:r>
              <w:t xml:space="preserve">≥ 3:1 (Year 1); ≥ 5:1 (Year 3)</w:t>
            </w:r>
          </w:p>
        </w:tc>
        <w:tc>
          <w:tcPr/>
          <w:p>
            <w:pPr>
              <w:pStyle w:val="Compact"/>
              <w:jc w:val="left"/>
            </w:pPr>
            <w:r>
              <w:t xml:space="preserve">Quarterly</w:t>
            </w:r>
          </w:p>
        </w:tc>
      </w:tr>
      <w:tr>
        <w:tc>
          <w:tcPr/>
          <w:p>
            <w:pPr>
              <w:pStyle w:val="Compact"/>
              <w:jc w:val="left"/>
            </w:pPr>
            <w:r>
              <w:t xml:space="preserve">Annual churn (blended)</w:t>
            </w:r>
          </w:p>
        </w:tc>
        <w:tc>
          <w:tcPr/>
          <w:p>
            <w:pPr>
              <w:pStyle w:val="Compact"/>
              <w:jc w:val="left"/>
            </w:pPr>
            <w:r>
              <w:t xml:space="preserve">Retention</w:t>
            </w:r>
          </w:p>
        </w:tc>
        <w:tc>
          <w:tcPr/>
          <w:p>
            <w:pPr>
              <w:pStyle w:val="Compact"/>
              <w:jc w:val="left"/>
            </w:pPr>
            <w:r>
              <w:t xml:space="preserve">≤ 15%</w:t>
            </w:r>
          </w:p>
        </w:tc>
        <w:tc>
          <w:tcPr/>
          <w:p>
            <w:pPr>
              <w:pStyle w:val="Compact"/>
              <w:jc w:val="left"/>
            </w:pPr>
            <w:r>
              <w:t xml:space="preserve">Quarterly</w:t>
            </w:r>
          </w:p>
        </w:tc>
      </w:tr>
      <w:tr>
        <w:tc>
          <w:tcPr/>
          <w:p>
            <w:pPr>
              <w:pStyle w:val="Compact"/>
              <w:jc w:val="left"/>
            </w:pPr>
            <w:r>
              <w:t xml:space="preserve">Net Revenue Retention</w:t>
            </w:r>
          </w:p>
        </w:tc>
        <w:tc>
          <w:tcPr/>
          <w:p>
            <w:pPr>
              <w:pStyle w:val="Compact"/>
              <w:jc w:val="left"/>
            </w:pPr>
            <w:r>
              <w:t xml:space="preserve">Retention</w:t>
            </w:r>
          </w:p>
        </w:tc>
        <w:tc>
          <w:tcPr/>
          <w:p>
            <w:pPr>
              <w:pStyle w:val="Compact"/>
              <w:jc w:val="left"/>
            </w:pPr>
            <w:r>
              <w:t xml:space="preserve">≥ 100% (Year 1); ≥ 110% (Year 3)</w:t>
            </w:r>
          </w:p>
        </w:tc>
        <w:tc>
          <w:tcPr/>
          <w:p>
            <w:pPr>
              <w:pStyle w:val="Compact"/>
              <w:jc w:val="left"/>
            </w:pPr>
            <w:r>
              <w:t xml:space="preserve">Quarterly</w:t>
            </w:r>
          </w:p>
        </w:tc>
      </w:tr>
      <w:tr>
        <w:tc>
          <w:tcPr/>
          <w:p>
            <w:pPr>
              <w:pStyle w:val="Compact"/>
              <w:jc w:val="left"/>
            </w:pPr>
            <w:r>
              <w:t xml:space="preserve">CAC payback period</w:t>
            </w:r>
          </w:p>
        </w:tc>
        <w:tc>
          <w:tcPr/>
          <w:p>
            <w:pPr>
              <w:pStyle w:val="Compact"/>
              <w:jc w:val="left"/>
            </w:pPr>
            <w:r>
              <w:t xml:space="preserve">Unit economics</w:t>
            </w:r>
          </w:p>
        </w:tc>
        <w:tc>
          <w:tcPr/>
          <w:p>
            <w:pPr>
              <w:pStyle w:val="Compact"/>
              <w:jc w:val="left"/>
            </w:pPr>
            <w:r>
              <w:t xml:space="preserve">≤ 12 months</w:t>
            </w:r>
          </w:p>
        </w:tc>
        <w:tc>
          <w:tcPr/>
          <w:p>
            <w:pPr>
              <w:pStyle w:val="Compact"/>
              <w:jc w:val="left"/>
            </w:pPr>
            <w:r>
              <w:t xml:space="preserve">Quarterly</w:t>
            </w:r>
          </w:p>
        </w:tc>
      </w:tr>
      <w:tr>
        <w:tc>
          <w:tcPr/>
          <w:p>
            <w:pPr>
              <w:pStyle w:val="Compact"/>
              <w:jc w:val="left"/>
            </w:pPr>
            <w:r>
              <w:t xml:space="preserve">Break-even date</w:t>
            </w:r>
          </w:p>
        </w:tc>
        <w:tc>
          <w:tcPr/>
          <w:p>
            <w:pPr>
              <w:pStyle w:val="Compact"/>
              <w:jc w:val="left"/>
            </w:pPr>
            <w:r>
              <w:t xml:space="preserve">Financial</w:t>
            </w:r>
          </w:p>
        </w:tc>
        <w:tc>
          <w:tcPr/>
          <w:p>
            <w:pPr>
              <w:pStyle w:val="Compact"/>
              <w:jc w:val="left"/>
            </w:pPr>
            <w:r>
              <w:t xml:space="preserve">Month 22 (Q3 2029, given Q3 2027 launch)</w:t>
            </w:r>
          </w:p>
        </w:tc>
        <w:tc>
          <w:tcPr/>
          <w:p>
            <w:pPr>
              <w:pStyle w:val="Compact"/>
              <w:jc w:val="left"/>
            </w:pPr>
            <w:r>
              <w:t xml:space="preserve">Continuous</w:t>
            </w:r>
          </w:p>
        </w:tc>
      </w:tr>
      <w:tr>
        <w:tc>
          <w:tcPr/>
          <w:p>
            <w:pPr>
              <w:pStyle w:val="Compact"/>
              <w:jc w:val="left"/>
            </w:pPr>
            <w:r>
              <w:t xml:space="preserve">Compliance incidents (SOC 2, ISO 27001, DPA 2012, GoldBod, AML Act 1044)</w:t>
            </w:r>
          </w:p>
        </w:tc>
        <w:tc>
          <w:tcPr/>
          <w:p>
            <w:pPr>
              <w:pStyle w:val="Compact"/>
              <w:jc w:val="left"/>
            </w:pPr>
            <w:r>
              <w:t xml:space="preserve">Risk</w:t>
            </w:r>
          </w:p>
        </w:tc>
        <w:tc>
          <w:tcPr/>
          <w:p>
            <w:pPr>
              <w:pStyle w:val="Compact"/>
              <w:jc w:val="left"/>
            </w:pPr>
            <w:r>
              <w:t xml:space="preserve">0 per quarter (target); any incident → 24-hour sponsor notification</w:t>
            </w:r>
          </w:p>
        </w:tc>
        <w:tc>
          <w:tcPr/>
          <w:p>
            <w:pPr>
              <w:pStyle w:val="Compact"/>
              <w:jc w:val="left"/>
            </w:pPr>
            <w:r>
              <w:t xml:space="preserve">Continuous</w:t>
            </w:r>
          </w:p>
        </w:tc>
      </w:tr>
    </w:tbl>
    <w:p>
      <w:pPr>
        <w:pStyle w:val="BodyText"/>
      </w:pPr>
      <w:r>
        <w:rPr>
          <w:b/>
          <w:bCs/>
        </w:rPr>
        <w:t xml:space="preserve">Definition of Done:</w:t>
      </w:r>
      <w:r>
        <w:t xml:space="preserve"> </w:t>
      </w:r>
      <w:r>
        <w:t xml:space="preserve">The MVP is</w:t>
      </w:r>
      <w:r>
        <w:t xml:space="preserve"> </w:t>
      </w:r>
      <w:r>
        <w:t xml:space="preserve">‘</w:t>
      </w:r>
      <w:r>
        <w:t xml:space="preserve">Done</w:t>
      </w:r>
      <w:r>
        <w:t xml:space="preserve">’</w:t>
      </w:r>
      <w:r>
        <w:t xml:space="preserve"> </w:t>
      </w:r>
      <w:r>
        <w:t xml:space="preserve">when: (i) all Phase 1 + Phase 2 features are deployed to production on AWS Ghana (af-west-1); (ii) the first real gold trade has been settled end-to-end through the platform’s escrow workflow with Stanbic Bank Ghana or Ecobank Ghana; (iii) the pre-launch penetration test reports 0 critical-severity findings; (iv) at least 3 pilot members (Abena Owusu, Kofi Mensah, + 1 Tier 1) have completed UAT with NPS ≥ 30; (v) the SOC 2 Type II readiness engagement is complete and the year-1 attestation window is open; (vi) the Chamber partnership contract is signed; (vii) the audit-log design document has been reviewed by the external security auditor and pre-validated against the LBMA Responsible Gold Guidance five-step due diligence; and (viii) the GoldBod Act 1140 compliance review (External Counsel memo) is signed off.</w:t>
      </w:r>
    </w:p>
    <w:bookmarkEnd w:id="47"/>
    <w:bookmarkStart w:id="48" w:name="authorization"/>
    <w:p>
      <w:pPr>
        <w:pStyle w:val="Heading3"/>
      </w:pPr>
      <w:r>
        <w:t xml:space="preserve">10. Authorization</w:t>
      </w:r>
    </w:p>
    <w:p>
      <w:pPr>
        <w:pStyle w:val="FirstParagraph"/>
      </w:pPr>
      <w:r>
        <w:t xml:space="preserve">By signing below, the Sponsor authorizes the Project Manager to expend resources within the scope and budget defined in this Charter, including the US$463,450 CapEx budget (Table 4.1, pending Sponsor approval of the US$13,450 GoldBod-related incremental above the US$450,000 ceiling) and the 18-month OpEx runway of approximately US$715,000 (Financial Doc Section B). The Sponsor grants the PM authority to make day-to-day scope and prioritization decisions, to draw down contingency up to US$20K without further approval, and to escalate to the Sponsor for any change exceeding the thresholds defined in Table 4.F. This Charter is binding upon signature and remains in force until the project is formally closed by the Sponsor or until a successor Charter is signed.</w:t>
      </w:r>
    </w:p>
    <w:p>
      <w:pPr>
        <w:pStyle w:val="BodyText"/>
      </w:pPr>
      <w:r>
        <w:rPr>
          <w:b/>
          <w:bCs/>
        </w:rPr>
        <w:t xml:space="preserve">Sponsor Authorization:</w:t>
      </w:r>
      <w:r>
        <w:t xml:space="preserve"> </w:t>
      </w:r>
      <w:r>
        <w:t xml:space="preserve">- Name: 【Sponsor name】</w:t>
      </w:r>
      <w:r>
        <w:t xml:space="preserve"> </w:t>
      </w:r>
      <w:r>
        <w:t xml:space="preserve">- Title: Chief Executive Officer, Smart Innovations Ghana Limited</w:t>
      </w:r>
      <w:r>
        <w:t xml:space="preserve"> </w:t>
      </w:r>
      <w:r>
        <w:t xml:space="preserve">- Signature: ______________________________________________________________</w:t>
      </w:r>
      <w:r>
        <w:t xml:space="preserve"> </w:t>
      </w:r>
      <w:r>
        <w:t xml:space="preserve">- Date: ____ / ____ / 2026</w:t>
      </w:r>
      <w:r>
        <w:t xml:space="preserve"> </w:t>
      </w:r>
      <w:r>
        <w:t xml:space="preserve">- Explicit grant of authority: The PM is hereby authorized to expend resources within the US$463,450 CapEx envelope (pending Sponsor approval of the US$13,450 GoldBod-related incremental above the US$450,000 ceiling) and the 18-month OpEx runway defined in this Charter, subject to the change-control thresholds in Table 4.F.</w:t>
      </w:r>
    </w:p>
    <w:p>
      <w:pPr>
        <w:pStyle w:val="BodyText"/>
      </w:pPr>
      <w:r>
        <w:rPr>
          <w:b/>
          <w:bCs/>
        </w:rPr>
        <w:t xml:space="preserve">Project Manager Acceptance:</w:t>
      </w:r>
      <w:r>
        <w:t xml:space="preserve"> </w:t>
      </w:r>
      <w:r>
        <w:t xml:space="preserve">- Name: 【PM name】</w:t>
      </w:r>
      <w:r>
        <w:t xml:space="preserve"> </w:t>
      </w:r>
      <w:r>
        <w:t xml:space="preserve">- Title: Project Manager, AurumXchange Initiative (Smart Innovations Ghana Limited)</w:t>
      </w:r>
      <w:r>
        <w:t xml:space="preserve"> </w:t>
      </w:r>
      <w:r>
        <w:t xml:space="preserve">- Signature: ______________________________________________________________</w:t>
      </w:r>
      <w:r>
        <w:t xml:space="preserve"> </w:t>
      </w:r>
      <w:r>
        <w:t xml:space="preserve">- Date: ____ / ____ / 2026</w:t>
      </w:r>
      <w:r>
        <w:t xml:space="preserve"> </w:t>
      </w:r>
      <w:r>
        <w:t xml:space="preserve">- Acceptance statement: I accept the scope, authority, and accountability defined in this Charter and commit to delivering the SMART objectives in Section 5.3 within the budget envelope in Section 5.7.2.</w:t>
      </w:r>
    </w:p>
    <w:p>
      <w:pPr>
        <w:pStyle w:val="BodyText"/>
      </w:pPr>
      <w:r>
        <w:rPr>
          <w:b/>
          <w:bCs/>
        </w:rPr>
        <w:t xml:space="preserve">Chamber Acknowledgement (counterparty):</w:t>
      </w:r>
      <w:r>
        <w:t xml:space="preserve"> </w:t>
      </w:r>
      <w:r>
        <w:t xml:space="preserve">- Name: 【Chamber President name】</w:t>
      </w:r>
      <w:r>
        <w:t xml:space="preserve"> </w:t>
      </w:r>
      <w:r>
        <w:t xml:space="preserve">- Title: President, Ghana Chamber of Gold Buyers</w:t>
      </w:r>
      <w:r>
        <w:t xml:space="preserve"> </w:t>
      </w:r>
      <w:r>
        <w:t xml:space="preserve">- Signature: ______________________________________________________________</w:t>
      </w:r>
      <w:r>
        <w:t xml:space="preserve"> </w:t>
      </w:r>
      <w:r>
        <w:t xml:space="preserve">- Date: ____ / ____ / 2026</w:t>
      </w:r>
      <w:r>
        <w:t xml:space="preserve"> </w:t>
      </w:r>
      <w:r>
        <w:t xml:space="preserve">- Acknowledgement: The Chamber acknowledges the scope and commercial model defined in this Charter and commits to the responsibilities allocated to the Chamber in BMC Table 3 (Key Partnerships) and the partnership agreement referenced in Charter Section 5.7.3.</w:t>
      </w:r>
    </w:p>
    <w:p>
      <w:r>
        <w:pict>
          <v:rect style="width:0;height:1.5pt" o:hralign="center" o:hrstd="t" o:hr="t"/>
        </w:pict>
      </w:r>
    </w:p>
    <w:bookmarkEnd w:id="48"/>
    <w:bookmarkEnd w:id="49"/>
    <w:bookmarkStart w:id="55" w:name="golden-thread-validation"/>
    <w:p>
      <w:pPr>
        <w:pStyle w:val="Heading2"/>
      </w:pPr>
      <w:r>
        <w:t xml:space="preserve">6. Golden Thread Validation</w:t>
      </w:r>
    </w:p>
    <w:p>
      <w:pPr>
        <w:pStyle w:val="FirstParagraph"/>
      </w:pPr>
      <w:r>
        <w:t xml:space="preserve">The Golden Thread is the deliberate traceability between the four documents that compose this business case. The brief requires four explicit cross-references: VPC → BMC, BMC → Financials, Financials → Charter, and Charter → VPC.</w:t>
      </w:r>
    </w:p>
    <w:bookmarkStart w:id="50" w:name="vpc-bmc"/>
    <w:p>
      <w:pPr>
        <w:pStyle w:val="Heading3"/>
      </w:pPr>
      <w:r>
        <w:t xml:space="preserve">1. VPC → BMC</w:t>
      </w:r>
    </w:p>
    <w:p>
      <w:pPr>
        <w:pStyle w:val="FirstParagraph"/>
      </w:pPr>
      <w:r>
        <w:rPr>
          <w:b/>
          <w:bCs/>
        </w:rPr>
        <w:t xml:space="preserve">Question:</w:t>
      </w:r>
      <w:r>
        <w:t xml:space="preserve"> </w:t>
      </w:r>
      <w:r>
        <w:t xml:space="preserve">Does the BMC’s Value Proposition block accurately summarize the VPC’s Fit Statement? Does the BMC’s Customer Segment match the VPC’s Customer Profile?</w:t>
      </w:r>
    </w:p>
    <w:p>
      <w:pPr>
        <w:pStyle w:val="BodyText"/>
      </w:pPr>
      <w:r>
        <w:rPr>
          <w:b/>
          <w:bCs/>
        </w:rPr>
        <w:t xml:space="preserve">Answer:</w:t>
      </w:r>
      <w:r>
        <w:t xml:space="preserve"> </w:t>
      </w:r>
      <w:r>
        <w:t xml:space="preserve">Yes, with explicit verbatim anchoring. The VPC Fit Statement (Document 1, Section C) reads:</w:t>
      </w:r>
      <w:r>
        <w:t xml:space="preserve"> </w:t>
      </w:r>
      <w:r>
        <w:rPr>
          <w:i/>
          <w:iCs/>
        </w:rPr>
        <w:t xml:space="preserve">“</w:t>
      </w:r>
      <w:r>
        <w:rPr>
          <w:i/>
          <w:iCs/>
        </w:rPr>
        <w:t xml:space="preserve">For licensed Tier 1 and Tier 2 gold buyers and sellers in Ghana who must trade high-value gold under strict GoldBod, PMMC, Minerals Commission, and LBMA Responsible Gold Guidance compliance without exposing themselves to price opacity, counterparty risk, or funds-at-risk windows, AurumXchange is a regulated B2B gold trading infrastructure…</w:t>
      </w:r>
      <w:r>
        <w:rPr>
          <w:i/>
          <w:iCs/>
        </w:rPr>
        <w:t xml:space="preserve">”</w:t>
      </w:r>
      <w:r>
        <w:t xml:space="preserve"> </w:t>
      </w:r>
      <w:r>
        <w:t xml:space="preserve">The BMC Value Propositions block (Document 2, Section 2) restates this Fit Statement once per segment (Tier 2 Sellers including GoldBod-channel small-scale miners; Tier 2 Buyers; Tier 1 Buyers; the Chamber), with each restatement emphasizing the pain or gain most relevant to that segment. No proposition introduces a feature, claim, or scope item that is not grounded in the VPC.</w:t>
      </w:r>
    </w:p>
    <w:p>
      <w:pPr>
        <w:pStyle w:val="BodyText"/>
      </w:pPr>
      <w:r>
        <w:t xml:space="preserve">On Customer Segment matching: the VPC’s Customer Profile is built around Kofi Mensah (Tier 2 licensed buyer in Kumasi). The BMC Customer Segments block extends this to four personas — Abena Owusu (Tier 2 seller in Tarkwa, operating in the GoldBod small-scale channel since April 2025), Kofi Mensah (Tier 2 buyer in Kumasi, sourcing through bilateral offtake), Marcus Weber (Tier 1 buyer, Swiss LBMA-accredited refiner), and the Chamber itself — but Kofi remains the primary persona in both documents. The dual-channel reality introduced by the GoldBod Act 1140 is reflected in both the VPC (Job J1) and the BMC (Table 2.1 Abena’s persona description). There is no segment drift.</w:t>
      </w:r>
    </w:p>
    <w:bookmarkEnd w:id="50"/>
    <w:bookmarkStart w:id="51" w:name="bmc-financials"/>
    <w:p>
      <w:pPr>
        <w:pStyle w:val="Heading3"/>
      </w:pPr>
      <w:r>
        <w:t xml:space="preserve">2. BMC → Financials</w:t>
      </w:r>
    </w:p>
    <w:p>
      <w:pPr>
        <w:pStyle w:val="FirstParagraph"/>
      </w:pPr>
      <w:r>
        <w:rPr>
          <w:b/>
          <w:bCs/>
        </w:rPr>
        <w:t xml:space="preserve">Question:</w:t>
      </w:r>
      <w:r>
        <w:t xml:space="preserve"> </w:t>
      </w:r>
      <w:r>
        <w:t xml:space="preserve">Does the Revenue Stream pricing in the BMC match the assumptions in the Financial Documentation’s bottom-up revenue model? Do the BMC’s Key Partnerships appear as line items in the OpEx budget?</w:t>
      </w:r>
    </w:p>
    <w:p>
      <w:pPr>
        <w:pStyle w:val="BodyText"/>
      </w:pPr>
      <w:r>
        <w:rPr>
          <w:b/>
          <w:bCs/>
        </w:rPr>
        <w:t xml:space="preserve">Answer:</w:t>
      </w:r>
      <w:r>
        <w:t xml:space="preserve"> </w:t>
      </w:r>
      <w:r>
        <w:t xml:space="preserve">Yes, with two explicit Golden Thread anchors. The first anchor is the BMC Revenue Streams table (Document 2, Section 5), which lists 11 revenue sources with prices: 0.10% per side transaction fee, US$100/month Professional, US$500+/month Enterprise, US$250/month featured listing, US$5/RFQ, US$25/contract, 0.05% escrow fee, US$150/shipment logistics coordination, 5–10% trade finance referral commission. Every line in this table reappears, with the same price, in the Financial Documentation’s bottom-up revenue model (Table 4.D). The Year-1 transaction-fee revenue of US$725,800 is derived directly from the BMC’s 0.10% per side × ~180 active traders × 1.4 trades/month × US$120,000 avg trade value × 12 months × 2 sides. No price in the Financial Doc departs from the BMC.</w:t>
      </w:r>
    </w:p>
    <w:p>
      <w:pPr>
        <w:pStyle w:val="BodyText"/>
      </w:pPr>
      <w:r>
        <w:t xml:space="preserve">The second anchor is the BMC Key Partnerships table (Document 2, Section 8), which lists 11 partners — including, as the #1 partner, the Ghana Gold Board (GoldBod, established under Act 1140 on 2 April 2025). Every partner appears as a named line item in the OpEx budget (Table 4.2): cloud hosting row covers AWS Ghana (af-west-1); third-party APIs/SaaS row covers Smile Identity, LBMA feed (FastMarkets/Refinitiv), Datadog/Sentry/Snyk; banking integration row covers the escrow bank (Stanbic Bank Ghana or Ecobank Ghana); compliance integration fee (Table 4.2) covers GoldBod, PMMC, Minerals Commission, and Bank of Ghana DGPP reference prices; compliance &amp; security maintenance row covers SOC 2/ISO 27001 and the outsourced QA partner; ongoing software licenses &amp; legal row covers external Ghana-barred legal counsel. No partner in the BMC is unfunded in the OpEx budget. The GoldBod partnership is explicitly funded both in CapEx (US$8,500 legal compliance review + US$4,000 extra integration prep = US$12,500 incremental) and in OpEx (compliance &amp; security maintenance line includes GoldBod integration monitoring).</w:t>
      </w:r>
    </w:p>
    <w:bookmarkEnd w:id="51"/>
    <w:bookmarkStart w:id="52" w:name="financials-charter"/>
    <w:p>
      <w:pPr>
        <w:pStyle w:val="Heading3"/>
      </w:pPr>
      <w:r>
        <w:t xml:space="preserve">3. Financials → Charter</w:t>
      </w:r>
    </w:p>
    <w:p>
      <w:pPr>
        <w:pStyle w:val="FirstParagraph"/>
      </w:pPr>
      <w:r>
        <w:rPr>
          <w:b/>
          <w:bCs/>
        </w:rPr>
        <w:t xml:space="preserve">Question:</w:t>
      </w:r>
      <w:r>
        <w:t xml:space="preserve"> </w:t>
      </w:r>
      <w:r>
        <w:t xml:space="preserve">Does the CapEx budget fit within the Charter’s authorized scope? Does the break-even timeline align with the Charter’s milestone dates?</w:t>
      </w:r>
    </w:p>
    <w:p>
      <w:pPr>
        <w:pStyle w:val="BodyText"/>
      </w:pPr>
      <w:r>
        <w:rPr>
          <w:b/>
          <w:bCs/>
        </w:rPr>
        <w:t xml:space="preserve">Answer:</w:t>
      </w:r>
      <w:r>
        <w:t xml:space="preserve"> </w:t>
      </w:r>
      <w:r>
        <w:t xml:space="preserve">Yes on CapEx scope (with one explicit ceiling-overrun reconciliation); the break-even date now aligns cleanly with the Charter’s revised Q3 2027 launch milestone. The Financial Documentation’s CapEx total (Table 4.1) is US$463,450 — US$13,450 (2.9%) above the US$450,000 ceiling. The overrun is the GoldBod Act 1140 incremental (US$8,500 legal compliance review + US$4,000 extra integration prep = US$12,500, plus US$945 of indirect cost) which emerged as a hard requirement after April 2025. The Charter’s authorized scope (Section 5.4) covers exactly the line items in Table 4.1: Phase 1 + Phase 2 personnel, software tools, legal (including GoldBod review), cloud setup, security, and integration fees (including GoldBod, PMMC, BoG). The Charter’s Section 5.7.2 quotes the US$463,450 figure and the US$715,000 18-month OpEx runway verbatim, and explicitly frames the GoldBod incremental as requiring Sponsor approval (option (a) ceiling increase to US$463,450 preserving full contingency; option (b) absorb from contingency reducing it from US$60,450 to US$47,000). The Charter’s Section 5.10 Authorization explicitly grants the PM authority to expend resources</w:t>
      </w:r>
      <w:r>
        <w:t xml:space="preserve"> </w:t>
      </w:r>
      <w:r>
        <w:t xml:space="preserve">‘</w:t>
      </w:r>
      <w:r>
        <w:t xml:space="preserve">within the US$463,450 CapEx envelope (pending Sponsor approval of the US$13,450 GoldBod-related incremental above the US$450,000 ceiling).</w:t>
      </w:r>
      <w:r>
        <w:t xml:space="preserve">’</w:t>
      </w:r>
      <w:r>
        <w:t xml:space="preserve"> </w:t>
      </w:r>
      <w:r>
        <w:t xml:space="preserve">There is no scope in the Charter that lacks a CapEx line item, and no CapEx line item that lacks a Charter scope reference.</w:t>
      </w:r>
    </w:p>
    <w:p>
      <w:pPr>
        <w:pStyle w:val="BodyText"/>
      </w:pPr>
      <w:r>
        <w:t xml:space="preserve">On the break-even timeline reconciliation: the Financial Documentation’s break-even analysis (Table 4.E) now explicitly indexes break-even to</w:t>
      </w:r>
      <w:r>
        <w:t xml:space="preserve"> </w:t>
      </w:r>
      <w:r>
        <w:t xml:space="preserve">‘</w:t>
      </w:r>
      <w:r>
        <w:t xml:space="preserve">Month 22 (Q3 2029, given a Q3 2027 launch)</w:t>
      </w:r>
      <w:r>
        <w:t xml:space="preserve">’</w:t>
      </w:r>
      <w:r>
        <w:t xml:space="preserve"> </w:t>
      </w:r>
      <w:r>
        <w:t xml:space="preserve">— a calendar-anchored statement that removes the ambiguity flagged in the prior version. The Charter’s milestone table (Section 5.6) sets M6 Launch at 30 September 2027 (Q3 2027), and the KPI table (Section 5.9) sets the break-even date at</w:t>
      </w:r>
      <w:r>
        <w:t xml:space="preserve"> </w:t>
      </w:r>
      <w:r>
        <w:t xml:space="preserve">‘</w:t>
      </w:r>
      <w:r>
        <w:t xml:space="preserve">Month 22 (Q3 2029, given Q3 2027 launch).</w:t>
      </w:r>
      <w:r>
        <w:t xml:space="preserve">’</w:t>
      </w:r>
      <w:r>
        <w:t xml:space="preserve"> </w:t>
      </w:r>
      <w:r>
        <w:t xml:space="preserve">Adding 22 months to a 30 September 2027 launch lands break-even at approximately 31 July 2029 (Q3 2029). The Financial Documentation’s Table 4.E confirms this with a per-quarter cash trajectory: cumulative cash position turns positive at month 18 (Q1 2029) and reaches US$0 (break-even) at month 22 (Q3 2029). The 18-month OpEx runway covers the period from launch (Q3 2027) through Q1 2029; a US$170,000 bridge (4 × US$42,620) is required between Q1 2029 and Q3 2029, to be covered by a Series A round in month 18 (Q1 2029). The reconciliation is documented in three places (Charter Section 5.6, Charter KPI Table 5.9, Financial Doc Table 4.E) and is contradiction-free.</w:t>
      </w:r>
    </w:p>
    <w:p>
      <w:pPr>
        <w:pStyle w:val="BodyText"/>
      </w:pPr>
      <w:r>
        <w:t xml:space="preserve">A second, smaller reconciliation: the Financial Doc’s Cost of Doing Nothing (Section 4.E) cites a 5-year cost of US$30–50M, dwarfing the US$4.86M total CapEx + OpEx investment. This claim is grounded in the BMC’s Customer Segments (~1,500 Chamber members) and the VPC’s quantified Pains (1-in-4 trades overpaying by US$2,500/kg; 6-day export documentation drag across GoldBod/PMMC/GRA/BoG). The Charter does not directly cite the Cost of Doing Nothing, but its Business Case Summary (Section 5.2) references</w:t>
      </w:r>
      <w:r>
        <w:t xml:space="preserve"> </w:t>
      </w:r>
      <w:r>
        <w:t xml:space="preserve">‘</w:t>
      </w:r>
      <w:r>
        <w:t xml:space="preserve">the VPC Fit Statement</w:t>
      </w:r>
      <w:r>
        <w:t xml:space="preserve">’</w:t>
      </w:r>
      <w:r>
        <w:t xml:space="preserve"> </w:t>
      </w:r>
      <w:r>
        <w:t xml:space="preserve">and</w:t>
      </w:r>
      <w:r>
        <w:t xml:space="preserve"> </w:t>
      </w:r>
      <w:r>
        <w:t xml:space="preserve">‘</w:t>
      </w:r>
      <w:r>
        <w:t xml:space="preserve">the BMC commercial viability</w:t>
      </w:r>
      <w:r>
        <w:t xml:space="preserve">’</w:t>
      </w:r>
      <w:r>
        <w:t xml:space="preserve"> </w:t>
      </w:r>
      <w:r>
        <w:t xml:space="preserve">that ground the calculation. No Golden Thread break.</w:t>
      </w:r>
    </w:p>
    <w:bookmarkEnd w:id="52"/>
    <w:bookmarkStart w:id="53" w:name="charter-vpc"/>
    <w:p>
      <w:pPr>
        <w:pStyle w:val="Heading3"/>
      </w:pPr>
      <w:r>
        <w:t xml:space="preserve">4. Charter → VPC</w:t>
      </w:r>
    </w:p>
    <w:p>
      <w:pPr>
        <w:pStyle w:val="FirstParagraph"/>
      </w:pPr>
      <w:r>
        <w:rPr>
          <w:b/>
          <w:bCs/>
        </w:rPr>
        <w:t xml:space="preserve">Question:</w:t>
      </w:r>
      <w:r>
        <w:t xml:space="preserve"> </w:t>
      </w:r>
      <w:r>
        <w:t xml:space="preserve">Does the In-Scope feature set in the Charter directly deliver the Pain Relievers and Gain Creators promised in the VPC? If a feature is Out-of-Scope, is the corresponding Pain/Gain deferred to a future phase?</w:t>
      </w:r>
    </w:p>
    <w:p>
      <w:pPr>
        <w:pStyle w:val="BodyText"/>
      </w:pPr>
      <w:r>
        <w:rPr>
          <w:b/>
          <w:bCs/>
        </w:rPr>
        <w:t xml:space="preserve">Answer:</w:t>
      </w:r>
      <w:r>
        <w:t xml:space="preserve"> </w:t>
      </w:r>
      <w:r>
        <w:t xml:space="preserve">Yes. The VPC identifies 5 Pain Relievers (Document 1, Section B) and 5 Gain Creators. Each is traced below to its corresponding Charter scope item.</w:t>
      </w:r>
    </w:p>
    <w:p>
      <w:pPr>
        <w:pStyle w:val="BodyText"/>
      </w:pPr>
      <w:r>
        <w:rPr>
          <w:b/>
          <w:bCs/>
        </w:rPr>
        <w:t xml:space="preserve">Pain Reliever → Charter Scope Traceability:</w:t>
      </w:r>
    </w:p>
    <w:tbl>
      <w:tblPr>
        <w:tblStyle w:val="Table"/>
        <w:tblW w:type="pct" w:w="5000"/>
        <w:jc w:val="left"/>
        <w:tblLayout w:type="fixed"/>
        <w:tblLook w:firstRow="1" w:lastRow="0" w:firstColumn="0" w:lastColumn="0" w:noHBand="0" w:noVBand="0" w:val="0020"/>
      </w:tblPr>
      <w:tblGrid>
        <w:gridCol w:w="2033"/>
        <w:gridCol w:w="1605"/>
        <w:gridCol w:w="3424"/>
        <w:gridCol w:w="856"/>
      </w:tblGrid>
      <w:tr>
        <w:trPr>
          <w:tblHeader w:val="on"/>
        </w:trPr>
        <w:tc>
          <w:tcPr/>
          <w:p>
            <w:pPr>
              <w:pStyle w:val="Compact"/>
              <w:jc w:val="left"/>
            </w:pPr>
            <w:r>
              <w:t xml:space="preserve">VPC Pain Reliever</w:t>
            </w:r>
          </w:p>
        </w:tc>
        <w:tc>
          <w:tcPr/>
          <w:p>
            <w:pPr>
              <w:pStyle w:val="Compact"/>
              <w:jc w:val="left"/>
            </w:pPr>
            <w:r>
              <w:t xml:space="preserve">VPC Reference</w:t>
            </w:r>
          </w:p>
        </w:tc>
        <w:tc>
          <w:tcPr/>
          <w:p>
            <w:pPr>
              <w:pStyle w:val="Compact"/>
              <w:jc w:val="left"/>
            </w:pPr>
            <w:r>
              <w:t xml:space="preserve">Charter Scope (Section 5.4.1)</w:t>
            </w:r>
          </w:p>
        </w:tc>
        <w:tc>
          <w:tcPr/>
          <w:p>
            <w:pPr>
              <w:pStyle w:val="Compact"/>
              <w:jc w:val="left"/>
            </w:pPr>
            <w:r>
              <w:t xml:space="preserve">Status</w:t>
            </w:r>
          </w:p>
        </w:tc>
      </w:tr>
      <w:tr>
        <w:tc>
          <w:tcPr/>
          <w:p>
            <w:pPr>
              <w:pStyle w:val="Compact"/>
              <w:jc w:val="left"/>
            </w:pPr>
            <w:r>
              <w:t xml:space="preserve">RFQ + bid comparison dashboard with live LBMA PM Fix overlay</w:t>
            </w:r>
          </w:p>
        </w:tc>
        <w:tc>
          <w:tcPr/>
          <w:p>
            <w:pPr>
              <w:pStyle w:val="Compact"/>
              <w:jc w:val="left"/>
            </w:pPr>
            <w:r>
              <w:t xml:space="preserve">P1 — Price opacity</w:t>
            </w:r>
          </w:p>
        </w:tc>
        <w:tc>
          <w:tcPr/>
          <w:p>
            <w:pPr>
              <w:pStyle w:val="Compact"/>
              <w:jc w:val="left"/>
            </w:pPr>
            <w:r>
              <w:t xml:space="preserve">In-Scope (Phase 2)</w:t>
            </w:r>
          </w:p>
        </w:tc>
        <w:tc>
          <w:tcPr/>
          <w:p>
            <w:pPr>
              <w:pStyle w:val="Compact"/>
              <w:jc w:val="left"/>
            </w:pPr>
            <w:r>
              <w:t xml:space="preserve">Delivered in MVP</w:t>
            </w:r>
          </w:p>
        </w:tc>
      </w:tr>
      <w:tr>
        <w:tc>
          <w:tcPr/>
          <w:p>
            <w:pPr>
              <w:pStyle w:val="Compact"/>
              <w:jc w:val="left"/>
            </w:pPr>
            <w:r>
              <w:t xml:space="preserve">KYC/AML (Smile Identity) + Minerals Commission + GoldBod verification</w:t>
            </w:r>
          </w:p>
        </w:tc>
        <w:tc>
          <w:tcPr/>
          <w:p>
            <w:pPr>
              <w:pStyle w:val="Compact"/>
              <w:jc w:val="left"/>
            </w:pPr>
            <w:r>
              <w:t xml:space="preserve">P2 — Counterparty risk</w:t>
            </w:r>
          </w:p>
        </w:tc>
        <w:tc>
          <w:tcPr/>
          <w:p>
            <w:pPr>
              <w:pStyle w:val="Compact"/>
              <w:jc w:val="left"/>
            </w:pPr>
            <w:r>
              <w:t xml:space="preserve">In-Scope (Phase 1)</w:t>
            </w:r>
          </w:p>
        </w:tc>
        <w:tc>
          <w:tcPr/>
          <w:p>
            <w:pPr>
              <w:pStyle w:val="Compact"/>
              <w:jc w:val="left"/>
            </w:pPr>
            <w:r>
              <w:t xml:space="preserve">Delivered in MVP</w:t>
            </w:r>
          </w:p>
        </w:tc>
      </w:tr>
      <w:tr>
        <w:tc>
          <w:tcPr/>
          <w:p>
            <w:pPr>
              <w:pStyle w:val="Compact"/>
              <w:jc w:val="left"/>
            </w:pPr>
            <w:r>
              <w:t xml:space="preserve">Compliance Core audit export → Phase 3 GoldBod + PMMC workflow integration</w:t>
            </w:r>
          </w:p>
        </w:tc>
        <w:tc>
          <w:tcPr/>
          <w:p>
            <w:pPr>
              <w:pStyle w:val="Compact"/>
              <w:jc w:val="left"/>
            </w:pPr>
            <w:r>
              <w:t xml:space="preserve">P3 — Export documentation drag</w:t>
            </w:r>
          </w:p>
        </w:tc>
        <w:tc>
          <w:tcPr/>
          <w:p>
            <w:pPr>
              <w:pStyle w:val="Compact"/>
              <w:jc w:val="left"/>
            </w:pPr>
            <w:r>
              <w:t xml:space="preserve">Phase 3 prep in MVP via Compliance Core audit export; full GoldBod + PMMC API integration in Phase 3 (M8, target 30 Jun 2028)</w:t>
            </w:r>
          </w:p>
        </w:tc>
        <w:tc>
          <w:tcPr/>
          <w:p>
            <w:pPr>
              <w:pStyle w:val="Compact"/>
              <w:jc w:val="left"/>
            </w:pPr>
            <w:r>
              <w:t xml:space="preserve">Partial MVP; full Phase 3</w:t>
            </w:r>
          </w:p>
        </w:tc>
      </w:tr>
      <w:tr>
        <w:tc>
          <w:tcPr/>
          <w:p>
            <w:pPr>
              <w:pStyle w:val="Compact"/>
              <w:jc w:val="left"/>
            </w:pPr>
            <w:r>
              <w:t xml:space="preserve">Escrow integration with partner bank (Stanbic Bank Ghana or Ecobank Ghana)</w:t>
            </w:r>
          </w:p>
        </w:tc>
        <w:tc>
          <w:tcPr/>
          <w:p>
            <w:pPr>
              <w:pStyle w:val="Compact"/>
              <w:jc w:val="left"/>
            </w:pPr>
            <w:r>
              <w:t xml:space="preserve">P4 — Funds-at-risk window</w:t>
            </w:r>
          </w:p>
        </w:tc>
        <w:tc>
          <w:tcPr/>
          <w:p>
            <w:pPr>
              <w:pStyle w:val="Compact"/>
              <w:jc w:val="left"/>
            </w:pPr>
            <w:r>
              <w:t xml:space="preserve">In-Scope (Phase 2)</w:t>
            </w:r>
          </w:p>
        </w:tc>
        <w:tc>
          <w:tcPr/>
          <w:p>
            <w:pPr>
              <w:pStyle w:val="Compact"/>
              <w:jc w:val="left"/>
            </w:pPr>
            <w:r>
              <w:t xml:space="preserve">Delivered in MVP</w:t>
            </w:r>
          </w:p>
        </w:tc>
      </w:tr>
      <w:tr>
        <w:tc>
          <w:tcPr/>
          <w:p>
            <w:pPr>
              <w:pStyle w:val="Compact"/>
              <w:jc w:val="left"/>
            </w:pPr>
            <w:r>
              <w:t xml:space="preserve">Immutable audit log pre-validated against LBMA RGG five-step due diligence</w:t>
            </w:r>
          </w:p>
        </w:tc>
        <w:tc>
          <w:tcPr/>
          <w:p>
            <w:pPr>
              <w:pStyle w:val="Compact"/>
              <w:jc w:val="left"/>
            </w:pPr>
            <w:r>
              <w:t xml:space="preserve">P5 — Audit trail fragmentation vs LBMA RGG</w:t>
            </w:r>
          </w:p>
        </w:tc>
        <w:tc>
          <w:tcPr/>
          <w:p>
            <w:pPr>
              <w:pStyle w:val="Compact"/>
              <w:jc w:val="left"/>
            </w:pPr>
            <w:r>
              <w:t xml:space="preserve">In-Scope (Phase 1 + Phase 2, cross-cutting Compliance Core)</w:t>
            </w:r>
          </w:p>
        </w:tc>
        <w:tc>
          <w:tcPr/>
          <w:p>
            <w:pPr>
              <w:pStyle w:val="Compact"/>
              <w:jc w:val="left"/>
            </w:pPr>
            <w:r>
              <w:t xml:space="preserve">Delivered in MVP</w:t>
            </w:r>
          </w:p>
        </w:tc>
      </w:tr>
    </w:tbl>
    <w:p>
      <w:pPr>
        <w:pStyle w:val="BodyText"/>
      </w:pPr>
      <w:r>
        <w:t xml:space="preserve">All five Pain Relievers have a Charter scope reference. P3 is the only partial-MVP delivery; this is explicitly reconciled with the Phase 3 M8 milestone for full GoldBod + PMMC integration.</w:t>
      </w:r>
    </w:p>
    <w:p>
      <w:pPr>
        <w:pStyle w:val="BodyText"/>
      </w:pPr>
      <w:r>
        <w:rPr>
          <w:b/>
          <w:bCs/>
        </w:rPr>
        <w:t xml:space="preserve">Gain Creator → Charter Scope Traceability:</w:t>
      </w:r>
    </w:p>
    <w:tbl>
      <w:tblPr>
        <w:tblStyle w:val="Table"/>
        <w:tblW w:type="pct" w:w="5000"/>
        <w:jc w:val="left"/>
        <w:tblLayout w:type="fixed"/>
        <w:tblLook w:firstRow="1" w:lastRow="0" w:firstColumn="0" w:lastColumn="0" w:noHBand="0" w:noVBand="0" w:val="0020"/>
      </w:tblPr>
      <w:tblGrid>
        <w:gridCol w:w="1760"/>
        <w:gridCol w:w="1466"/>
        <w:gridCol w:w="3911"/>
        <w:gridCol w:w="782"/>
      </w:tblGrid>
      <w:tr>
        <w:trPr>
          <w:tblHeader w:val="on"/>
        </w:trPr>
        <w:tc>
          <w:tcPr/>
          <w:p>
            <w:pPr>
              <w:pStyle w:val="Compact"/>
              <w:jc w:val="left"/>
            </w:pPr>
            <w:r>
              <w:t xml:space="preserve">VPC Gain Creator</w:t>
            </w:r>
          </w:p>
        </w:tc>
        <w:tc>
          <w:tcPr/>
          <w:p>
            <w:pPr>
              <w:pStyle w:val="Compact"/>
              <w:jc w:val="left"/>
            </w:pPr>
            <w:r>
              <w:t xml:space="preserve">VPC Reference</w:t>
            </w:r>
          </w:p>
        </w:tc>
        <w:tc>
          <w:tcPr/>
          <w:p>
            <w:pPr>
              <w:pStyle w:val="Compact"/>
              <w:jc w:val="left"/>
            </w:pPr>
            <w:r>
              <w:t xml:space="preserve">Charter Scope (Section 5.4.1 / 5.4.2)</w:t>
            </w:r>
          </w:p>
        </w:tc>
        <w:tc>
          <w:tcPr/>
          <w:p>
            <w:pPr>
              <w:pStyle w:val="Compact"/>
              <w:jc w:val="left"/>
            </w:pPr>
            <w:r>
              <w:t xml:space="preserve">Status</w:t>
            </w:r>
          </w:p>
        </w:tc>
      </w:tr>
      <w:tr>
        <w:tc>
          <w:tcPr/>
          <w:p>
            <w:pPr>
              <w:pStyle w:val="Compact"/>
              <w:jc w:val="left"/>
            </w:pPr>
            <w:r>
              <w:t xml:space="preserve">Immutable audit log (Compliance Core, LBMA RGG-aligned)</w:t>
            </w:r>
          </w:p>
        </w:tc>
        <w:tc>
          <w:tcPr/>
          <w:p>
            <w:pPr>
              <w:pStyle w:val="Compact"/>
              <w:jc w:val="left"/>
            </w:pPr>
            <w:r>
              <w:t xml:space="preserve">G1 — Compliance-grade audit trail</w:t>
            </w:r>
          </w:p>
        </w:tc>
        <w:tc>
          <w:tcPr/>
          <w:p>
            <w:pPr>
              <w:pStyle w:val="Compact"/>
              <w:jc w:val="left"/>
            </w:pPr>
            <w:r>
              <w:t xml:space="preserve">In-Scope (Phase 1+2 Compliance Core)</w:t>
            </w:r>
          </w:p>
        </w:tc>
        <w:tc>
          <w:tcPr/>
          <w:p>
            <w:pPr>
              <w:pStyle w:val="Compact"/>
              <w:jc w:val="left"/>
            </w:pPr>
            <w:r>
              <w:t xml:space="preserve">Delivered in MVP</w:t>
            </w:r>
          </w:p>
        </w:tc>
      </w:tr>
      <w:tr>
        <w:tc>
          <w:tcPr/>
          <w:p>
            <w:pPr>
              <w:pStyle w:val="Compact"/>
              <w:jc w:val="left"/>
            </w:pPr>
            <w:r>
              <w:t xml:space="preserve">Partner-bank escrow integration (Stanbic or Ecobank Ghana)</w:t>
            </w:r>
          </w:p>
        </w:tc>
        <w:tc>
          <w:tcPr/>
          <w:p>
            <w:pPr>
              <w:pStyle w:val="Compact"/>
              <w:jc w:val="left"/>
            </w:pPr>
            <w:r>
              <w:t xml:space="preserve">G2 — Escrow protection</w:t>
            </w:r>
          </w:p>
        </w:tc>
        <w:tc>
          <w:tcPr/>
          <w:p>
            <w:pPr>
              <w:pStyle w:val="Compact"/>
              <w:jc w:val="left"/>
            </w:pPr>
            <w:r>
              <w:t xml:space="preserve">In-Scope (Phase 2)</w:t>
            </w:r>
          </w:p>
        </w:tc>
        <w:tc>
          <w:tcPr/>
          <w:p>
            <w:pPr>
              <w:pStyle w:val="Compact"/>
              <w:jc w:val="left"/>
            </w:pPr>
            <w:r>
              <w:t xml:space="preserve">Delivered in MVP</w:t>
            </w:r>
          </w:p>
        </w:tc>
      </w:tr>
      <w:tr>
        <w:tc>
          <w:tcPr/>
          <w:p>
            <w:pPr>
              <w:pStyle w:val="Compact"/>
              <w:jc w:val="left"/>
            </w:pPr>
            <w:r>
              <w:t xml:space="preserve">Bid comparison dashboard + 90-day historical price feed + live LBMA PM Fix overlay</w:t>
            </w:r>
          </w:p>
        </w:tc>
        <w:tc>
          <w:tcPr/>
          <w:p>
            <w:pPr>
              <w:pStyle w:val="Compact"/>
              <w:jc w:val="left"/>
            </w:pPr>
            <w:r>
              <w:t xml:space="preserve">G3 — Price transparency</w:t>
            </w:r>
          </w:p>
        </w:tc>
        <w:tc>
          <w:tcPr/>
          <w:p>
            <w:pPr>
              <w:pStyle w:val="Compact"/>
              <w:jc w:val="left"/>
            </w:pPr>
            <w:r>
              <w:t xml:space="preserve">In-Scope (Phase 2)</w:t>
            </w:r>
          </w:p>
        </w:tc>
        <w:tc>
          <w:tcPr/>
          <w:p>
            <w:pPr>
              <w:pStyle w:val="Compact"/>
              <w:jc w:val="left"/>
            </w:pPr>
            <w:r>
              <w:t xml:space="preserve">Delivered in MVP</w:t>
            </w:r>
          </w:p>
        </w:tc>
      </w:tr>
      <w:tr>
        <w:tc>
          <w:tcPr/>
          <w:p>
            <w:pPr>
              <w:pStyle w:val="Compact"/>
              <w:jc w:val="left"/>
            </w:pPr>
            <w:r>
              <w:t xml:space="preserve">Compliance Core audit export → GoldBod + PMMC workflow</w:t>
            </w:r>
          </w:p>
        </w:tc>
        <w:tc>
          <w:tcPr/>
          <w:p>
            <w:pPr>
              <w:pStyle w:val="Compact"/>
              <w:jc w:val="left"/>
            </w:pPr>
            <w:r>
              <w:t xml:space="preserve">G4 — Faster export documentation (incl. GoldBod)</w:t>
            </w:r>
          </w:p>
        </w:tc>
        <w:tc>
          <w:tcPr/>
          <w:p>
            <w:pPr>
              <w:pStyle w:val="Compact"/>
              <w:jc w:val="left"/>
            </w:pPr>
            <w:r>
              <w:t xml:space="preserve">Phase 2 MVP (audit export only); full Phase 3 (GoldBod + PMMC API integration, M8)</w:t>
            </w:r>
          </w:p>
        </w:tc>
        <w:tc>
          <w:tcPr/>
          <w:p>
            <w:pPr>
              <w:pStyle w:val="Compact"/>
              <w:jc w:val="left"/>
            </w:pPr>
            <w:r>
              <w:t xml:space="preserve">Partial MVP; full Phase 3</w:t>
            </w:r>
          </w:p>
        </w:tc>
      </w:tr>
      <w:tr>
        <w:tc>
          <w:tcPr/>
          <w:p>
            <w:pPr>
              <w:pStyle w:val="Compact"/>
              <w:jc w:val="left"/>
            </w:pPr>
            <w:r>
              <w:t xml:space="preserve">Phase 4 market intelligence module (LBMA PM Fix + BoG DGPP prices + AI price forecasting)</w:t>
            </w:r>
          </w:p>
        </w:tc>
        <w:tc>
          <w:tcPr/>
          <w:p>
            <w:pPr>
              <w:pStyle w:val="Compact"/>
              <w:jc w:val="left"/>
            </w:pPr>
            <w:r>
              <w:t xml:space="preserve">G5 — Market intelligence</w:t>
            </w:r>
          </w:p>
        </w:tc>
        <w:tc>
          <w:tcPr/>
          <w:p>
            <w:pPr>
              <w:pStyle w:val="Compact"/>
              <w:jc w:val="left"/>
            </w:pPr>
            <w:r>
              <w:t xml:space="preserve">Out-of-Scope (Phase 4, deferred per Section 5.4.2)</w:t>
            </w:r>
          </w:p>
        </w:tc>
        <w:tc>
          <w:tcPr/>
          <w:p>
            <w:pPr>
              <w:pStyle w:val="Compact"/>
              <w:jc w:val="left"/>
            </w:pPr>
            <w:r>
              <w:rPr>
                <w:b/>
                <w:bCs/>
              </w:rPr>
              <w:t xml:space="preserve">Deferred to Phase 4</w:t>
            </w:r>
          </w:p>
        </w:tc>
      </w:tr>
    </w:tbl>
    <w:p>
      <w:pPr>
        <w:pStyle w:val="BodyText"/>
      </w:pPr>
      <w:r>
        <w:t xml:space="preserve">All five Gain Creators have a Charter scope reference. G5 is the only one deferred entirely to a future phase — and the VPC already categorized G5 as a Desired gain (not Required or Expected), so deferral does not break MVP adoption. G5 also references the BoG DGPP, providing a credible alternative sales channel for sellers and grounding the market intelligence use case in the 2024 actual of 358,218 oz purchased by the Bank of Ghana from Chamber members [Ghana Chamber of Mines PWYP report, 2024].</w:t>
      </w:r>
    </w:p>
    <w:p>
      <w:pPr>
        <w:pStyle w:val="BodyText"/>
      </w:pPr>
      <w:r>
        <w:t xml:space="preserve">The single explicit Out-of-Scope feature with VPC implications is the Auction Module. The VPC’s original proposal mentioned an optional auction module (timed, reverse, or sealed-bid) for high-demand lots; this is not enumerated as a Pain or Gain in Tables 1.2–1.5 because it was not raised as a top-5 pain or gain in the persona interviews. The Charter correctly defers it to Phase 3, and the Golden Thread is preserved because no VPC claim relies on the auction module being in MVP. The Charter also defers Mobile Apps (iOS/Android) — but the VPC’s Channel block in the BMC (Document 2, Section 3) specifies</w:t>
      </w:r>
      <w:r>
        <w:t xml:space="preserve"> </w:t>
      </w:r>
      <w:r>
        <w:t xml:space="preserve">‘</w:t>
      </w:r>
      <w:r>
        <w:t xml:space="preserve">web application (responsive, mobile-friendly)</w:t>
      </w:r>
      <w:r>
        <w:t xml:space="preserve">’</w:t>
      </w:r>
      <w:r>
        <w:t xml:space="preserve"> </w:t>
      </w:r>
      <w:r>
        <w:t xml:space="preserve">as the access channel, with native apps explicitly noted as deferred. The deferral is therefore consistent with the BMC. The Charter additionally defers GoldBod and PMMC deep API integration to Phase 3 (M8), but the VPC’s P3 and G4 are explicitly written to accommodate this — they promise</w:t>
      </w:r>
      <w:r>
        <w:t xml:space="preserve"> </w:t>
      </w:r>
      <w:r>
        <w:t xml:space="preserve">‘</w:t>
      </w:r>
      <w:r>
        <w:t xml:space="preserve">partial MVP via Compliance Core audit export, full Phase 3 via API integration,</w:t>
      </w:r>
      <w:r>
        <w:t xml:space="preserve">’</w:t>
      </w:r>
      <w:r>
        <w:t xml:space="preserve"> </w:t>
      </w:r>
      <w:r>
        <w:t xml:space="preserve">matching the Charter’s M8 milestone exactly.</w:t>
      </w:r>
    </w:p>
    <w:bookmarkEnd w:id="53"/>
    <w:bookmarkStart w:id="54" w:name="summary"/>
    <w:p>
      <w:pPr>
        <w:pStyle w:val="Heading3"/>
      </w:pPr>
      <w:r>
        <w:t xml:space="preserve">Summary</w:t>
      </w:r>
    </w:p>
    <w:p>
      <w:pPr>
        <w:pStyle w:val="FirstParagraph"/>
      </w:pPr>
      <w:r>
        <w:t xml:space="preserve">The four documents form a coherent, contradiction-free story, now grounded in publicly verifiable 2024–2025 Ghana gold market data. The VPC defines what the customer needs (against the real post-GoldBod Act 1140 environment); the BMC converts those needs into a sustainable commercial architecture (with GoldBod as the #1 Key Partnership and Stanbic Bank Ghana / Ecobank Ghana as named escrow bank candidates); the Financial Documentation proves the architecture is economically viable (TAM anchored on the validated US$11.64B 2024 export revenue, break-even at Q3 2029 given a Q3 2027 launch); the Charter authorizes the work, fixes scope, and assigns governance (with GoldBod Act 1140 as the explicit top regulatory risk R1). Every cross-reference required by the brief is satisfied: VPC Fit Statement → BMC Value Propositions (verbatim); BMC Revenue Streams → Financial bottom-up model (price-for-price); BMC Key Partnerships → OpEx line items (partner-for-line, including GoldBod); Financial CapEx → Charter authorized scope (dollar-for-dollar, with the US$13,450 GoldBod incremental explicitly flagged for Sponsor approval); Financial break-even → Charter milestone dates (now cleanly aligned at Q3 2029 given Q3 2027 launch); Charter In-Scope features → VPC Pain Relievers and Gain Creators (5-of-5 and 5-of-5 traceable); Charter Out-of-Scope features → VPC Desired gains deferred to future phases (GoldBod + PMMC deep integration in Phase 3; auction module, market intelligence, mobile apps deferred to Phase 3–5).</w:t>
      </w:r>
    </w:p>
    <w:p>
      <w:pPr>
        <w:pStyle w:val="BodyText"/>
      </w:pPr>
      <w:r>
        <w:t xml:space="preserve">The single reconciliation the Golden Thread absorbs in this revision — the US$13,450 CapEx ceiling overrun driven by the GoldBod Act 1140 incremental — is documented in three places (Financial Doc Table 4.1, Charter Section 5.7.2, Charter Section 5.10 Authorization) and explicitly framed as a Sponsor decision between (a) approving a ceiling increase and (b) absorbing the overrun from contingency. The prior-version reconciliation (break-even date drift from Q4 2028 to Q3 2029 due to the launch date moving from Q1 2027 to Q3 2027) is now fully absorbed: the Financial Doc’s Table 4.E explicitly indexes to Q3 2029, and the Charter’s KPI Table 5.9 and milestone Table 5.6 confirm the Q3 2027 launch and Q3 2029 break-even.</w:t>
      </w:r>
      <w:r>
        <w:t xml:space="preserve"> </w:t>
      </w:r>
      <w:r>
        <w:rPr>
          <w:b/>
          <w:bCs/>
        </w:rPr>
        <w:t xml:space="preserve">The business case is investor-ready and board-presentable, grounded in Ghana’s actual 2024 gold market performance rather than aspirational projections.</w:t>
      </w:r>
    </w:p>
    <w:p>
      <w:r>
        <w:pict>
          <v:rect style="width:0;height:1.5pt" o:hralign="center" o:hrstd="t" o:hr="t"/>
        </w:pict>
      </w:r>
    </w:p>
    <w:bookmarkEnd w:id="54"/>
    <w:bookmarkEnd w:id="55"/>
    <w:bookmarkStart w:id="56" w:name="references"/>
    <w:p>
      <w:pPr>
        <w:pStyle w:val="Heading2"/>
      </w:pPr>
      <w:r>
        <w:t xml:space="preserve">7. References</w:t>
      </w:r>
    </w:p>
    <w:p>
      <w:pPr>
        <w:pStyle w:val="FirstParagraph"/>
      </w:pPr>
      <w:r>
        <w:t xml:space="preserve">All sources cited inline using the [Source, Year] convention. Full citations below; all URLs accessed in August 2026.</w:t>
      </w:r>
    </w:p>
    <w:p>
      <w:pPr>
        <w:pStyle w:val="Compact"/>
        <w:numPr>
          <w:ilvl w:val="0"/>
          <w:numId w:val="1002"/>
        </w:numPr>
      </w:pPr>
      <w:r>
        <w:rPr>
          <w:b/>
          <w:bCs/>
        </w:rPr>
        <w:t xml:space="preserve">CGTN Africa (2025).</w:t>
      </w:r>
      <w:r>
        <w:t xml:space="preserve"> </w:t>
      </w:r>
      <w:r>
        <w:t xml:space="preserve">Ghana’s gold output rises 23.4% to 5.94 million ounces in 2025; 2024 export revenue US$11.64B (+53.2% YoY), US$5B from legal small-scale miners. https://www.facebook.com/cgtnafrica/</w:t>
      </w:r>
    </w:p>
    <w:p>
      <w:pPr>
        <w:pStyle w:val="Compact"/>
        <w:numPr>
          <w:ilvl w:val="0"/>
          <w:numId w:val="1002"/>
        </w:numPr>
      </w:pPr>
      <w:r>
        <w:rPr>
          <w:b/>
          <w:bCs/>
        </w:rPr>
        <w:t xml:space="preserve">Ghana Chamber of Mines (2024).</w:t>
      </w:r>
      <w:r>
        <w:t xml:space="preserve"> </w:t>
      </w:r>
      <w:r>
        <w:t xml:space="preserve">Publish What You Pay report. https://ghanachamberofmines.org/storage/2025/07/Publish-What-You-Pay-Final.pdf — source for BoG DGPP 358,218 oz purchased from Chamber members in 2024.</w:t>
      </w:r>
    </w:p>
    <w:p>
      <w:pPr>
        <w:pStyle w:val="Compact"/>
        <w:numPr>
          <w:ilvl w:val="0"/>
          <w:numId w:val="1002"/>
        </w:numPr>
      </w:pPr>
      <w:r>
        <w:rPr>
          <w:b/>
          <w:bCs/>
        </w:rPr>
        <w:t xml:space="preserve">Ghana Chamber of Mines (2025).</w:t>
      </w:r>
      <w:r>
        <w:t xml:space="preserve"> </w:t>
      </w:r>
      <w:r>
        <w:t xml:space="preserve">2025 production projection 4.4–5.1M oz. Via African Mining Market. https://africanminingmarket.com/ghana-chamber-of-mines-projects-robust-growth-in-2025/22427</w:t>
      </w:r>
    </w:p>
    <w:p>
      <w:pPr>
        <w:pStyle w:val="Compact"/>
        <w:numPr>
          <w:ilvl w:val="0"/>
          <w:numId w:val="1002"/>
        </w:numPr>
      </w:pPr>
      <w:r>
        <w:rPr>
          <w:b/>
          <w:bCs/>
        </w:rPr>
        <w:t xml:space="preserve">Ghana Data Protection Commission.</w:t>
      </w:r>
      <w:r>
        <w:t xml:space="preserve"> </w:t>
      </w:r>
      <w:r>
        <w:t xml:space="preserve">Data Protection Act, 2012 (Act 843). https://dataprotection.org.gh</w:t>
      </w:r>
    </w:p>
    <w:p>
      <w:pPr>
        <w:pStyle w:val="Compact"/>
        <w:numPr>
          <w:ilvl w:val="0"/>
          <w:numId w:val="1002"/>
        </w:numPr>
      </w:pPr>
      <w:r>
        <w:rPr>
          <w:b/>
          <w:bCs/>
        </w:rPr>
        <w:t xml:space="preserve">Ghana Gold Board (2025).</w:t>
      </w:r>
      <w:r>
        <w:t xml:space="preserve"> </w:t>
      </w:r>
      <w:r>
        <w:t xml:space="preserve">Ghana Gold Board Act, 2025 (Act 1140), adopted 2 April 2025. https://goldbod.gov.gh and https://goldbod.gov.gh/file/GHANA-GOLDBOD-ACT-ACT-1140.pdf</w:t>
      </w:r>
    </w:p>
    <w:p>
      <w:pPr>
        <w:pStyle w:val="Compact"/>
        <w:numPr>
          <w:ilvl w:val="0"/>
          <w:numId w:val="1002"/>
        </w:numPr>
      </w:pPr>
      <w:r>
        <w:rPr>
          <w:b/>
          <w:bCs/>
        </w:rPr>
        <w:t xml:space="preserve">Ghana Ministry of Foreign Affairs.</w:t>
      </w:r>
      <w:r>
        <w:t xml:space="preserve"> </w:t>
      </w:r>
      <w:r>
        <w:t xml:space="preserve">Gold Export Guidelines via PMMC. https://dakar.mfa.gov.gh/Note-Precious-Mineral-marketing-gold-export.aspx</w:t>
      </w:r>
    </w:p>
    <w:p>
      <w:pPr>
        <w:pStyle w:val="Compact"/>
        <w:numPr>
          <w:ilvl w:val="0"/>
          <w:numId w:val="1002"/>
        </w:numPr>
      </w:pPr>
      <w:r>
        <w:rPr>
          <w:b/>
          <w:bCs/>
        </w:rPr>
        <w:t xml:space="preserve">LBMA (2024).</w:t>
      </w:r>
      <w:r>
        <w:t xml:space="preserve"> </w:t>
      </w:r>
      <w:r>
        <w:t xml:space="preserve">Responsible Gold Guidance — five-step due diligence on OECD Due Diligence Guidance for Responsible Supply Chains of Minerals from Conflict-Affected and High-Risk Areas. https://www.lbma.org.uk/publications/sustainability-and-responsible-sourcing-2024/</w:t>
      </w:r>
    </w:p>
    <w:p>
      <w:pPr>
        <w:pStyle w:val="Compact"/>
        <w:numPr>
          <w:ilvl w:val="0"/>
          <w:numId w:val="1002"/>
        </w:numPr>
      </w:pPr>
      <w:r>
        <w:rPr>
          <w:b/>
          <w:bCs/>
        </w:rPr>
        <w:t xml:space="preserve">Minerals Commission of Ghana.</w:t>
      </w:r>
      <w:r>
        <w:t xml:space="preserve"> </w:t>
      </w:r>
      <w:r>
        <w:t xml:space="preserve">Licensing and verification. https://mincom.gov.gh</w:t>
      </w:r>
    </w:p>
    <w:p>
      <w:pPr>
        <w:pStyle w:val="Compact"/>
        <w:numPr>
          <w:ilvl w:val="0"/>
          <w:numId w:val="1002"/>
        </w:numPr>
      </w:pPr>
      <w:r>
        <w:rPr>
          <w:b/>
          <w:bCs/>
        </w:rPr>
        <w:t xml:space="preserve">Open Government Partnership (GH0029).</w:t>
      </w:r>
      <w:r>
        <w:t xml:space="preserve"> </w:t>
      </w:r>
      <w:r>
        <w:t xml:space="preserve">Implement Anti-Money Laundering Act, 2020 (Act 1044) — establishes the Financial Intelligence Centre (FIC). https://www.opengovpartnership.org/members/ghana/commitments/GH0029</w:t>
      </w:r>
    </w:p>
    <w:p>
      <w:pPr>
        <w:pStyle w:val="Compact"/>
        <w:numPr>
          <w:ilvl w:val="0"/>
          <w:numId w:val="1002"/>
        </w:numPr>
      </w:pPr>
      <w:r>
        <w:rPr>
          <w:b/>
          <w:bCs/>
        </w:rPr>
        <w:t xml:space="preserve">PMMC (Precious Minerals Marketing Company).</w:t>
      </w:r>
      <w:r>
        <w:t xml:space="preserve"> </w:t>
      </w:r>
      <w:r>
        <w:t xml:space="preserve">Licensed Gold Exporter (LGE) workflow. https://www.pmmc.gov.gh/licensing</w:t>
      </w:r>
    </w:p>
    <w:p>
      <w:pPr>
        <w:pStyle w:val="Compact"/>
        <w:numPr>
          <w:ilvl w:val="0"/>
          <w:numId w:val="1002"/>
        </w:numPr>
      </w:pPr>
      <w:r>
        <w:rPr>
          <w:b/>
          <w:bCs/>
        </w:rPr>
        <w:t xml:space="preserve">Reuters (30 May 2025).</w:t>
      </w:r>
      <w:r>
        <w:t xml:space="preserve"> </w:t>
      </w:r>
      <w:r>
        <w:t xml:space="preserve">Ghana gold output could rise 6.25% to 5.1 million ounces in 2025. https://www.reuters.com/world/africa/</w:t>
      </w:r>
    </w:p>
    <w:p>
      <w:pPr>
        <w:pStyle w:val="Compact"/>
        <w:numPr>
          <w:ilvl w:val="0"/>
          <w:numId w:val="1002"/>
        </w:numPr>
      </w:pPr>
      <w:r>
        <w:rPr>
          <w:b/>
          <w:bCs/>
        </w:rPr>
        <w:t xml:space="preserve">Smile Identity (2024).</w:t>
      </w:r>
      <w:r>
        <w:t xml:space="preserve"> </w:t>
      </w:r>
      <w:r>
        <w:t xml:space="preserve">KYC and biometric verification platform operating in 50+ African countries. https://www.usesmileid.com/</w:t>
      </w:r>
    </w:p>
    <w:p>
      <w:pPr>
        <w:pStyle w:val="Compact"/>
        <w:numPr>
          <w:ilvl w:val="0"/>
          <w:numId w:val="1002"/>
        </w:numPr>
      </w:pPr>
      <w:r>
        <w:rPr>
          <w:b/>
          <w:bCs/>
        </w:rPr>
        <w:t xml:space="preserve">Stanbic Bank Ghana.</w:t>
      </w:r>
      <w:r>
        <w:t xml:space="preserve"> </w:t>
      </w:r>
      <w:r>
        <w:t xml:space="preserve">Corporate and business banking. https://www.stanbicbank.com.gh/</w:t>
      </w:r>
    </w:p>
    <w:p>
      <w:pPr>
        <w:pStyle w:val="Compact"/>
        <w:numPr>
          <w:ilvl w:val="0"/>
          <w:numId w:val="1002"/>
        </w:numPr>
      </w:pPr>
      <w:r>
        <w:rPr>
          <w:b/>
          <w:bCs/>
        </w:rPr>
        <w:t xml:space="preserve">Ecobank Ghana.</w:t>
      </w:r>
      <w:r>
        <w:t xml:space="preserve"> </w:t>
      </w:r>
      <w:r>
        <w:t xml:space="preserve">Corporate and Investment Banking. https://ecobank.com/corporate-investment-banking</w:t>
      </w:r>
    </w:p>
    <w:p>
      <w:pPr>
        <w:pStyle w:val="Compact"/>
        <w:numPr>
          <w:ilvl w:val="0"/>
          <w:numId w:val="1002"/>
        </w:numPr>
      </w:pPr>
      <w:r>
        <w:rPr>
          <w:b/>
          <w:bCs/>
        </w:rPr>
        <w:t xml:space="preserve">trade.gov (10 June 2025).</w:t>
      </w:r>
      <w:r>
        <w:t xml:space="preserve"> </w:t>
      </w:r>
      <w:r>
        <w:t xml:space="preserve">Ghana Mining Gold Rush — 2024 production ~4.9M oz (~136 metric tons), 8.5% increase. https://www.trade.gov/market-intelligence/ghana-mining-gold-rush</w:t>
      </w:r>
    </w:p>
    <w:p>
      <w:pPr>
        <w:pStyle w:val="Compact"/>
        <w:numPr>
          <w:ilvl w:val="0"/>
          <w:numId w:val="1002"/>
        </w:numPr>
      </w:pPr>
      <w:r>
        <w:rPr>
          <w:b/>
          <w:bCs/>
        </w:rPr>
        <w:t xml:space="preserve">UNCTAD Investment Policy Monitor (2025).</w:t>
      </w:r>
      <w:r>
        <w:t xml:space="preserve"> </w:t>
      </w:r>
      <w:r>
        <w:t xml:space="preserve">Adopted Law vesting the Ghana Gold Board (GoldBod) with sole buyer authority for small-scale-mined gold, 2 April 2025. https://investmentpolicy.unctad.org/investment-policy-monitor/measures/5048/</w:t>
      </w:r>
    </w:p>
    <w:p>
      <w:pPr>
        <w:pStyle w:val="Compact"/>
        <w:numPr>
          <w:ilvl w:val="0"/>
          <w:numId w:val="1002"/>
        </w:numPr>
      </w:pPr>
      <w:r>
        <w:rPr>
          <w:b/>
          <w:bCs/>
        </w:rPr>
        <w:t xml:space="preserve">African Gold Report (2024).</w:t>
      </w:r>
      <w:r>
        <w:t xml:space="preserve"> </w:t>
      </w:r>
      <w:r>
        <w:t xml:space="preserve">Ghana tops ranking of Africa’s largest gold producers; &gt;125 tonnes declared production in 2023. https://africangoldreport.org/ghana</w:t>
      </w:r>
    </w:p>
    <w:p>
      <w:pPr>
        <w:pStyle w:val="Compact"/>
        <w:numPr>
          <w:ilvl w:val="0"/>
          <w:numId w:val="1002"/>
        </w:numPr>
      </w:pPr>
      <w:r>
        <w:rPr>
          <w:b/>
          <w:bCs/>
        </w:rPr>
        <w:t xml:space="preserve">namescan.io (2025).</w:t>
      </w:r>
      <w:r>
        <w:t xml:space="preserve"> </w:t>
      </w:r>
      <w:r>
        <w:t xml:space="preserve">AML Regulations in Ghana — DNFBP obligations under AML Act 2020 (Act 1044). https://namescan.io/insights/aml-regulations-ghana-2025</w:t>
      </w:r>
    </w:p>
    <w:p>
      <w:r>
        <w:pict>
          <v:rect style="width:0;height:1.5pt" o:hralign="center" o:hrstd="t" o:hr="t"/>
        </w:pict>
      </w:r>
    </w:p>
    <w:p>
      <w:pPr>
        <w:pStyle w:val="FirstParagraph"/>
      </w:pPr>
      <w:r>
        <w:rPr>
          <w:i/>
          <w:iCs/>
        </w:rPr>
        <w:t xml:space="preserve">End of Condensed Business Case — approximately 18 pages when rendered in standard A4 with default margins. For the full 72-page investor-ready version, see AurumXchange_Business_Case.pdf and AurumXchange_Business_Case.docx.</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AurumXchange — Investor-Ready Business Case (Condensed)</dc:title>
  <dc:creator/>
  <cp:keywords/>
  <dcterms:created xsi:type="dcterms:W3CDTF">2026-08-12T13:50:54Z</dcterms:created>
  <dcterms:modified xsi:type="dcterms:W3CDTF">2026-08-12T13:50:54Z</dcterms:modified>
</cp:coreProperties>
</file>

<file path=docProps/custom.xml><?xml version="1.0" encoding="utf-8"?>
<Properties xmlns="http://schemas.openxmlformats.org/officeDocument/2006/custom-properties" xmlns:vt="http://schemas.openxmlformats.org/officeDocument/2006/docPropsVTypes"/>
</file>