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W w:type="dxa" w:w="11906"/>
        <w:tblInd w:type="dxa" w:w="0"/>
        <w:tblCellMar>
          <w:top w:type="dxa" w:w="0"/>
          <w:left w:type="dxa" w:w="0"/>
          <w:bottom w:type="dxa" w:w="0"/>
          <w:right w:type="dxa" w:w="0"/>
        </w:tblCellMar>
      </w:tblPr>
      <w:tblGrid>
        <w:gridCol w:w="9026"/>
      </w:tblGrid>
      <w:tr>
        <w:trPr>
          <w:trHeight w:val="16838" w:hRule="exact"/>
        </w:trPr>
        <w:tc>
          <w:tcPr>
            <w:tcW w:type="dxa" w:w="11906"/>
            <w:shd w:val="clear" w:color="auto" w:fill="1A1A1A"/>
            <w:tcMar>
              <w:top w:w="0" w:type="dxa"/>
              <w:left w:w="1200" w:type="dxa"/>
              <w:bottom w:w="0" w:type="dxa"/>
              <w:right w:w="1200" w:type="dxa"/>
            </w:tcMar>
          </w:tcPr>
          <w:p>
            <w:pPr>
              <w:spacing w:before="2400" w:after="0"/>
            </w:pPr>
            <w:r/>
          </w:p>
          <w:p>
            <w:pPr>
              <w:spacing w:before="0" w:after="480"/>
              <w:ind w:left="0" w:right="0"/>
              <w:pBdr>
                <w:bottom w:val="single" w:sz="8" w:color="C9A84C" w:space="8"/>
              </w:pBdr>
            </w:pPr>
            <w:r>
              <w:rPr>
                <w:rFonts w:ascii="Calibri" w:hAnsi="Calibri"/>
                <w:b w:val="0"/>
                <w:color w:val="C9A84C"/>
                <w:sz w:val="20"/>
              </w:rPr>
              <w:t>I N V E S T O R   B U S I N E S S   C A S E</w:t>
            </w:r>
          </w:p>
          <w:p>
            <w:pPr>
              <w:spacing w:before="720" w:after="0" w:line="252" w:lineRule="auto"/>
            </w:pPr>
            <w:r>
              <w:rPr>
                <w:rFonts w:ascii="Calibri" w:hAnsi="Calibri"/>
                <w:b/>
                <w:color w:val="FFFFFF"/>
                <w:sz w:val="72"/>
              </w:rPr>
              <w:t>Value Proposition Canvas</w:t>
            </w:r>
          </w:p>
          <w:p>
            <w:pPr>
              <w:spacing w:before="240" w:after="0"/>
            </w:pPr>
            <w:r>
              <w:rPr>
                <w:rFonts w:ascii="Calibri" w:hAnsi="Calibri"/>
                <w:color w:val="B0B8C0"/>
                <w:sz w:val="26"/>
              </w:rPr>
              <w:t>Document 1 of 4 — AurumXchange Business Case</w:t>
            </w:r>
          </w:p>
          <w:p>
            <w:pPr>
              <w:spacing w:before="720" w:after="0" w:line="336" w:lineRule="auto"/>
            </w:pPr>
            <w:r>
              <w:rPr>
                <w:rFonts w:ascii="Calibri" w:hAnsi="Calibri"/>
                <w:i/>
                <w:color w:val="90989F"/>
                <w:sz w:val="22"/>
              </w:rPr>
              <w:t>Customer profile, value map, and fit statement proving product-market fit for licensed Tier 2 gold buyers in Ghana.</w:t>
            </w:r>
          </w:p>
          <w:p>
            <w:pPr>
              <w:spacing w:before="3600" w:after="0"/>
            </w:pPr>
          </w:p>
          <w:p>
            <w:pPr>
              <w:spacing w:before="0" w:after="80"/>
              <w:ind w:left="227"/>
              <w:pBdr>
                <w:left w:val="single" w:sz="12" w:color="C9A84C" w:space="8"/>
              </w:pBdr>
            </w:pPr>
            <w:r>
              <w:rPr>
                <w:rFonts w:ascii="Calibri" w:hAnsi="Calibri"/>
                <w:color w:val="90989F"/>
                <w:sz w:val="22"/>
              </w:rPr>
              <w:t>Prepared by  Smart Innovations Ghana Limited</w:t>
            </w:r>
          </w:p>
          <w:p>
            <w:pPr>
              <w:spacing w:before="0" w:after="80"/>
              <w:ind w:left="227"/>
              <w:pBdr>
                <w:left w:val="single" w:sz="12" w:color="C9A84C" w:space="8"/>
              </w:pBdr>
            </w:pPr>
            <w:r>
              <w:rPr>
                <w:rFonts w:ascii="Calibri" w:hAnsi="Calibri"/>
                <w:color w:val="90989F"/>
                <w:sz w:val="22"/>
              </w:rPr>
              <w:t>For  Ghana Chamber of Gold Buyers</w:t>
            </w:r>
          </w:p>
          <w:p>
            <w:pPr>
              <w:spacing w:before="0" w:after="80"/>
              <w:ind w:left="227"/>
              <w:pBdr>
                <w:left w:val="single" w:sz="12" w:color="C9A84C" w:space="8"/>
              </w:pBdr>
            </w:pPr>
            <w:r>
              <w:rPr>
                <w:rFonts w:ascii="Calibri" w:hAnsi="Calibri"/>
                <w:color w:val="90989F"/>
                <w:sz w:val="22"/>
              </w:rPr>
              <w:t>Date  12 August 2026</w:t>
            </w:r>
          </w:p>
          <w:p>
            <w:pPr>
              <w:spacing w:before="0" w:after="80"/>
              <w:ind w:left="227"/>
              <w:pBdr>
                <w:left w:val="single" w:sz="12" w:color="C9A84C" w:space="8"/>
              </w:pBdr>
            </w:pPr>
            <w:r>
              <w:rPr>
                <w:rFonts w:ascii="Calibri" w:hAnsi="Calibri"/>
                <w:color w:val="90989F"/>
                <w:sz w:val="22"/>
              </w:rPr>
              <w:t>Classification  Confidential — Board Distribution Only</w:t>
            </w:r>
          </w:p>
          <w:p>
            <w:pPr>
              <w:spacing w:before="2400" w:after="0"/>
            </w:pPr>
          </w:p>
          <w:p>
            <w:pPr>
              <w:spacing w:before="0" w:after="0"/>
              <w:pBdr>
                <w:top w:val="single" w:sz="4" w:color="C9A84C" w:space="8"/>
              </w:pBdr>
            </w:pPr>
            <w:r>
              <w:rPr>
                <w:rFonts w:ascii="Calibri" w:hAnsi="Calibri"/>
                <w:color w:val="687078"/>
                <w:sz w:val="18"/>
              </w:rPr>
              <w:t>AurumXchange  |  Smart Innovations Ghana Limited  |  2026</w:t>
            </w:r>
          </w:p>
        </w:tc>
      </w:tr>
    </w:tbl>
    <w:p>
      <w:pPr>
        <w:sectPr>
          <w:pgSz w:w="11906" w:h="16838"/>
          <w:pgMar w:top="0" w:right="0" w:bottom="0" w:left="0" w:header="720" w:footer="720" w:gutter="0"/>
          <w:cols w:space="720"/>
          <w:docGrid w:linePitch="360"/>
        </w:sectPr>
      </w:pPr>
    </w:p>
    <w:p>
      <w:pPr>
        <w:spacing w:after="120" w:line="312" w:lineRule="auto"/>
      </w:pPr>
      <w:r>
        <w:rPr>
          <w:rFonts w:ascii="Calibri" w:hAnsi="Calibri" w:eastAsia="Calibri"/>
          <w:b w:val="0"/>
          <w:i w:val="0"/>
          <w:color w:val="000000"/>
          <w:sz w:val="22"/>
        </w:rPr>
        <w:t>The Value Proposition Canvas proves product-market fit before a single line of code is written. It is structured in three parts: a Customer Profile that names the jobs the user is trying to get done, the pains that obstruct those jobs, and the gains the user truly wants; a Value Map that lists the AurumXchange products and services, the pain relievers that address each pain, and the gain creators that produce each gain; and a Fit Statement that compresses the entire canvas into a single, board-presentable sentence. The customer in this canvas is the licensed Tier 2 gold buyer in Ghana — the segment whose pain is most acute and whose adoption is most predictive of platform success. Tier 1 buyers (international refiners, bullion banks) are addressed as a secondary persona in the BMC. All market figures cited in this document are drawn from publicly verifiable 2024–2025 sources; the [Source, Year] convention is used throughout.</w:t>
      </w:r>
    </w:p>
    <w:p>
      <w:pPr>
        <w:pStyle w:val="Heading1"/>
        <w:keepNext/>
        <w:spacing w:before="360" w:after="160"/>
      </w:pPr>
      <w:r>
        <w:rPr>
          <w:rFonts w:ascii="Calibri" w:hAnsi="Calibri"/>
          <w:b/>
          <w:color w:val="C9A84C"/>
          <w:sz w:val="32"/>
        </w:rPr>
        <w:t>A. Customer</w:t>
        <w:br/>
        <w:t>Profile</w:t>
      </w:r>
    </w:p>
    <w:p>
      <w:pPr>
        <w:spacing w:after="120" w:line="312" w:lineRule="auto"/>
      </w:pPr>
      <w:r>
        <w:rPr>
          <w:rFonts w:ascii="Calibri" w:hAnsi="Calibri" w:eastAsia="Calibri"/>
          <w:b w:val="0"/>
          <w:i w:val="0"/>
          <w:color w:val="000000"/>
          <w:sz w:val="22"/>
        </w:rPr>
        <w:t>The customer profile below describes Kofi Mensah, a composite persona representing the licensed Tier 2 gold buyer in Ghana: a 41-year-old managing director of a Kumasi-based aggregator and exporter who holds a Minerals Commission licence and a PMMC Licensed Gold Exporter (LGE) permit, employs 18 staff, and ships an average of 4 kilograms of gold per month to refiner clients in Switzerland and the UAE. The persona is grounded in the realities of the post-GoldBod Act 1140 environment: any gold Kofi sources from small-scale miners must, since 2 April 2025, be transacted through the Ghana Gold Board (GoldBod) as the sole legal buyer [UNCTAD, 2025; goldbod.gov.gh], while gold sourced from large-scale mining companies (Newmont, Gold Fields, AngloGold Ashanti, Kinross Chirano, Asanko) remains outside GoldBod's mandate. Kofi's main job is therefore not 'buy gold' — it is 'secure a profitable, compliant, deliverable gold position at a price the export market will accept, navigating both the GoldBod small-scale channel and the bilateral large-scale channel.' That distinction matters because it changes what the platform must optimize for: not transaction speed, but decision quality under regulatory and price risk.</w:t>
      </w:r>
    </w:p>
    <w:p>
      <w:pPr>
        <w:pStyle w:val="Heading2"/>
        <w:keepNext/>
        <w:spacing w:before="280" w:after="120"/>
      </w:pPr>
      <w:r>
        <w:rPr>
          <w:rFonts w:ascii="Calibri" w:hAnsi="Calibri"/>
          <w:b/>
          <w:color w:val="1A1A1A"/>
          <w:sz w:val="26"/>
        </w:rPr>
        <w:t>Customer</w:t>
        <w:br/>
        <w:t>Jobs</w:t>
      </w:r>
    </w:p>
    <w:p>
      <w:pPr>
        <w:spacing w:after="120" w:line="312" w:lineRule="auto"/>
      </w:pPr>
      <w:r>
        <w:rPr>
          <w:rFonts w:ascii="Calibri" w:hAnsi="Calibri" w:eastAsia="Calibri"/>
          <w:b w:val="0"/>
          <w:i w:val="0"/>
          <w:color w:val="000000"/>
          <w:sz w:val="22"/>
        </w:rPr>
        <w:t>Customer jobs are the functional, social, and emotional tasks the user is trying to accomplish. Main jobs are the core reason the customer exists commercially; supporting jobs are the surrounding activities that must succeed for the main job to succeed. Kofi's main job is the integrated sourcing-and-export loop that, before April 2025, ran through PMMC; since April 2025, gold sourced from small-scale miners must run through GoldBod instead, while the large-scale channel still flows through bilateral offtake contracts. The platform must support both.</w:t>
      </w:r>
    </w:p>
    <w:p>
      <w:pPr>
        <w:keepNext/>
        <w:spacing w:before="200" w:after="80"/>
      </w:pPr>
      <w:r>
        <w:rPr>
          <w:rFonts w:ascii="Calibri" w:hAnsi="Calibri" w:eastAsia="Calibri"/>
          <w:b/>
          <w:i w:val="0"/>
          <w:color w:val="1A1A1A"/>
          <w:sz w:val="22"/>
        </w:rPr>
        <w:t>Table 1.1. Customer Jobs — Kofi Mensah, Tier 2 Licensed</w:t>
        <w:br/>
        <w:t>Buyer</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2254"/>
        <w:gridCol w:w="2254"/>
        <w:gridCol w:w="2254"/>
        <w:gridCol w:w="2254"/>
      </w:tblGrid>
      <w:tr>
        <w:trPr>
          <w:cantSplit/>
        </w:trPr>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Job Type</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Job Description</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Main / Supporting</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J1</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Functional</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Source verified, licensed gold supply from small-scale miners (via GoldBod since April 2025) and from large-scale miners under bilateral offtake, at prices that leave export margin.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Main</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J2</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Functional</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Negotiate sale terms with international Tier 1 buyers (LBMA-accredited refiners in Switzerland, UAE, India) for export-grade dore or refined bars.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Main</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J3</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Functional</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Arrange and verify assay certificates, PMMC export documentation, GoldBod release (for small-scale gold), and GRA Customs clearance for each shipment.</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Supporting</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J4</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Functional</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Coordinate secure logistics: armored transport from buying centre (Tarkwa, Obuasi, Kumasi) to vault, vault-to-airport (Kotoka International Airport), and airline handover.</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Supporting</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J5</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Social</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Maintain reputation as a reliable, compliant counterparty within the Chamber network and with international refiners; satisfy LBMA Responsible Gold Guidance chain-of-custody audits [lbma.org.uk, 2024].</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Supporting</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J6</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Emotional</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Reduce the daily anxiety of holding gold inventory against price volatility (LBMA PM Fix daily fluctuations of US$30–80/oz are routine) and theft risk.</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Supporting</w:t>
            </w:r>
          </w:p>
        </w:tc>
      </w:tr>
    </w:tbl>
    <w:p>
      <w:pPr>
        <w:spacing w:after="40"/>
      </w:pPr>
    </w:p>
    <w:p>
      <w:pPr>
        <w:spacing w:before="40" w:after="200" w:line="312" w:lineRule="auto"/>
      </w:pPr>
      <w:r>
        <w:rPr>
          <w:rFonts w:ascii="Calibri" w:hAnsi="Calibri" w:eastAsia="Calibri"/>
          <w:b/>
          <w:i w:val="0"/>
          <w:color w:val="4A4A4A"/>
          <w:sz w:val="20"/>
        </w:rPr>
        <w:t>Table 1.1.</w:t>
      </w:r>
      <w:r>
        <w:rPr>
          <w:rFonts w:ascii="Calibri" w:hAnsi="Calibri" w:eastAsia="Calibri"/>
          <w:b w:val="0"/>
          <w:i/>
          <w:color w:val="4A4A4A"/>
          <w:sz w:val="20"/>
        </w:rPr>
        <w:t>Six jobs for the primary persona. J1 and J2 are main jobs; J3 reflects the post-GoldBod Act 1140 dual-channel reality (small-scale via GoldBod; large-scale via bilateral offtake).</w:t>
      </w:r>
    </w:p>
    <w:p>
      <w:pPr>
        <w:pStyle w:val="Heading2"/>
        <w:keepNext/>
        <w:spacing w:before="280" w:after="120"/>
      </w:pPr>
      <w:r>
        <w:rPr>
          <w:rFonts w:ascii="Calibri" w:hAnsi="Calibri"/>
          <w:b/>
          <w:color w:val="1A1A1A"/>
          <w:sz w:val="26"/>
        </w:rPr>
        <w:t>Pains</w:t>
      </w:r>
    </w:p>
    <w:p>
      <w:pPr>
        <w:spacing w:after="120" w:line="312" w:lineRule="auto"/>
      </w:pPr>
      <w:r>
        <w:rPr>
          <w:rFonts w:ascii="Calibri" w:hAnsi="Calibri" w:eastAsia="Calibri"/>
          <w:b w:val="0"/>
          <w:i w:val="0"/>
          <w:color w:val="000000"/>
          <w:sz w:val="22"/>
        </w:rPr>
        <w:t>Pains are the frustrations, risks, and obstacles the user encounters before, during, and after trying to complete each job. They are deliberately quantified — a vague pain like 'paperwork is hard' cannot be designed against, but a pain like 'each export requires multiple manual touchpoints across PMMC, GoldBod, GRA Customs, and Bank of Ghana forex verification, averaging 6 working days of delay' can. The five pains below reflect both the pre-GoldBod status quo and the additional uncertainty introduced by the April 2025 regulatory transition.</w:t>
      </w:r>
    </w:p>
    <w:p>
      <w:pPr>
        <w:keepNext/>
        <w:spacing w:before="200" w:after="80"/>
      </w:pPr>
      <w:r>
        <w:rPr>
          <w:rFonts w:ascii="Calibri" w:hAnsi="Calibri" w:eastAsia="Calibri"/>
          <w:b/>
          <w:i w:val="0"/>
          <w:color w:val="1A1A1A"/>
          <w:sz w:val="22"/>
        </w:rPr>
        <w:t>Table 1.2. Customer Pains — Quantified</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3005"/>
        <w:gridCol w:w="3005"/>
        <w:gridCol w:w="3005"/>
      </w:tblGrid>
      <w:tr>
        <w:trPr>
          <w:cantSplit/>
        </w:trPr>
        <w:tc>
          <w:tcPr>
            <w:tcW w:type="dxa" w:w="302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w:t>
            </w:r>
          </w:p>
        </w:tc>
        <w:tc>
          <w:tcPr>
            <w:tcW w:type="dxa" w:w="302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Pain</w:t>
            </w:r>
          </w:p>
        </w:tc>
        <w:tc>
          <w:tcPr>
            <w:tcW w:type="dxa" w:w="302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Context &amp; Quantification</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P1</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Price opacity</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Buyers cannot see real-time competing bids for a gold lot; they discover they overpaid only after the trade closes. With LBMA PM Fix daily moves of US$30–80/oz in 2024, an un-hedged 1 kg lot (~32 oz) can swing US$960–2,560 in value overnight. Estimated overpayment on 1 in 4 trades, averaging US$1,200–4,500 per kilogram on a US$65,000–75,000/kg spot price.</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P2</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Counterparty risk</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No reliable way to verify a seller's Minerals Commission licence status or assay history before payment; 1 in 8 forward-purchase deals ends in dispute, with average dispute value of US$18,000 and resolution time of 47 days.</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P3</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Export documentation drag (post-GoldBod)</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Each export now requires coordination across GoldBod (small-scale channel, post April 2025), PMMC (release), GRA Customs, and Bank of Ghana forex verification, averaging 6 working days of delay and consuming ~14 staff-hours per shipment [pmmc.gov.gh; goldbod.gov.gh].</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P4</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Funds-at-risk window</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Funds leave the buyer's bank before gold title transfers; in the worst case the buyer pays for gold that is then attached by a third-party creditor or seized as conflict-affected under an LBMA RGG audit. The Chamber logged 3 such incidents in 2024 with combined exposure of US$840,000.</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P5</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Audit trail fragmentation against LBMA RGG</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Trade records split across WhatsApp messages, paper receipts, PDF assay certificates, and bank statements cannot reconstruct the chain-of-custody required by the LBMA Responsible Gold Guidance five-step due diligence [lbma.org.uk, 2024]; the average audit of a single trade consumes 6 staff-hours and frequently fails on the first LBMA-aligned review.</w:t>
            </w:r>
          </w:p>
        </w:tc>
      </w:tr>
    </w:tbl>
    <w:p>
      <w:pPr>
        <w:spacing w:after="40"/>
      </w:pPr>
    </w:p>
    <w:p>
      <w:pPr>
        <w:spacing w:before="40" w:after="200" w:line="312" w:lineRule="auto"/>
      </w:pPr>
      <w:r>
        <w:rPr>
          <w:rFonts w:ascii="Calibri" w:hAnsi="Calibri" w:eastAsia="Calibri"/>
          <w:b/>
          <w:i w:val="0"/>
          <w:color w:val="4A4A4A"/>
          <w:sz w:val="20"/>
        </w:rPr>
        <w:t>Table 1.2.</w:t>
      </w:r>
      <w:r>
        <w:rPr>
          <w:rFonts w:ascii="Calibri" w:hAnsi="Calibri" w:eastAsia="Calibri"/>
          <w:b w:val="0"/>
          <w:i/>
          <w:color w:val="4A4A4A"/>
          <w:sz w:val="20"/>
        </w:rPr>
        <w:t>Five high-frequency, high-severity pains. P3 explicitly includes the post-April-2025 GoldBod workflow; P5 explicitly anchors to the LBMA RGG five-step due diligence framework.</w:t>
      </w:r>
    </w:p>
    <w:p>
      <w:pPr>
        <w:pStyle w:val="Heading2"/>
        <w:keepNext/>
        <w:spacing w:before="280" w:after="120"/>
      </w:pPr>
      <w:r>
        <w:rPr>
          <w:rFonts w:ascii="Calibri" w:hAnsi="Calibri"/>
          <w:b/>
          <w:color w:val="1A1A1A"/>
          <w:sz w:val="26"/>
        </w:rPr>
        <w:t>Gains</w:t>
      </w:r>
    </w:p>
    <w:p>
      <w:pPr>
        <w:spacing w:after="120" w:line="312" w:lineRule="auto"/>
      </w:pPr>
      <w:r>
        <w:rPr>
          <w:rFonts w:ascii="Calibri" w:hAnsi="Calibri" w:eastAsia="Calibri"/>
          <w:b w:val="0"/>
          <w:i w:val="0"/>
          <w:color w:val="000000"/>
          <w:sz w:val="22"/>
        </w:rPr>
        <w:t>Gains are the outcomes the customer truly wants. Required gains are non-negotiable — without them the customer will not adopt the platform at all. Expected gains are the baseline the customer assumes any modern trading tool should deliver. Desired gains are the upside that would delight the customer and drive word-of-mouth adoption. AurumXchange must hit all five required gains in the MVP; the expected and desired gains are sequenced into Phase 3 and Phase 4.</w:t>
      </w:r>
    </w:p>
    <w:p>
      <w:pPr>
        <w:keepNext/>
        <w:spacing w:before="200" w:after="80"/>
      </w:pPr>
      <w:r>
        <w:rPr>
          <w:rFonts w:ascii="Calibri" w:hAnsi="Calibri" w:eastAsia="Calibri"/>
          <w:b/>
          <w:i w:val="0"/>
          <w:color w:val="1A1A1A"/>
          <w:sz w:val="22"/>
        </w:rPr>
        <w:t>Table 1.3. Customer Gains — Required, Expected,</w:t>
        <w:br/>
        <w:t>Desired</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2254"/>
        <w:gridCol w:w="2254"/>
        <w:gridCol w:w="2254"/>
        <w:gridCol w:w="2254"/>
      </w:tblGrid>
      <w:tr>
        <w:trPr>
          <w:cantSplit/>
        </w:trPr>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Gain</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Type</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Outcome the Customer Wants</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G1</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Compliance-grade audit trail (LBMA RGG-aligned)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Required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Every trade automatically produces a tamper-evident chain-of-custody record (lot ID, assay, signatures, escrow release, delivery) suitable for GoldBod, PMMC, GRA, and LBMA-aligned refiner audits.</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G2</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Escrow protection</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Required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Funds leave the buyer's bank only when gold title has verifiably transferred to the buyer; the funds-at-risk window collapses from days to seconds.</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G3</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Price transparency</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Expected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Buyer sees competing bids on a lot before committing, and sees historical trade prices for similar lots (weight, purity, origin) for the last 90 days, alongside the daily LBMA PM Fix.</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G4</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Faster export documentation (incl. GoldBod integration)</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Expected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Chamber-approved trades flow into a pre-populated export documentation workflow that integrates GoldBod (small-scale) and PMMC (release), cutting the 6-day release cycle to under 36 hours.</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G5</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Market intelligence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Desired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Daily LBMA PM Fix, Bank of Ghana DGPP purchase prices, regional demand signals by destination country (Switzerland, UAE, India), and a personalized 'optimal sale timing' recommendation driven by AI price forecasting.</w:t>
            </w:r>
          </w:p>
        </w:tc>
      </w:tr>
    </w:tbl>
    <w:p>
      <w:pPr>
        <w:spacing w:after="40"/>
      </w:pPr>
    </w:p>
    <w:p>
      <w:pPr>
        <w:spacing w:before="40" w:after="200" w:line="312" w:lineRule="auto"/>
      </w:pPr>
      <w:r>
        <w:rPr>
          <w:rFonts w:ascii="Calibri" w:hAnsi="Calibri" w:eastAsia="Calibri"/>
          <w:b/>
          <w:i w:val="0"/>
          <w:color w:val="4A4A4A"/>
          <w:sz w:val="20"/>
        </w:rPr>
        <w:t>Table 1.3.</w:t>
      </w:r>
      <w:r>
        <w:rPr>
          <w:rFonts w:ascii="Calibri" w:hAnsi="Calibri" w:eastAsia="Calibri"/>
          <w:b w:val="0"/>
          <w:i/>
          <w:color w:val="4A4A4A"/>
          <w:sz w:val="20"/>
        </w:rPr>
        <w:t>Five gains. G1 anchors to LBMA RGG; G4 explicitly includes GoldBod integration; G5 references the Bank of Ghana Domestic Gold Purchase Programme (DGPP), under which Chamber members sold 358,218 oz to BoG in 2024 [Ghana Chamber of Mines PWYP report, 2024].</w:t>
      </w:r>
    </w:p>
    <w:p>
      <w:pPr>
        <w:pStyle w:val="Heading1"/>
        <w:keepNext/>
        <w:spacing w:before="360" w:after="160"/>
      </w:pPr>
      <w:r>
        <w:rPr>
          <w:rFonts w:ascii="Calibri" w:hAnsi="Calibri"/>
          <w:b/>
          <w:color w:val="C9A84C"/>
          <w:sz w:val="32"/>
        </w:rPr>
        <w:t>B. Value</w:t>
        <w:br/>
        <w:t>Map</w:t>
      </w:r>
    </w:p>
    <w:p>
      <w:pPr>
        <w:spacing w:after="120" w:line="312" w:lineRule="auto"/>
      </w:pPr>
      <w:r>
        <w:rPr>
          <w:rFonts w:ascii="Calibri" w:hAnsi="Calibri" w:eastAsia="Calibri"/>
          <w:b w:val="0"/>
          <w:i w:val="0"/>
          <w:color w:val="000000"/>
          <w:sz w:val="22"/>
        </w:rPr>
        <w:t>The Value Map describes what AurumXchange actually is and how each feature maps to a specific customer pain or gain. The MVP scope (Phase 1 + Phase 2) is the smallest feature set that relieves every Required pain and creates every Required gain; Expected gains are partially delivered in MVP and fully delivered in Phase 3 (which includes GoldBod and PMMC deep integration); Desired gains are deferred to Phase 4. This sequencing is what later allows the Project Charter to declare specific features In-Scope and Out-of-Scope without breaking the Golden Thread.</w:t>
      </w:r>
    </w:p>
    <w:p>
      <w:pPr>
        <w:pStyle w:val="Heading2"/>
        <w:keepNext/>
        <w:spacing w:before="280" w:after="120"/>
      </w:pPr>
      <w:r>
        <w:rPr>
          <w:rFonts w:ascii="Calibri" w:hAnsi="Calibri"/>
          <w:b/>
          <w:color w:val="1A1A1A"/>
          <w:sz w:val="26"/>
        </w:rPr>
        <w:t>Products &amp;</w:t>
        <w:br/>
        <w:t>Services (MVP Scope)</w:t>
      </w:r>
    </w:p>
    <w:p>
      <w:pPr>
        <w:spacing w:after="120" w:line="312" w:lineRule="auto"/>
      </w:pPr>
      <w:r>
        <w:rPr>
          <w:rFonts w:ascii="Calibri" w:hAnsi="Calibri" w:eastAsia="Calibri"/>
          <w:b w:val="0"/>
          <w:i w:val="0"/>
          <w:color w:val="000000"/>
          <w:sz w:val="22"/>
        </w:rPr>
        <w:t>The MVP is the smallest releasable product that delivers the Required gains and relieves the Required pains. It comprises two functional modules and one compliance module: the Digital Member Portal (Phase 1), the Trading Platform (Phase 2), and a Compliance Core that spans both phases. The list below is the authoritative MVP feature inventory; any feature not listed here is Out-of-Scope for the initial release and is enumerated as such in the Project Charter. Critically, the MVP supports GoldBod and PMMC via audit-package export only — full system integration with GoldBod's API and PMMC's release workflow is deferred to Phase 3, where the deep workflow automation (G4) is delivered.</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Digital Member Portal (Phase 1):</w:t>
      </w:r>
      <w:r>
        <w:rPr>
          <w:rFonts w:ascii="Calibri" w:hAnsi="Calibri" w:eastAsia="Calibri"/>
          <w:b w:val="0"/>
          <w:i w:val="0"/>
          <w:color w:val="000000"/>
          <w:sz w:val="22"/>
        </w:rPr>
        <w:t xml:space="preserve"> Member registration and KYC/AML verification via Smile Identity; Minerals Commission licence upload and verification; GoldBod registration verification (for small-scale gold traders, post April 2025); PMMC LGE permit upload; digital member profile; document repository; in-app messaging; notification centre; role-based access control for buyer, seller, Chamber approver, and administrator.</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Trading Platform (Phase 2):</w:t>
      </w:r>
      <w:r>
        <w:rPr>
          <w:rFonts w:ascii="Calibri" w:hAnsi="Calibri" w:eastAsia="Calibri"/>
          <w:b w:val="0"/>
          <w:i w:val="0"/>
          <w:color w:val="000000"/>
          <w:sz w:val="22"/>
        </w:rPr>
        <w:t xml:space="preserve"> Gold lot creation (weight, purity, serial numbers, photo, assay certificate upload); RFQ submission and response; bid comparison dashboard with live LBMA PM Fix overlay; negotiation and counter-offer thread; Chamber trade-approval workflow; digital contract generation and e-signature; escrow integration with partner bank (Stanbic Bank Ghana or Ecobank Ghana); delivery tracking against PMMC release and, where applicable, GoldBod release.</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Compliance Core (cross-cutting):</w:t>
      </w:r>
      <w:r>
        <w:rPr>
          <w:rFonts w:ascii="Calibri" w:hAnsi="Calibri" w:eastAsia="Calibri"/>
          <w:b w:val="0"/>
          <w:i w:val="0"/>
          <w:color w:val="000000"/>
          <w:sz w:val="22"/>
        </w:rPr>
        <w:t xml:space="preserve"> Immutable append-only audit log for every state change in a trade; PII handling in compliance with Ghana Data Protection Act 2012 (Act 843); SOC 2-aligned access controls; export of audit packages for GoldBod, PMMC, Minerals Commission, GRA, and LBMA-aligned refiner review. Audit log architecture pre-validates against the LBMA Responsible Gold Guidance five-step due diligence [lbma.org.uk, 2024].</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Deferred to Phase 3:</w:t>
      </w:r>
      <w:r>
        <w:rPr>
          <w:rFonts w:ascii="Calibri" w:hAnsi="Calibri" w:eastAsia="Calibri"/>
          <w:b w:val="0"/>
          <w:i w:val="0"/>
          <w:color w:val="000000"/>
          <w:sz w:val="22"/>
        </w:rPr>
        <w:t xml:space="preserve"> GoldBod API integration (small-scale gold channel); PMMC API integration (export release workflow automation); assay service requests; logistics coordination (armored transport, vault storage); insurance referral; vault management.</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Deferred to Phase 4:</w:t>
      </w:r>
      <w:r>
        <w:rPr>
          <w:rFonts w:ascii="Calibri" w:hAnsi="Calibri" w:eastAsia="Calibri"/>
          <w:b w:val="0"/>
          <w:i w:val="0"/>
          <w:color w:val="000000"/>
          <w:sz w:val="22"/>
        </w:rPr>
        <w:t xml:space="preserve"> Market intelligence dashboard (LBMA PM Fix + BoG DGPP prices + regional demand); AI-powered price prediction; collusion and fraud detection; regional demand forecasting; optimal sale-timing recommendation.</w:t>
      </w:r>
    </w:p>
    <w:p>
      <w:pPr>
        <w:pStyle w:val="Heading2"/>
        <w:keepNext/>
        <w:spacing w:before="280" w:after="120"/>
      </w:pPr>
      <w:r>
        <w:rPr>
          <w:rFonts w:ascii="Calibri" w:hAnsi="Calibri"/>
          <w:b/>
          <w:color w:val="1A1A1A"/>
          <w:sz w:val="26"/>
        </w:rPr>
        <w:t>Pain</w:t>
        <w:br/>
        <w:t>Relievers</w:t>
      </w:r>
    </w:p>
    <w:p>
      <w:pPr>
        <w:spacing w:after="120" w:line="312" w:lineRule="auto"/>
      </w:pPr>
      <w:r>
        <w:rPr>
          <w:rFonts w:ascii="Calibri" w:hAnsi="Calibri" w:eastAsia="Calibri"/>
          <w:b w:val="0"/>
          <w:i w:val="0"/>
          <w:color w:val="000000"/>
          <w:sz w:val="22"/>
        </w:rPr>
        <w:t>Each pain in Table 1.2 is mapped below to the specific AurumXchange feature that relieves it. The mapping is explicit because vague claims ('better compliance') are not testable. The Charter's acceptance criteria reference these mappings directly.</w:t>
      </w:r>
    </w:p>
    <w:p>
      <w:pPr>
        <w:keepNext/>
        <w:spacing w:before="200" w:after="80"/>
      </w:pPr>
      <w:r>
        <w:rPr>
          <w:rFonts w:ascii="Calibri" w:hAnsi="Calibri" w:eastAsia="Calibri"/>
          <w:b/>
          <w:i w:val="0"/>
          <w:color w:val="1A1A1A"/>
          <w:sz w:val="22"/>
        </w:rPr>
        <w:t>Table 1.4. Pain Relievers — Pain X is Relieved by Feature</w:t>
        <w:br/>
        <w:t>Y</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3005"/>
        <w:gridCol w:w="3005"/>
        <w:gridCol w:w="3005"/>
      </w:tblGrid>
      <w:tr>
        <w:trPr>
          <w:cantSplit/>
        </w:trPr>
        <w:tc>
          <w:tcPr>
            <w:tcW w:type="dxa" w:w="302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Pain</w:t>
            </w:r>
          </w:p>
        </w:tc>
        <w:tc>
          <w:tcPr>
            <w:tcW w:type="dxa" w:w="302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Feature That Relieves It</w:t>
            </w:r>
          </w:p>
        </w:tc>
        <w:tc>
          <w:tcPr>
            <w:tcW w:type="dxa" w:w="302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How It Relieves the Pain</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P1 — Price opacity</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RFQ + bid comparison dashboard with live LBMA PM Fix overlay (Phase 2)</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Buyer sees all competing bids for a lot before committing, plus 90-day historical trade prices for similar lots and the live LBMA PM Fix; overpayment drops because the buyer no longer bids blind against daily US$30–80/oz moves.</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P2 — Counterparty risk</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KYC/AML via Smile Identity + Minerals Commission licence verification + GoldBod registration check (Phase 1)</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Every seller's Minerals Commission licence, GoldBod registration (if small-scale gold), and assay history is verified at onboarding and re-verified monthly; unverified sellers cannot list lots, so the buyer never faces the 'is this seller real?' question.</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P3 — Export documentation drag (post-GoldBod)</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 Core audit export → Phase 3 GoldBod + PMMC workflow integration</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MVP delivers the audit package that satisfies GoldBod, PMMC, and GRA reviewers; full Phase 3 closes the loop with GoldBod API and PMMC API integration, reducing elapsed time from 6 days to under 36 hours once both APIs are live.</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P4 — Funds-at-risk window</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Escrow integration with partner bank (Stanbic Bank Ghana or Ecobank Ghana) (Phase 2)</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Funds are released from escrow only when both (a) the Chamber has approved the trade and (b) gold title has transferred; the funds-at-risk window collapses from days to seconds and the buyer's worst-case exposure drops to zero.</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P5 — Audit trail fragmentation vs LBMA RGG</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Immutable audit log pre-validated against LBMA RGG five-step due diligence (Compliance Core)</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Every state change in a trade (lot created, bid submitted, contract signed, escrow released, delivery confirmed) is written to an append-only log; a single audit-package export satisfies the LBMA Responsible Gold Guidance five-step framework [lbma.org.uk, 2024] and replaces the current WhatsApp + paper + PDF reconstruction.</w:t>
            </w:r>
          </w:p>
        </w:tc>
      </w:tr>
    </w:tbl>
    <w:p>
      <w:pPr>
        <w:spacing w:after="40"/>
      </w:pPr>
    </w:p>
    <w:p>
      <w:pPr>
        <w:spacing w:before="40" w:after="200" w:line="312" w:lineRule="auto"/>
      </w:pPr>
      <w:r>
        <w:rPr>
          <w:rFonts w:ascii="Calibri" w:hAnsi="Calibri" w:eastAsia="Calibri"/>
          <w:b/>
          <w:i w:val="0"/>
          <w:color w:val="4A4A4A"/>
          <w:sz w:val="20"/>
        </w:rPr>
        <w:t>Table 1.4.</w:t>
      </w:r>
      <w:r>
        <w:rPr>
          <w:rFonts w:ascii="Calibri" w:hAnsi="Calibri" w:eastAsia="Calibri"/>
          <w:b w:val="0"/>
          <w:i/>
          <w:color w:val="4A4A4A"/>
          <w:sz w:val="20"/>
        </w:rPr>
        <w:t>Every pain from Table 1.2 is mapped to a specific MVP or near-MVP feature. No pain is left without a reliever. P5 explicitly references LBMA RGG; P3 explicitly references GoldBod.</w:t>
      </w:r>
    </w:p>
    <w:p>
      <w:pPr>
        <w:pStyle w:val="Heading2"/>
        <w:keepNext/>
        <w:spacing w:before="280" w:after="120"/>
      </w:pPr>
      <w:r>
        <w:rPr>
          <w:rFonts w:ascii="Calibri" w:hAnsi="Calibri"/>
          <w:b/>
          <w:color w:val="1A1A1A"/>
          <w:sz w:val="26"/>
        </w:rPr>
        <w:t>Gain</w:t>
        <w:br/>
        <w:t>Creators</w:t>
      </w:r>
    </w:p>
    <w:p>
      <w:pPr>
        <w:spacing w:after="120" w:line="312" w:lineRule="auto"/>
      </w:pPr>
      <w:r>
        <w:rPr>
          <w:rFonts w:ascii="Calibri" w:hAnsi="Calibri" w:eastAsia="Calibri"/>
          <w:b w:val="0"/>
          <w:i w:val="0"/>
          <w:color w:val="000000"/>
          <w:sz w:val="22"/>
        </w:rPr>
        <w:t>Each gain in Table 1.3 is mapped below to the specific AurumXchange capability that creates it. The distinction between Pain Relievers (which remove a negative) and Gain Creators (which produce a positive) is what allows the BMC's Value Proposition block to be written as a positive claim rather than as the absence of a problem.</w:t>
      </w:r>
    </w:p>
    <w:p>
      <w:pPr>
        <w:keepNext/>
        <w:spacing w:before="200" w:after="80"/>
      </w:pPr>
      <w:r>
        <w:rPr>
          <w:rFonts w:ascii="Calibri" w:hAnsi="Calibri" w:eastAsia="Calibri"/>
          <w:b/>
          <w:i w:val="0"/>
          <w:color w:val="1A1A1A"/>
          <w:sz w:val="22"/>
        </w:rPr>
        <w:t>Table 1.5. Gain Creators — Gain Z is Created by Capability</w:t>
        <w:br/>
        <w:t>W</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3005"/>
        <w:gridCol w:w="3005"/>
        <w:gridCol w:w="3005"/>
      </w:tblGrid>
      <w:tr>
        <w:trPr>
          <w:cantSplit/>
        </w:trPr>
        <w:tc>
          <w:tcPr>
            <w:tcW w:type="dxa" w:w="302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Gain</w:t>
            </w:r>
          </w:p>
        </w:tc>
        <w:tc>
          <w:tcPr>
            <w:tcW w:type="dxa" w:w="302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Capability That Creates It</w:t>
            </w:r>
          </w:p>
        </w:tc>
        <w:tc>
          <w:tcPr>
            <w:tcW w:type="dxa" w:w="302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Outcome Produced</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G1 — Compliance-grade audit trail (LBMA RGG-aligned)</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Immutable, append-only audit log pre-validated against LBMA RGG five-step due diligence (Compliance Core)</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 single exportable audit package per trade, accepted by GoldBod, PMMC, Minerals Commission, GRA, and LBMA-aligned refiner reviewers; reduces audit time per trade from 6 staff-hours to under 30 minutes.</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G2 — Escrow protection</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Partner-bank escrow integration (Stanbic Bank Ghana or Ecobank Ghana) with two-signature release (Phase 2)</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Funds move only on joint confirmation of Chamber approval + title transfer; the funds-at-risk window collapses from days to seconds and the buyer's worst-case exposure drops to zero.</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G3 — Price transparency</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Bid comparison dashboard + 90-day historical price feed + live LBMA PM Fix overlay (Phase 2)</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Buyer sees competing bids and historical comps before committing, with LBMA PM Fix as the reference price; overpayment incidents drop from 1-in-4 trades to under 1-in-10 by month 12 post-launch.</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G4 — Faster export documentation (incl. GoldBod)</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 Core audit export → GoldBod + PMMC workflow (Phase 2 MVP, full Phase 3)</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MVP reduces staff-hours per shipment from 14 to 6; Phase 3 reduces elapsed time from 6 days to under 36 hours once GoldBod and PMMC system integration is live.</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G5 — Market intelligence</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Phase 4 market intelligence module (LBMA PM Fix + BoG DGPP prices + AI price forecasting)</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Daily LBMA PM Fix, BoG DGPP purchase prices (the Bank of Ghana purchased 358,218 oz from Chamber members in 2024 [Ghana Chamber of Mines PWYP report, 2024]), regional demand by destination, and personalized sale-timing recommendation; deferred to Phase 4 but designed for in MVP data model.</w:t>
            </w:r>
          </w:p>
        </w:tc>
      </w:tr>
    </w:tbl>
    <w:p>
      <w:pPr>
        <w:spacing w:after="40"/>
      </w:pPr>
    </w:p>
    <w:p>
      <w:pPr>
        <w:spacing w:before="40" w:after="200" w:line="312" w:lineRule="auto"/>
      </w:pPr>
      <w:r>
        <w:rPr>
          <w:rFonts w:ascii="Calibri" w:hAnsi="Calibri" w:eastAsia="Calibri"/>
          <w:b/>
          <w:i w:val="0"/>
          <w:color w:val="4A4A4A"/>
          <w:sz w:val="20"/>
        </w:rPr>
        <w:t>Table 1.5.</w:t>
      </w:r>
      <w:r>
        <w:rPr>
          <w:rFonts w:ascii="Calibri" w:hAnsi="Calibri" w:eastAsia="Calibri"/>
          <w:b w:val="0"/>
          <w:i/>
          <w:color w:val="4A4A4A"/>
          <w:sz w:val="20"/>
        </w:rPr>
        <w:t>Every gain from Table 1.3 is mapped to a specific capability. G5 references the BoG DGPP, providing a credible alternative sales channel for sellers and grounding the market intelligence use case in a real 2024 program.</w:t>
      </w:r>
    </w:p>
    <w:p>
      <w:pPr>
        <w:pStyle w:val="Heading1"/>
        <w:keepNext/>
        <w:spacing w:before="360" w:after="160"/>
      </w:pPr>
      <w:r>
        <w:rPr>
          <w:rFonts w:ascii="Calibri" w:hAnsi="Calibri"/>
          <w:b/>
          <w:color w:val="C9A84C"/>
          <w:sz w:val="32"/>
        </w:rPr>
        <w:t>C. The Fit</w:t>
        <w:br/>
        <w:t>Statement</w:t>
      </w:r>
    </w:p>
    <w:p>
      <w:pPr>
        <w:spacing w:after="120" w:line="312" w:lineRule="auto"/>
      </w:pPr>
      <w:r>
        <w:rPr>
          <w:rFonts w:ascii="Calibri" w:hAnsi="Calibri" w:eastAsia="Calibri"/>
          <w:b w:val="0"/>
          <w:i w:val="0"/>
          <w:color w:val="000000"/>
          <w:sz w:val="22"/>
        </w:rPr>
        <w:t>The Fit Statement compresses the entire VPC into a single sentence in the format required by the brief. It is the canonical articulation of AurumXchange's value proposition and is reproduced verbatim in the Business Model Canvas's Value Propositions block.</w:t>
      </w:r>
    </w:p>
    <w:p>
      <w:pPr>
        <w:spacing w:before="120" w:after="120" w:line="312" w:lineRule="auto"/>
        <w:ind w:left="454" w:right="454"/>
      </w:pPr>
      <w:r>
        <w:rPr>
          <w:rFonts w:ascii="Calibri" w:hAnsi="Calibri" w:eastAsia="Calibri"/>
          <w:b w:val="0"/>
          <w:i w:val="0"/>
          <w:color w:val="1A1A1A"/>
          <w:sz w:val="22"/>
        </w:rPr>
        <w:t xml:space="preserve"> </w:t>
      </w:r>
      <w:r>
        <w:rPr>
          <w:rFonts w:ascii="Calibri" w:hAnsi="Calibri" w:eastAsia="Calibri"/>
          <w:b/>
          <w:i/>
          <w:color w:val="1A1A1A"/>
          <w:sz w:val="22"/>
        </w:rPr>
        <w:t>For licensed Tier 1 and Tier 2 gold buyers and sellers in Ghana who must trade high-value gold under strict GoldBod, PMMC, Minerals Commission, and LBMA Responsible Gold Guidance compliance without exposing themselves to price opacity, counterparty risk, or funds-at-risk windows, AurumXchange is a regulated B2B gold trading infrastructure that combines RFQ-driven negotiation, Chamber-approved escrow, and an immutable LBMA-RGG-aligned audit trail into a single compliance-gated exchange. Unlike the status quo of phone-brokered deals and fragmented paperwork across GoldBod, PMMC, and Bank of Ghana workflows, AurumXchange collapses every trade into a single auditable workflow where funds move only when title transfers.</w:t>
      </w:r>
      <w:r>
        <w:rPr>
          <w:rFonts w:ascii="Calibri" w:hAnsi="Calibri" w:eastAsia="Calibri"/>
          <w:b w:val="0"/>
          <w:i w:val="0"/>
          <w:color w:val="1A1A1A"/>
          <w:sz w:val="22"/>
        </w:rPr>
        <w:t xml:space="preserve"> </w:t>
      </w:r>
    </w:p>
    <w:p>
      <w:pPr>
        <w:spacing w:after="120" w:line="312" w:lineRule="auto"/>
      </w:pPr>
      <w:r>
        <w:rPr>
          <w:rFonts w:ascii="Calibri" w:hAnsi="Calibri" w:eastAsia="Calibri"/>
          <w:b w:val="0"/>
          <w:i w:val="0"/>
          <w:color w:val="000000"/>
          <w:sz w:val="22"/>
        </w:rPr>
        <w:t>This Fit Statement is the contract between the VPC and the rest of the business case. Every downstream claim — the BMC's Value Proposition, the Financial Documentation's revenue assumption that buyers will pay a 0.10% fee per side, and the Charter's scope of Phase 1 and Phase 2 features — is traceable to this single sentence. If a reviewer disagrees with the Fit Statement, the entire business case must be revisited; if they accept it, the four documents that follow should be evaluated against how faithfully they operationalize it.</w:t>
      </w:r>
    </w:p>
    <w:sectPr w:rsidR="00FC693F" w:rsidRPr="0006063C" w:rsidSect="00034616">
      <w:footerReference w:type="default" r:id="rId9"/>
      <w:headerReference w:type="default" r:id="rId10"/>
      <w:pgSz w:w="11906" w:h="16838"/>
      <w:pgMar w:top="1417" w:right="130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87078"/>
        <w:sz w:val="18"/>
      </w:rPr>
      <w:fldChar w:fldCharType="begin"/>
      <w:instrText>PAGE \* MERGEFORMAT</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i/>
        <w:color w:val="687078"/>
        <w:sz w:val="18"/>
      </w:rPr>
      <w:t>AurumXchange Business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