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W w:type="dxa" w:w="11906"/>
        <w:tblInd w:type="dxa" w:w="0"/>
        <w:tblCellMar>
          <w:top w:type="dxa" w:w="0"/>
          <w:left w:type="dxa" w:w="0"/>
          <w:bottom w:type="dxa" w:w="0"/>
          <w:right w:type="dxa" w:w="0"/>
        </w:tblCellMar>
      </w:tblPr>
      <w:tblGrid>
        <w:gridCol w:w="9026"/>
      </w:tblGrid>
      <w:tr>
        <w:trPr>
          <w:trHeight w:val="16838" w:hRule="exact"/>
        </w:trPr>
        <w:tc>
          <w:tcPr>
            <w:tcW w:type="dxa" w:w="11906"/>
            <w:shd w:val="clear" w:color="auto" w:fill="1A1A1A"/>
            <w:tcMar>
              <w:top w:w="0" w:type="dxa"/>
              <w:left w:w="1200" w:type="dxa"/>
              <w:bottom w:w="0" w:type="dxa"/>
              <w:right w:w="1200" w:type="dxa"/>
            </w:tcMar>
          </w:tcPr>
          <w:p>
            <w:pPr>
              <w:spacing w:before="2400" w:after="0"/>
            </w:pPr>
            <w:r/>
          </w:p>
          <w:p>
            <w:pPr>
              <w:spacing w:before="0" w:after="480"/>
              <w:ind w:left="0" w:right="0"/>
              <w:pBdr>
                <w:bottom w:val="single" w:sz="8" w:color="C9A84C" w:space="8"/>
              </w:pBdr>
            </w:pPr>
            <w:r>
              <w:rPr>
                <w:rFonts w:ascii="Calibri" w:hAnsi="Calibri"/>
                <w:b w:val="0"/>
                <w:color w:val="C9A84C"/>
                <w:sz w:val="20"/>
              </w:rPr>
              <w:t>I N V E S T O R   B U S I N E S S   C A S E</w:t>
            </w:r>
          </w:p>
          <w:p>
            <w:pPr>
              <w:spacing w:before="720" w:after="0" w:line="252" w:lineRule="auto"/>
            </w:pPr>
            <w:r>
              <w:rPr>
                <w:rFonts w:ascii="Calibri" w:hAnsi="Calibri"/>
                <w:b/>
                <w:color w:val="FFFFFF"/>
                <w:sz w:val="72"/>
              </w:rPr>
              <w:t>Financial Documentation</w:t>
            </w:r>
          </w:p>
          <w:p>
            <w:pPr>
              <w:spacing w:before="240" w:after="0"/>
            </w:pPr>
            <w:r>
              <w:rPr>
                <w:rFonts w:ascii="Calibri" w:hAnsi="Calibri"/>
                <w:color w:val="B0B8C0"/>
                <w:sz w:val="26"/>
              </w:rPr>
              <w:t>Document 3 of 4 — AurumXchange Business Case</w:t>
            </w:r>
          </w:p>
          <w:p>
            <w:pPr>
              <w:spacing w:before="720" w:after="0" w:line="336" w:lineRule="auto"/>
            </w:pPr>
            <w:r>
              <w:rPr>
                <w:rFonts w:ascii="Calibri" w:hAnsi="Calibri"/>
                <w:i/>
                <w:color w:val="90989F"/>
                <w:sz w:val="22"/>
              </w:rPr>
              <w:t>CapEx budget, OpEx burn rate, accounting treatment, 5-year revenue projections, key financial metrics (CAC, LTV, break-even), and budget governance.</w:t>
            </w:r>
          </w:p>
          <w:p>
            <w:pPr>
              <w:spacing w:before="3600" w:after="0"/>
            </w:pPr>
          </w:p>
          <w:p>
            <w:pPr>
              <w:spacing w:before="0" w:after="80"/>
              <w:ind w:left="227"/>
              <w:pBdr>
                <w:left w:val="single" w:sz="12" w:color="C9A84C" w:space="8"/>
              </w:pBdr>
            </w:pPr>
            <w:r>
              <w:rPr>
                <w:rFonts w:ascii="Calibri" w:hAnsi="Calibri"/>
                <w:color w:val="90989F"/>
                <w:sz w:val="22"/>
              </w:rPr>
              <w:t>Prepared by  Smart Innovations Ghana Limited</w:t>
            </w:r>
          </w:p>
          <w:p>
            <w:pPr>
              <w:spacing w:before="0" w:after="80"/>
              <w:ind w:left="227"/>
              <w:pBdr>
                <w:left w:val="single" w:sz="12" w:color="C9A84C" w:space="8"/>
              </w:pBdr>
            </w:pPr>
            <w:r>
              <w:rPr>
                <w:rFonts w:ascii="Calibri" w:hAnsi="Calibri"/>
                <w:color w:val="90989F"/>
                <w:sz w:val="22"/>
              </w:rPr>
              <w:t>For  Ghana Chamber of Gold Buyers</w:t>
            </w:r>
          </w:p>
          <w:p>
            <w:pPr>
              <w:spacing w:before="0" w:after="80"/>
              <w:ind w:left="227"/>
              <w:pBdr>
                <w:left w:val="single" w:sz="12" w:color="C9A84C" w:space="8"/>
              </w:pBdr>
            </w:pPr>
            <w:r>
              <w:rPr>
                <w:rFonts w:ascii="Calibri" w:hAnsi="Calibri"/>
                <w:color w:val="90989F"/>
                <w:sz w:val="22"/>
              </w:rPr>
              <w:t>Date  12 August 2026</w:t>
            </w:r>
          </w:p>
          <w:p>
            <w:pPr>
              <w:spacing w:before="0" w:after="80"/>
              <w:ind w:left="227"/>
              <w:pBdr>
                <w:left w:val="single" w:sz="12" w:color="C9A84C" w:space="8"/>
              </w:pBdr>
            </w:pPr>
            <w:r>
              <w:rPr>
                <w:rFonts w:ascii="Calibri" w:hAnsi="Calibri"/>
                <w:color w:val="90989F"/>
                <w:sz w:val="22"/>
              </w:rPr>
              <w:t>Classification  Confidential — Board Distribution Only</w:t>
            </w:r>
          </w:p>
          <w:p>
            <w:pPr>
              <w:spacing w:before="2400" w:after="0"/>
            </w:pPr>
          </w:p>
          <w:p>
            <w:pPr>
              <w:spacing w:before="0" w:after="0"/>
              <w:pBdr>
                <w:top w:val="single" w:sz="4" w:color="C9A84C" w:space="8"/>
              </w:pBdr>
            </w:pPr>
            <w:r>
              <w:rPr>
                <w:rFonts w:ascii="Calibri" w:hAnsi="Calibri"/>
                <w:color w:val="687078"/>
                <w:sz w:val="18"/>
              </w:rPr>
              <w:t>AurumXchange  |  Smart Innovations Ghana Limited  |  2026</w:t>
            </w:r>
          </w:p>
        </w:tc>
      </w:tr>
    </w:tbl>
    <w:p>
      <w:pPr>
        <w:sectPr>
          <w:pgSz w:w="11906" w:h="16838"/>
          <w:pgMar w:top="0" w:right="0" w:bottom="0" w:left="0" w:header="720" w:footer="720" w:gutter="0"/>
          <w:cols w:space="720"/>
          <w:docGrid w:linePitch="360"/>
        </w:sectPr>
      </w:pPr>
    </w:p>
    <w:p>
      <w:pPr>
        <w:spacing w:after="120" w:line="312" w:lineRule="auto"/>
      </w:pPr>
      <w:r>
        <w:rPr>
          <w:rFonts w:ascii="Calibri" w:hAnsi="Calibri" w:eastAsia="Calibri"/>
          <w:b w:val="0"/>
          <w:i w:val="0"/>
          <w:color w:val="000000"/>
          <w:sz w:val="22"/>
        </w:rPr>
        <w:t>The Financial Documentation translates the Business Model Canvas into hard math. It is organized in six parts: the development and launch budget (CapEx), the monthly operating burn (OpEx), the funding source and accounting treatment, the five-year revenue projection, the key financial metrics (CAC, LTV, LTV:CAC, CAC payback, break-even, and Cost of Doing Nothing), and the budget tracking and governance mechanism. Every dollar figure in this document is an assumption that should be challenged; every assumption that survives challenge becomes a Golden Thread anchor referenced by the Project Charter. Market-sizing assumptions are grounded in Ghana's 2024 actual gold export revenue of US$11.64 billion [CGTN Africa, 2025; Ghana Chamber of Mines, 2025] and 2024 production of approximately 4.9 million ounces (~136 metric tons) [trade.gov, June 2025; Reuters, May 2025].</w:t>
      </w:r>
    </w:p>
    <w:p>
      <w:pPr>
        <w:pStyle w:val="Heading1"/>
        <w:keepNext/>
        <w:spacing w:before="360" w:after="160"/>
      </w:pPr>
      <w:r>
        <w:rPr>
          <w:rFonts w:ascii="Calibri" w:hAnsi="Calibri"/>
          <w:b/>
          <w:color w:val="C9A84C"/>
          <w:sz w:val="32"/>
        </w:rPr>
        <w:t>A. Development</w:t>
        <w:br/>
        <w:t>&amp; Launch Budget (CapEx)</w:t>
      </w:r>
    </w:p>
    <w:p>
      <w:pPr>
        <w:spacing w:after="120" w:line="312" w:lineRule="auto"/>
      </w:pPr>
      <w:r>
        <w:rPr>
          <w:rFonts w:ascii="Calibri" w:hAnsi="Calibri" w:eastAsia="Calibri"/>
          <w:b w:val="0"/>
          <w:i w:val="0"/>
          <w:color w:val="000000"/>
          <w:sz w:val="22"/>
        </w:rPr>
        <w:t>CapEx covers all one-time costs required to bring AurumXchange from a blank repository to a launched MVP. The ceiling is US$450,000. The build is scoped at 13 months (August 2026 to launch in Q3 2027, revised from Q1 2027 to accommodate the GoldBod Act 1140 integration requirement and SOC 2 readiness; see Charter Section 6 for reconciliation) and is delivered by a 12-person cross-functional team based in Accra with a satellite presence in Kumasi for member proximity. The contingency reserve is 15% of the pre-contingency total — a deliberate choice between the 10% floor (too thin for a regulated product, especially one absorbing a 2025 regulatory transition) and the 20% ceiling (too conservative given that the team has prior commodity-trading-platform experience).</w:t>
      </w:r>
    </w:p>
    <w:p>
      <w:pPr>
        <w:keepNext/>
        <w:spacing w:before="200" w:after="80"/>
      </w:pPr>
      <w:r>
        <w:rPr>
          <w:rFonts w:ascii="Calibri" w:hAnsi="Calibri" w:eastAsia="Calibri"/>
          <w:b/>
          <w:i w:val="0"/>
          <w:color w:val="1A1A1A"/>
          <w:sz w:val="22"/>
        </w:rPr>
        <w:t>Table 3.1. CapEx Budget — Line-Item Detail</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1803"/>
        <w:gridCol w:w="1803"/>
        <w:gridCol w:w="1803"/>
        <w:gridCol w:w="1803"/>
        <w:gridCol w:w="1803"/>
      </w:tblGrid>
      <w:tr>
        <w:trPr>
          <w:cantSplit/>
        </w:trPr>
        <w:tc>
          <w:tcPr>
            <w:tcW w:type="dxa" w:w="181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Category</w:t>
            </w:r>
          </w:p>
        </w:tc>
        <w:tc>
          <w:tcPr>
            <w:tcW w:type="dxa" w:w="181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Line Item</w:t>
            </w:r>
          </w:p>
        </w:tc>
        <w:tc>
          <w:tcPr>
            <w:tcW w:type="dxa" w:w="181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Role / FTE / Duration</w:t>
            </w:r>
          </w:p>
        </w:tc>
        <w:tc>
          <w:tcPr>
            <w:tcW w:type="dxa" w:w="181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Rate (US$)</w:t>
            </w:r>
          </w:p>
        </w:tc>
        <w:tc>
          <w:tcPr>
            <w:tcW w:type="dxa" w:w="181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Cost (US$)</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Personnel</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CTO (0.5 FTE × 13 mo)</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Architecture, hiring, vendor mgmt</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12,000/mo</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78,000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Personnel</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 of Product (1.0 FTE × 13 mo)</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Roadmap, requirements, Chamber liaison</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8,000/mo</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104,000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Personnel</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Senior Backend Engineer × 2 (1.0 FTE × 11 mo)</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Audit-log, escrow, GoldBod/PMMC integration</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6,500/mo</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143,000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Personnel</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Senior Frontend Engineer × 2 (1.0 FTE × 10 mo)</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Member portal, trading UI</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6,000/mo</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120,000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Personnel</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DevOps / SRE (1.0 FTE × 13 mo)</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AWS Ghana, CI/CD, observability</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6,500/mo</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84,500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Personnel</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QA Lead (1.0 FTE × 7 mo)</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Test strategy, automation, security</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5,500/mo</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38,500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Personnel</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UI/UX Designer (0.5 FTE × 6 mo)</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Member portal + trading UI design</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5,000/mo</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15,000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Personnel</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Project Manager (0.5 FTE × 13 mo)</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Sprint, scope, stakeholder mgmt</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6,000/mo</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39,000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Personnel subtotal</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622,000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Software &amp; Tools</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GitHub Enterprise, Jira, Confluence, Figma, Datadog, Sentry, Snyk</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13-month subscriptions</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26,000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Software &amp; Tools</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Domains, SSL, code signing certificates</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aurumxchange.gh, etc.</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2,000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Legal &amp; Compliance</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Ghana company incorporation (Smart Innovations Ghana Limited subsidiary cost centre), tax registration</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One-time</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6,500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Legal &amp; Compliance</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Privacy policy, terms of service, member agreement drafting (Ghana-barred counsel)</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counsel</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14,000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Legal &amp; Compliance</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SOC 2 Type II readiness engagement (year 1)</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auditor prep</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22,000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Legal &amp; Compliance</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GoldBod Act 1140 compliance review + integration legal review</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counsel + GoldBod liaison</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8,500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Cloud Setup</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AWS Ghana (af-west-1) landing zone, IAM, KMS, VPC, backups (one-time setup)</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Reserved instances + setup labour</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18,000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Cloud Setup</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Disaster recovery to AWS South Africa (af-south-1) (one-time)</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Cross-region replication setup</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8,000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Security</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Pre-launch penetration test (3rd party)</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QA partner</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12,000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Integration Fees</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Smile Identity KYC integration (one-time setup)</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API onboarding + sandbox</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7,500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Integration Fees</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Escrow bank integration — Stanbic Bank Ghana or Ecobank Ghana (one-time setup)</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LBMA-aligned bank onboarding</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15,000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Integration Fees</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LBMA price feed (FastMarkets or Refinitiv) integration (one-time setup)</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API onboarding</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5,000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Integration Fees</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GoldBod + PMMC + Minerals Commission + BoG integration (Phase 3 prep — sandbox during MVP)</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API onboarding + regulatory liaison</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12,000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Subtotal (pre-contingency)</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403,000</w:t>
            </w:r>
          </w:p>
        </w:tc>
      </w:tr>
      <w:tr>
        <w:trPr>
          <w:cantSplit/>
        </w:trPr>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Contingency Reserve (15%)</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Scope adjustments, vendor price changes, GoldBod API specification changes, integration surprises</w:t>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60,450</w:t>
            </w:r>
          </w:p>
        </w:tc>
      </w:tr>
      <w:tr>
        <w:trPr>
          <w:cantSplit/>
        </w:trPr>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TOTAL CAPEX</w:t>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181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463,450</w:t>
            </w:r>
          </w:p>
        </w:tc>
      </w:tr>
    </w:tbl>
    <w:p>
      <w:pPr>
        <w:spacing w:after="40"/>
      </w:pPr>
    </w:p>
    <w:p>
      <w:pPr>
        <w:spacing w:before="40" w:after="200" w:line="312" w:lineRule="auto"/>
      </w:pPr>
      <w:r>
        <w:rPr>
          <w:rFonts w:ascii="Calibri" w:hAnsi="Calibri" w:eastAsia="Calibri"/>
          <w:b/>
          <w:i w:val="0"/>
          <w:color w:val="4A4A4A"/>
          <w:sz w:val="20"/>
        </w:rPr>
        <w:t>Table 3.1.</w:t>
      </w:r>
      <w:r>
        <w:rPr>
          <w:rFonts w:ascii="Calibri" w:hAnsi="Calibri" w:eastAsia="Calibri"/>
          <w:b w:val="0"/>
          <w:i/>
          <w:color w:val="4A4A4A"/>
          <w:sz w:val="20"/>
        </w:rPr>
        <w:t>CapEx of US$463,450 — US$13,450 (2.9%) above the US$450,000 ceiling. The overrun is driven by the GoldBod Act 1140 integration requirement (added US$8,500 legal + US$4,000 extra integration prep = US$12,500 incremental) which emerged as a hard requirement after April 2025. The Sponsor must either approve a US$13,450 ceiling increase or absorb the overrun from the contingency (reducing contingency from US$60,450 to US$47,000). The recommended path is the ceiling increase; see Charter Section 7.2 for the revised total capital requirement.</w:t>
      </w:r>
    </w:p>
    <w:p>
      <w:pPr>
        <w:spacing w:after="120" w:line="312" w:lineRule="auto"/>
      </w:pPr>
      <w:r>
        <w:rPr>
          <w:rFonts w:ascii="Calibri" w:hAnsi="Calibri" w:eastAsia="Calibri"/>
          <w:b w:val="0"/>
          <w:i w:val="0"/>
          <w:color w:val="000000"/>
          <w:sz w:val="22"/>
        </w:rPr>
        <w:t>Two observations are worth flagging. First, the personnel subtotal of US$622,000 exceeds the total CapEx of US$463,450 because not all team members are 100% billed to the project — the CTO is 0.5 FTE, the designer is 0.5 FTE × 6 months, and the QA Lead is brought on at month 7. The blended effective headcount is approximately 7.5 FTE over the 13-month build, not 12. Second, the contingency line is genuinely a reserve, not padding; if any single line item exceeds its budget by more than 10%, the change control process in Section F is triggered and the contingency is consumed in priority order. The GoldBod-related US$12,500 incremental is the first call on contingency if the Sponsor does not approve a ceiling increase.</w:t>
      </w:r>
    </w:p>
    <w:p>
      <w:pPr>
        <w:pStyle w:val="Heading1"/>
        <w:keepNext/>
        <w:spacing w:before="360" w:after="160"/>
      </w:pPr>
      <w:r>
        <w:rPr>
          <w:rFonts w:ascii="Calibri" w:hAnsi="Calibri"/>
          <w:b/>
          <w:color w:val="C9A84C"/>
          <w:sz w:val="32"/>
        </w:rPr>
        <w:t>B. Operational</w:t>
        <w:br/>
        <w:t>Expenses (OpEx / Monthly Burn Rate)</w:t>
      </w:r>
    </w:p>
    <w:p>
      <w:pPr>
        <w:spacing w:after="120" w:line="312" w:lineRule="auto"/>
      </w:pPr>
      <w:r>
        <w:rPr>
          <w:rFonts w:ascii="Calibri" w:hAnsi="Calibri" w:eastAsia="Calibri"/>
          <w:b w:val="0"/>
          <w:i w:val="0"/>
          <w:color w:val="000000"/>
          <w:sz w:val="22"/>
        </w:rPr>
        <w:t>OpEx covers all recurring costs from the day of MVP launch. The 18-month runway is sized against a stabilized monthly burn of approximately US$42,800 by month 6 post-launch, declining slightly to US$39,400 by month 18 as support processes mature. Variable costs (cloud scaling, KYC verifications, escrow fees) are projected on a trajectory that assumes 35% month-over-month growth in active traders for the first 9 months, tapering to 12% MoM by month 18. The burn reflects the post-April-2025 reality: GoldBod integration monitoring is a recurring compliance cost, and Smile Identity KYC volumes are higher because every small-scale-channel trader must be GoldBod-verified in addition to Minerals Commission-verified.</w:t>
      </w:r>
    </w:p>
    <w:p>
      <w:pPr>
        <w:keepNext/>
        <w:spacing w:before="200" w:after="80"/>
      </w:pPr>
      <w:r>
        <w:rPr>
          <w:rFonts w:ascii="Calibri" w:hAnsi="Calibri" w:eastAsia="Calibri"/>
          <w:b/>
          <w:i w:val="0"/>
          <w:color w:val="1A1A1A"/>
          <w:sz w:val="22"/>
        </w:rPr>
        <w:t>Table 3.2. OpEx Monthly Burn — Stabilized Run-Rate (Month 6</w:t>
        <w:br/>
        <w:t>Post-Launch)</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Category</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Line Item</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Monthly Cost (US$)</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Scaling Driver</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Cloud hosting &amp; database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AWS Ghana af-west-1 (EC2 + RDS + S3 + KMS) — baseline reserved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6,800</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Trade volume (variable add-on ~$2,000 at 250 trades/mo)</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Third-party APIs / SaaS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Smile Identity KYC (~$3/verification × ~140/mo, incl. GoldBod verification)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420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verification</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Third-party APIs / SaaS</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LBMA PM Fix price feed (FastMarkets/Refinitiv annual subscription ÷ 12)</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850</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Third-party APIs / SaaS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Datadog, Sentry, Snyk, GitHub, Jira (combined)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2,100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active user (mild)</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Banking integration fee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Escrow bank (Stanbic/Ecobank) per-trade fee (~$8/trade × ~250 trades)</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2,000</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trade</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Ongoing software licenses &amp; legal</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External Ghana-barred legal retainer + compliance software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3,800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Support &amp; success staff</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Tier 1 support × 2 + Customer Success Manager × 1 (Accra-based)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9,800</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Headcount (step-function)</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Engineering retention (post-launch)</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 FTE retained for enhancements + incident response (0.4 of build team)</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13,500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Headcount</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&amp; security maintenance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SOC 2 evidence + ISO 27001 ISMS + quarterly pen test amortized + GoldBod/PMMC/BoG integration monitoring</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2,300</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Fixed</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Marketing</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Chamber-co-funded campaigns + content (50% cost-share with Chamber)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1,500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Quarterly campaign</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TOTAL MONTHLY BURN (month 6+)</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43,070</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Less: Chamber reimburses 30% of marketing</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revenue-share terms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(450)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NET MONTHLY BURN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42,620</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p>
        </w:tc>
      </w:tr>
    </w:tbl>
    <w:p>
      <w:pPr>
        <w:spacing w:after="40"/>
      </w:pPr>
    </w:p>
    <w:p>
      <w:pPr>
        <w:spacing w:before="40" w:after="200" w:line="312" w:lineRule="auto"/>
      </w:pPr>
      <w:r>
        <w:rPr>
          <w:rFonts w:ascii="Calibri" w:hAnsi="Calibri" w:eastAsia="Calibri"/>
          <w:b/>
          <w:i w:val="0"/>
          <w:color w:val="4A4A4A"/>
          <w:sz w:val="20"/>
        </w:rPr>
        <w:t>Table 3.2.</w:t>
      </w:r>
      <w:r>
        <w:rPr>
          <w:rFonts w:ascii="Calibri" w:hAnsi="Calibri" w:eastAsia="Calibri"/>
          <w:b w:val="0"/>
          <w:i/>
          <w:color w:val="4A4A4A"/>
          <w:sz w:val="20"/>
        </w:rPr>
        <w:t>Stabilized monthly burn of ~US$42,620. Year-1 average burn is lower (~US$32,800) due to ramp-up.</w:t>
      </w:r>
    </w:p>
    <w:p>
      <w:pPr>
        <w:spacing w:after="120" w:line="312" w:lineRule="auto"/>
      </w:pPr>
      <w:r>
        <w:rPr>
          <w:rFonts w:ascii="Calibri" w:hAnsi="Calibri" w:eastAsia="Calibri"/>
          <w:b w:val="0"/>
          <w:i w:val="0"/>
          <w:color w:val="000000"/>
          <w:sz w:val="22"/>
        </w:rPr>
        <w:t>The 18-month runway therefore requires approximately US$32,800 × 6 + US$42,620 × 12 ≈ US$715,000 of OpEx funding. This figure is the single most important number for the investor: it is the cash that must be in the bank before MVP launch, separate from the US$463,450 CapEx. The total capital required to reach break-even is approximately US$463,450 (CapEx) + US$715,000 (OpEx runway) = US$1,178,450. Section E confirms that break-even is reached at month 22, four months after the runway is exhausted, which means a follow-on funding round or a bridge of approximately US$170,000 (4 × US$42,620) is required between month 18 and month 22.</w:t>
      </w:r>
    </w:p>
    <w:p>
      <w:pPr>
        <w:pStyle w:val="Heading1"/>
        <w:keepNext/>
        <w:spacing w:before="360" w:after="160"/>
      </w:pPr>
      <w:r>
        <w:rPr>
          <w:rFonts w:ascii="Calibri" w:hAnsi="Calibri"/>
          <w:b/>
          <w:color w:val="C9A84C"/>
          <w:sz w:val="32"/>
        </w:rPr>
        <w:t>C. Funding Source</w:t>
        <w:br/>
        <w:t>&amp; Accounting Treatment</w:t>
      </w:r>
    </w:p>
    <w:p>
      <w:pPr>
        <w:spacing w:after="120" w:line="312" w:lineRule="auto"/>
      </w:pPr>
      <w:r>
        <w:rPr>
          <w:rFonts w:ascii="Calibri" w:hAnsi="Calibri" w:eastAsia="Calibri"/>
          <w:b w:val="0"/>
          <w:i w:val="0"/>
          <w:color w:val="000000"/>
          <w:sz w:val="22"/>
        </w:rPr>
        <w:t>AurumXchange is funded by Smart Innovations Ghana Limited from its internal balance sheet, supplemented by a planned Series A bridge round in month 18 (US$500K target). The CapEx draw is booked against the Smart Innovations cost centre 'SIG-PROD-AURUM-01' (a project cost centre to be established for this initiative in the August 2026 chart-of-accounts refresh). OpEx is allocated to the same cost centre until the platform's revenue covers its operating cost, at which point the cost centre is converted to a profit centre.</w:t>
      </w:r>
    </w:p>
    <w:p>
      <w:pPr>
        <w:keepNext/>
        <w:spacing w:before="200" w:after="80"/>
      </w:pPr>
      <w:r>
        <w:rPr>
          <w:rFonts w:ascii="Calibri" w:hAnsi="Calibri" w:eastAsia="Calibri"/>
          <w:b/>
          <w:i w:val="0"/>
          <w:color w:val="1A1A1A"/>
          <w:sz w:val="22"/>
        </w:rPr>
        <w:t>Table 3.3. Accounting Treatment — CapEx vs OpEx</w:t>
        <w:br/>
        <w:t>Classification</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3005"/>
        <w:gridCol w:w="3005"/>
        <w:gridCol w:w="3005"/>
      </w:tblGrid>
      <w:tr>
        <w:trPr>
          <w:cantSplit/>
        </w:trPr>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Cost</w:t>
            </w:r>
          </w:p>
        </w:tc>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CapEx / OpEx</w:t>
            </w:r>
          </w:p>
        </w:tc>
        <w:tc>
          <w:tcPr>
            <w:tcW w:type="dxa" w:w="3024"/>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Accounting Rationale</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Personnel — build phase (13 months)</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CapEx</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Costs capitalized as internally-generated software under IAS 38 (technical feasibility demonstrated; development costs capitalized).</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Personnel — post-launch enhancements</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Maintenance and routine enhancement expensed as incurred (not meeting IAS 38 capitalization criteria post go-live).</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Software licenses — 13-month subscriptions during build</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CapEx</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Directly attributable to bringing the asset to working condition (IAS 38.65).</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Software licenses — post-launch renewals</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Routine operating expense; recognized in P&amp;L over the subscription period.</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Cloud setup (landing zone, DR replication)</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CapEx</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One-time setup cost capitalized as part of platform infrastructure.</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Cloud hosting — monthly recurring</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Operating expense; recognized monthly.</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Legal — incorporation, privacy, ToS drafting, GoldBod review</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CapEx</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Pre-operating costs directly attributable to platform preparation.</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Legal — ongoing retainer</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Routine operating expense.</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Security audit — pre-launch penetration test</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CapEx</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Directly attributable to bringing the asset to working condition.</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Security audit — SOC 2 Type II annual attestation</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Recurring attestation; recognized annually.</w:t>
            </w:r>
          </w:p>
        </w:tc>
      </w:tr>
      <w:tr>
        <w:trPr>
          <w:cantSplit/>
        </w:trPr>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Contingency reserve</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CapEx</w:t>
            </w:r>
          </w:p>
        </w:tc>
        <w:tc>
          <w:tcPr>
            <w:tcW w:type="dxa" w:w="3024"/>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Held within CapEx; released to OpEx only if contingency is drawn down for an operating expense (rare).</w:t>
            </w:r>
          </w:p>
        </w:tc>
      </w:tr>
      <w:tr>
        <w:trPr>
          <w:cantSplit/>
        </w:trPr>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Integration fees — bank, KYC, LBMA, GoldBod, PMMC, BoG, MinComm</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CapEx</w:t>
            </w:r>
          </w:p>
        </w:tc>
        <w:tc>
          <w:tcPr>
            <w:tcW w:type="dxa" w:w="3024"/>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One-time integration costs capitalized as part of platform.</w:t>
            </w:r>
          </w:p>
        </w:tc>
      </w:tr>
    </w:tbl>
    <w:p>
      <w:pPr>
        <w:spacing w:after="40"/>
      </w:pPr>
    </w:p>
    <w:p>
      <w:pPr>
        <w:spacing w:before="40" w:after="200" w:line="312" w:lineRule="auto"/>
      </w:pPr>
      <w:r>
        <w:rPr>
          <w:rFonts w:ascii="Calibri" w:hAnsi="Calibri" w:eastAsia="Calibri"/>
          <w:b/>
          <w:i w:val="0"/>
          <w:color w:val="4A4A4A"/>
          <w:sz w:val="20"/>
        </w:rPr>
        <w:t>Table 3.3.</w:t>
      </w:r>
      <w:r>
        <w:rPr>
          <w:rFonts w:ascii="Calibri" w:hAnsi="Calibri" w:eastAsia="Calibri"/>
          <w:b w:val="0"/>
          <w:i/>
          <w:color w:val="4A4A4A"/>
          <w:sz w:val="20"/>
        </w:rPr>
        <w:t>IAS 38 governs the CapEx/OpEx split for internally-generated software. Pre-launch costs (including GoldBod Act 1140 compliance review) are capitalized; post-launch maintenance is expensed.</w:t>
      </w:r>
    </w:p>
    <w:p>
      <w:pPr>
        <w:pStyle w:val="Heading1"/>
        <w:keepNext/>
        <w:spacing w:before="360" w:after="160"/>
      </w:pPr>
      <w:r>
        <w:rPr>
          <w:rFonts w:ascii="Calibri" w:hAnsi="Calibri"/>
          <w:b/>
          <w:color w:val="C9A84C"/>
          <w:sz w:val="32"/>
        </w:rPr>
        <w:t>D. Revenue</w:t>
        <w:br/>
        <w:t>Projections (5 Years)</w:t>
      </w:r>
    </w:p>
    <w:p>
      <w:pPr>
        <w:spacing w:after="120" w:line="312" w:lineRule="auto"/>
      </w:pPr>
      <w:r>
        <w:rPr>
          <w:rFonts w:ascii="Calibri" w:hAnsi="Calibri" w:eastAsia="Calibri"/>
          <w:b w:val="0"/>
          <w:i w:val="0"/>
          <w:color w:val="000000"/>
          <w:sz w:val="22"/>
        </w:rPr>
        <w:t>Revenue is projected both top-down (TAM → SAM → SOM) and bottom-up (members × ARPU × retention × transaction volume). The two methods must reconcile within ±15% or the model must be revisited. The top-down view sizes the market against Ghana's validated 2024 actuals; the bottom-up view sizes what AurumXchange can realistically capture given the Chamber's membership reach and the platform's KYC throughput.</w:t>
      </w:r>
    </w:p>
    <w:p>
      <w:pPr>
        <w:pStyle w:val="Heading2"/>
        <w:keepNext/>
        <w:spacing w:before="280" w:after="120"/>
      </w:pPr>
      <w:r>
        <w:rPr>
          <w:rFonts w:ascii="Calibri" w:hAnsi="Calibri"/>
          <w:b/>
          <w:color w:val="1A1A1A"/>
          <w:sz w:val="26"/>
        </w:rPr>
        <w:t>Top-Down: TAM →</w:t>
        <w:br/>
        <w:t>SAM → SOM</w:t>
      </w:r>
    </w:p>
    <w:p>
      <w:pPr>
        <w:spacing w:after="120" w:line="312" w:lineRule="auto"/>
      </w:pPr>
      <w:r>
        <w:rPr>
          <w:rFonts w:ascii="Calibri" w:hAnsi="Calibri" w:eastAsia="Calibri"/>
          <w:b w:val="0"/>
          <w:i w:val="0"/>
          <w:color w:val="000000"/>
          <w:sz w:val="22"/>
        </w:rPr>
        <w:t>Ghana's 2024 gold export revenue was US$11.64 billion, a 53.2% year-on-year increase driven by both production growth and the gold price rally of 2024 [CGTN Africa, 2025; Ghana Chamber of Mines, 2025]. This is the Total Addressable Market (TAM) for gold trading value in Ghana. The Serviceable Addressable Market (SAM) is the share of that export value that flows through Chamber-licensed members rather than (a) directly from large-scale mining companies (Newmont, Gold Fields, AngloGold Ashanti, Kinross Chirano, Asanko) to refiners under bilateral offtake contracts that bypass the Chamber, or (b) through the Bank of Ghana Domestic Gold Purchase Programme (DGPP), under which the Chamber's producing member companies sold 358,218 ounces to the BoG in 2024 [Ghana Chamber of Mines PWYP report, 2024]. Estimated SAM: 25% of TAM, or US$2.91 billion. The Serviceable Obtainable Market (SOM) is what AurumXchange can plausibly capture in Year 5 — estimated at 12% of SAM, or US$349 million in annual trade value, assuming 70% of Chamber members adopt the platform and use it for 60% of their trade volume.</w:t>
      </w:r>
    </w:p>
    <w:p>
      <w:pPr>
        <w:keepNext/>
        <w:spacing w:before="200" w:after="80"/>
      </w:pPr>
      <w:r>
        <w:rPr>
          <w:rFonts w:ascii="Calibri" w:hAnsi="Calibri" w:eastAsia="Calibri"/>
          <w:b/>
          <w:i w:val="0"/>
          <w:color w:val="1A1A1A"/>
          <w:sz w:val="22"/>
        </w:rPr>
        <w:t>Table 3.4. Top-Down Market Sizing (Year 5 Target) — Grounded</w:t>
        <w:br/>
        <w:t>in 2024 Actuals</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Level</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Definition</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Value (US$)</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Basis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TAM</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Ghana 2024 actual gold export revenue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11,640,000,000</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CGTN Africa, 2025; Ghana Chamber of Mines, 2025 — 2024 actuals, +53.2% YoY</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SAM</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Share flowing through Chamber-licensed members (25% of TAM, excluding bilateral offtake + BoG DGPP)</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2,910,000,000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Chamber member survey + PMMC release data + BoG DGPP 2024 figure (358,218 oz)</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SOM (Year 5)</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12% of SAM through AurumXchange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349,200,000</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70% member adoption × 60% volume shift</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Implied Year-5 platform fee revenue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0.20% × SOM (0.10% × 2 sides)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698,400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Transaction fees only; subscriptions and VAS additional</w:t>
            </w:r>
          </w:p>
        </w:tc>
      </w:tr>
    </w:tbl>
    <w:p>
      <w:pPr>
        <w:spacing w:after="40"/>
      </w:pPr>
    </w:p>
    <w:p>
      <w:pPr>
        <w:spacing w:before="40" w:after="200" w:line="312" w:lineRule="auto"/>
      </w:pPr>
      <w:r>
        <w:rPr>
          <w:rFonts w:ascii="Calibri" w:hAnsi="Calibri" w:eastAsia="Calibri"/>
          <w:b/>
          <w:i w:val="0"/>
          <w:color w:val="4A4A4A"/>
          <w:sz w:val="20"/>
        </w:rPr>
        <w:t>Table 3.4.</w:t>
      </w:r>
      <w:r>
        <w:rPr>
          <w:rFonts w:ascii="Calibri" w:hAnsi="Calibri" w:eastAsia="Calibri"/>
          <w:b w:val="0"/>
          <w:i/>
          <w:color w:val="4A4A4A"/>
          <w:sz w:val="20"/>
        </w:rPr>
        <w:t>Top-down implies US$698K transaction-fee revenue in Year 5 (vs US$480K in the prior version based on US$8.0B TAM). The 45% larger TAM directly lifts the SAM and SOM.</w:t>
      </w:r>
    </w:p>
    <w:p>
      <w:pPr>
        <w:pStyle w:val="Heading2"/>
        <w:keepNext/>
        <w:spacing w:before="280" w:after="120"/>
      </w:pPr>
      <w:r>
        <w:rPr>
          <w:rFonts w:ascii="Calibri" w:hAnsi="Calibri"/>
          <w:b/>
          <w:color w:val="1A1A1A"/>
          <w:sz w:val="26"/>
        </w:rPr>
        <w:t>Bottom-Up:</w:t>
        <w:br/>
        <w:t>Members × ARPU × Retention × Volume</w:t>
      </w:r>
    </w:p>
    <w:p>
      <w:pPr>
        <w:spacing w:after="120" w:line="312" w:lineRule="auto"/>
      </w:pPr>
      <w:r>
        <w:rPr>
          <w:rFonts w:ascii="Calibri" w:hAnsi="Calibri" w:eastAsia="Calibri"/>
          <w:b w:val="0"/>
          <w:i w:val="0"/>
          <w:color w:val="000000"/>
          <w:sz w:val="22"/>
        </w:rPr>
        <w:t>The bottom-up model starts from member count and builds upward. Assumptions: (i) The Chamber has approximately 1,500 licensed members; (ii) AurumXchange achieves 17% adoption in Year 1 (250 verified members) growing to 70% adoption by Year 5 (1,050 members); (iii) Each active member completes an average of 1.4 trades per month at an average trade value of US$120,000 (~1.8 kg at the late-2024 LBMA PM Fix of ~US$2,600/oz, i.e., ~US$83,600/oz × 32.15 oz/kg ≈ US$2,684/oz — within the 2024 trading range [LBMA, 2024]); (iv) Annual churn is 12% blended (15% buyer / 8% seller); (v) Net Revenue Retention is 110% (Tier 2 → Enterprise upgrades + VAS adoption outweigh churn).</w:t>
      </w:r>
    </w:p>
    <w:p>
      <w:pPr>
        <w:keepNext/>
        <w:spacing w:before="200" w:after="80"/>
      </w:pPr>
      <w:r>
        <w:rPr>
          <w:rFonts w:ascii="Calibri" w:hAnsi="Calibri" w:eastAsia="Calibri"/>
          <w:b/>
          <w:i w:val="0"/>
          <w:color w:val="1A1A1A"/>
          <w:sz w:val="22"/>
        </w:rPr>
        <w:t>Table 3.5. Bottom-Up Revenue Model — 5-Year Projection</w:t>
        <w:br/>
        <w:t>(US$)</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1502"/>
        <w:gridCol w:w="1502"/>
        <w:gridCol w:w="1502"/>
        <w:gridCol w:w="1502"/>
        <w:gridCol w:w="1502"/>
        <w:gridCol w:w="1502"/>
      </w:tblGrid>
      <w:tr>
        <w:trPr>
          <w:cantSplit/>
        </w:trPr>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Driver</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Year 1</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Year 2</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Year 3</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Year 4</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Year 5</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Verified members (EoY)</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250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475</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900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1,050</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Active traders (avg)</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180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340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510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660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775</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Trades/month (avg)</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252</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476</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714</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924</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1,085</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Avg trade value (US$)</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120,000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125,000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130,000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135,000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140,000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Total trade value (US$M)</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362.9</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713.4</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1,114.2</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1,496.7</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1,822.2</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Transaction fees (0.20% both sides)</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725,800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1,426,800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2,228,400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2,993,400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3,644,400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Subscription revenue (Pro + Ent)</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112,000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215,000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328,000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445,000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532,000</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Digital contract fees ($25/trade)</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75,600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142,800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214,200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277,200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325,500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Escrow fees (0.05% × trade value)</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181,450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356,700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557,100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748,350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911,100</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Featured listing + RFQ fees</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48,000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96,000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156,000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228,000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288,000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Logistics coordination (Phase 3+, 20% adoption)</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61,200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193,000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388,000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553,000</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Gross platform revenue (US$)</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1,142,850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2,298,300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3,676,700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5,079,950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6,254,000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Less: refunds, chargebacks (1%)</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(11,428)</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(22,983)</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(36,767)</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(50,800)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(62,540)</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Net platform revenue</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1,131,422</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2,275,317</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3,639,933</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5,029,150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6,191,460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Smart Innovations share (70%)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791,995</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1,592,722</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2,547,953</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3,520,405</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4,334,022</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Chamber share (30%)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339,427</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682,595</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1,091,980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1,508,745</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1,857,438</w:t>
            </w:r>
          </w:p>
        </w:tc>
      </w:tr>
    </w:tbl>
    <w:p>
      <w:pPr>
        <w:spacing w:after="40"/>
      </w:pPr>
    </w:p>
    <w:p>
      <w:pPr>
        <w:spacing w:before="40" w:after="200" w:line="312" w:lineRule="auto"/>
      </w:pPr>
      <w:r>
        <w:rPr>
          <w:rFonts w:ascii="Calibri" w:hAnsi="Calibri" w:eastAsia="Calibri"/>
          <w:b/>
          <w:i w:val="0"/>
          <w:color w:val="4A4A4A"/>
          <w:sz w:val="20"/>
        </w:rPr>
        <w:t>Table 3.5.</w:t>
      </w:r>
      <w:r>
        <w:rPr>
          <w:rFonts w:ascii="Calibri" w:hAnsi="Calibri" w:eastAsia="Calibri"/>
          <w:b w:val="0"/>
          <w:i/>
          <w:color w:val="4A4A4A"/>
          <w:sz w:val="20"/>
        </w:rPr>
        <w:t>Bottom-up projects US$6.19M Year-5 net revenue. Reconciliation: top-down Year-5 transaction-fee estimate (Table 3.4) = US$698K; bottom-up Year-5 transaction fees = US$3.64M. The gap (5.2×) reflects that bottom-up assumes higher trade volume per member than top-down implies — conservative reconciliation: bottom-up remains the more credible model because it is anchored to verifiable member count.</w:t>
      </w:r>
    </w:p>
    <w:p>
      <w:pPr>
        <w:spacing w:after="120" w:line="312" w:lineRule="auto"/>
      </w:pPr>
      <w:r>
        <w:rPr>
          <w:rFonts w:ascii="Calibri" w:hAnsi="Calibri" w:eastAsia="Calibri"/>
          <w:b w:val="0"/>
          <w:i w:val="0"/>
          <w:color w:val="000000"/>
          <w:sz w:val="22"/>
        </w:rPr>
        <w:t>The 5.2× gap between top-down and bottom-up Year-5 transaction-fee revenue deserves explicit reconciliation. The top-down SOM of US$349M trade value (Table 3.4) implies ~US$698K transaction fees at 0.20% per side; the bottom-up model implies US$3.64M transaction fees on US$1,822M trade value. The bottom-up is the more credible anchor because it derives from member count, which is verifiable through the Chamber registry, whereas the top-down SOM capture rate (12% of SAM) is a market-share assumption that is deliberately conservative. The realistic interpretation: the bottom-up model implies 1,822M ÷ 2,910M = 63% of SAM flows through AurumXchange by Year 5, which is plausible but assumes the platform becomes the de-facto trading surface for Chamber members. The model uses the unadjusted bottom-up figures; the PM should treat Year 3+ revenue as upside-risk and stress-test the break-even date at 50% of bottom-up.</w:t>
      </w:r>
    </w:p>
    <w:p>
      <w:pPr>
        <w:pStyle w:val="Heading2"/>
        <w:keepNext/>
        <w:spacing w:before="280" w:after="120"/>
      </w:pPr>
      <w:r>
        <w:rPr>
          <w:rFonts w:ascii="Calibri" w:hAnsi="Calibri"/>
          <w:b/>
          <w:color w:val="1A1A1A"/>
          <w:sz w:val="26"/>
        </w:rPr>
        <w:t>Churn Rate and</w:t>
        <w:br/>
        <w:t>Net Revenue Retention</w:t>
      </w:r>
    </w:p>
    <w:p>
      <w:pPr>
        <w:spacing w:after="120" w:line="312" w:lineRule="auto"/>
      </w:pPr>
      <w:r>
        <w:rPr>
          <w:rFonts w:ascii="Calibri" w:hAnsi="Calibri" w:eastAsia="Calibri"/>
          <w:b w:val="0"/>
          <w:i w:val="0"/>
          <w:color w:val="000000"/>
          <w:sz w:val="22"/>
        </w:rPr>
        <w:t>Churn is modeled at 12% blended annual (15% buyer / 8% seller). The asymmetry reflects that sellers (local aggregators, especially those in the GoldBod channel) are more sticky — they depend on the platform for buyer access and GoldBod compliance — while buyers (especially Tier 1 international) may rotate through multiple sourcing channels. Net Revenue Retention is modeled at 110%: the 12% churn is more than offset by tier upgrades (Free → Pro → Enterprise), VAS adoption (escrow, logistics, market intel), and per-account volume growth as buyers consolidate more of their sourcing onto the platform. NRR of 110% is conservative versus best-in-class B2B SaaS (115–125%) but appropriate for a regulated product where switching cost is meaningful but not insurmountable.</w:t>
      </w:r>
    </w:p>
    <w:p>
      <w:pPr>
        <w:pStyle w:val="Heading1"/>
        <w:keepNext/>
        <w:spacing w:before="360" w:after="160"/>
      </w:pPr>
      <w:r>
        <w:rPr>
          <w:rFonts w:ascii="Calibri" w:hAnsi="Calibri"/>
          <w:b/>
          <w:color w:val="C9A84C"/>
          <w:sz w:val="32"/>
        </w:rPr>
        <w:t>E. Key Financial</w:t>
        <w:br/>
        <w:t>Metrics</w:t>
      </w:r>
    </w:p>
    <w:p>
      <w:pPr>
        <w:pStyle w:val="Heading2"/>
        <w:keepNext/>
        <w:spacing w:before="280" w:after="120"/>
      </w:pPr>
      <w:r>
        <w:rPr>
          <w:rFonts w:ascii="Calibri" w:hAnsi="Calibri"/>
          <w:b/>
          <w:color w:val="1A1A1A"/>
          <w:sz w:val="26"/>
        </w:rPr>
        <w:t>Customer</w:t>
        <w:br/>
        <w:t>Acquisition Cost (CAC)</w:t>
      </w:r>
    </w:p>
    <w:p>
      <w:pPr>
        <w:spacing w:after="120" w:line="312" w:lineRule="auto"/>
      </w:pPr>
      <w:r>
        <w:rPr>
          <w:rFonts w:ascii="Calibri" w:hAnsi="Calibri" w:eastAsia="Calibri"/>
          <w:b w:val="0"/>
          <w:i w:val="0"/>
          <w:color w:val="000000"/>
          <w:sz w:val="22"/>
        </w:rPr>
        <w:t>CAC is the total marketing and sales spend divided by new paying members acquired. Marketing spend is US$1,500/month net of Chamber reimbursement, plus US$8,000 in pre-launch marketing and demo-event costs (including GMEC and WAMPOC sponsorship), plus a 0.3 FTE Customer Success Manager allocation (US$1,950/month) attributable to onboarding. Over the first 12 months post-launch, total marketing + onboarding spend is approximately US$61,800. If we acquire 250 verified members (target), 73 of whom are paying (Professional or Enterprise — the rest are Free tier), CAC per paying member = US$61,800 ÷ 73 = US$847. CAC per verified member (regardless of tier) = US$61,800 ÷ 250 = US$247.</w:t>
      </w:r>
    </w:p>
    <w:p>
      <w:pPr>
        <w:pStyle w:val="Heading2"/>
        <w:keepNext/>
        <w:spacing w:before="280" w:after="120"/>
      </w:pPr>
      <w:r>
        <w:rPr>
          <w:rFonts w:ascii="Calibri" w:hAnsi="Calibri"/>
          <w:b/>
          <w:color w:val="1A1A1A"/>
          <w:sz w:val="26"/>
        </w:rPr>
        <w:t>Lifetime Value</w:t>
        <w:br/>
        <w:t>(LTV)</w:t>
      </w:r>
    </w:p>
    <w:p>
      <w:pPr>
        <w:spacing w:after="120" w:line="312" w:lineRule="auto"/>
      </w:pPr>
      <w:r>
        <w:rPr>
          <w:rFonts w:ascii="Calibri" w:hAnsi="Calibri" w:eastAsia="Calibri"/>
          <w:b w:val="0"/>
          <w:i w:val="0"/>
          <w:color w:val="000000"/>
          <w:sz w:val="22"/>
        </w:rPr>
        <w:t>LTV is calculated on a cohort basis. For a Professional-tier Tier 2 buyer with the median profile (1.4 trades/month × US$120,000 avg × 0.20% transaction fee = US$336/month transaction fees + US$100/month subscription + US$35/month escrow + US$35/month contract fees = US$506/month gross revenue), at a 12% annual churn rate, lifetime is 1 ÷ 0.12 = 8.33 years. Discounted lifetime revenue (10% discount rate) = US$506 × 12 × 6.14 (PV annuity factor for 8.33 years at 10%) = US$37,310. Net of platform variable cost per customer (~US$85/month × 12 × 6.14 = US$6,263), LTV = US$37,310 − US$6,263 = US$31,047 per median Professional-tier buyer. Blended across all tiers (Free → Enterprise), cohort-weighted LTV = US$12,400.</w:t>
      </w:r>
    </w:p>
    <w:p>
      <w:pPr>
        <w:pStyle w:val="Heading2"/>
        <w:keepNext/>
        <w:spacing w:before="280" w:after="120"/>
      </w:pPr>
      <w:r>
        <w:rPr>
          <w:rFonts w:ascii="Calibri" w:hAnsi="Calibri"/>
          <w:b/>
          <w:color w:val="1A1A1A"/>
          <w:sz w:val="26"/>
        </w:rPr>
        <w:t>LTV:CAC</w:t>
        <w:br/>
        <w:t>Ratio</w:t>
      </w:r>
    </w:p>
    <w:p>
      <w:pPr>
        <w:spacing w:after="120" w:line="312" w:lineRule="auto"/>
      </w:pPr>
      <w:r>
        <w:rPr>
          <w:rFonts w:ascii="Calibri" w:hAnsi="Calibri" w:eastAsia="Calibri"/>
          <w:b w:val="0"/>
          <w:i w:val="0"/>
          <w:color w:val="000000"/>
          <w:sz w:val="22"/>
        </w:rPr>
        <w:t>Using blended LTV of US$12,400 against CAC of US$847 per paying member, LTV:CAC = 14.6:1. This is well above the 3:1 minimum threshold an investor expects. The ratio is, however, sensitive to the churn assumption: at 20% churn (vs 12% modeled), LTV drops to US$7,440 and LTV:CAC falls to 8.8:1 — still healthy but no longer best-in-class. The PM should treat any sustained increase in observed churn above 18% as a red-flag trigger for a customer-success intervention.</w:t>
      </w:r>
    </w:p>
    <w:p>
      <w:pPr>
        <w:keepNext/>
        <w:spacing w:before="200" w:after="80"/>
      </w:pPr>
      <w:r>
        <w:rPr>
          <w:rFonts w:ascii="Calibri" w:hAnsi="Calibri" w:eastAsia="Calibri"/>
          <w:b/>
          <w:i w:val="0"/>
          <w:color w:val="1A1A1A"/>
          <w:sz w:val="22"/>
        </w:rPr>
        <w:t>Table 3.6. Key Financial Metrics — Summary</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Metric</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Value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Target / Benchmark</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Status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CAC (per paying member)</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US$847</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LTV (blended cohort)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US$12,400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LTV:CAC ratio</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14.6 : 1</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3 : 1</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Pass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CAC payback period</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8.2 months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12 months</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Pass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Annual churn (blended)</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12%</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15%</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Pass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Net Revenue Retention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110%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100%</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Pass</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Break-even month</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22 (Q4 2029)</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 Month 24</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Pass</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5-year cumulative net revenue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US$8.7M</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5-year cumulative OpEx</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US$4.4M</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5-year cumulative CapEx + OpEx</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US$4.86M</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5-year net contribution (Smart Innovations share)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US$4.05M</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w:t>
            </w:r>
          </w:p>
        </w:tc>
      </w:tr>
    </w:tbl>
    <w:p>
      <w:pPr>
        <w:spacing w:after="40"/>
      </w:pPr>
    </w:p>
    <w:p>
      <w:pPr>
        <w:spacing w:before="40" w:after="200" w:line="312" w:lineRule="auto"/>
      </w:pPr>
      <w:r>
        <w:rPr>
          <w:rFonts w:ascii="Calibri" w:hAnsi="Calibri" w:eastAsia="Calibri"/>
          <w:b/>
          <w:i w:val="0"/>
          <w:color w:val="4A4A4A"/>
          <w:sz w:val="20"/>
        </w:rPr>
        <w:t>Table 3.6.</w:t>
      </w:r>
      <w:r>
        <w:rPr>
          <w:rFonts w:ascii="Calibri" w:hAnsi="Calibri" w:eastAsia="Calibri"/>
          <w:b w:val="0"/>
          <w:i/>
          <w:color w:val="4A4A4A"/>
          <w:sz w:val="20"/>
        </w:rPr>
        <w:t>All four primary investor metrics (LTV:CAC, CAC payback, churn, NRR) pass threshold. Break-even at month 22 (Q4 2029, reflecting the revised Q3 2027 launch) leaves a 2-month buffer to the 24-month target.</w:t>
      </w:r>
    </w:p>
    <w:p>
      <w:pPr>
        <w:pStyle w:val="Heading2"/>
        <w:keepNext/>
        <w:spacing w:before="280" w:after="120"/>
      </w:pPr>
      <w:r>
        <w:rPr>
          <w:rFonts w:ascii="Calibri" w:hAnsi="Calibri"/>
          <w:b/>
          <w:color w:val="1A1A1A"/>
          <w:sz w:val="26"/>
        </w:rPr>
        <w:t>CAC Payback</w:t>
        <w:br/>
        <w:t>Period</w:t>
      </w:r>
    </w:p>
    <w:p>
      <w:pPr>
        <w:spacing w:after="120" w:line="312" w:lineRule="auto"/>
      </w:pPr>
      <w:r>
        <w:rPr>
          <w:rFonts w:ascii="Calibri" w:hAnsi="Calibri" w:eastAsia="Calibri"/>
          <w:b w:val="0"/>
          <w:i w:val="0"/>
          <w:color w:val="000000"/>
          <w:sz w:val="22"/>
        </w:rPr>
        <w:t>CAC payback = CAC ÷ (monthly gross profit per customer). Monthly gross profit per paying member = US$506 (revenue) − US$85 (variable cost) = US$421. CAC payback = US$847 ÷ US$421 = 2.0 months per paying member, or 8.2 months on a blended-across-all-tiers basis (because Free-tier members incur support cost without contributing revenue). The 8.2-month blended payback is the figure that matters because the model assumes ~29% of members are paying (73 of 250 in Year 1).</w:t>
      </w:r>
    </w:p>
    <w:p>
      <w:pPr>
        <w:pStyle w:val="Heading2"/>
        <w:keepNext/>
        <w:spacing w:before="280" w:after="120"/>
      </w:pPr>
      <w:r>
        <w:rPr>
          <w:rFonts w:ascii="Calibri" w:hAnsi="Calibri"/>
          <w:b/>
          <w:color w:val="1A1A1A"/>
          <w:sz w:val="26"/>
        </w:rPr>
        <w:t>Break-Even</w:t>
        <w:br/>
        <w:t>Analysis</w:t>
      </w:r>
    </w:p>
    <w:p>
      <w:pPr>
        <w:spacing w:after="120" w:line="312" w:lineRule="auto"/>
      </w:pPr>
      <w:r>
        <w:rPr>
          <w:rFonts w:ascii="Calibri" w:hAnsi="Calibri" w:eastAsia="Calibri"/>
          <w:b w:val="0"/>
          <w:i w:val="0"/>
          <w:color w:val="000000"/>
          <w:sz w:val="22"/>
        </w:rPr>
        <w:t>Break-even is reached when monthly revenue equals monthly OpEx. Month 6 post-launch stabilized OpEx is US$42,620. Monthly revenue reaches US$42,620 at approximately month 22 (Q4 2029, given a Q3 2027 launch), driven by the trade-volume ramp in Table 3.5. The 18-month OpEx runway is therefore insufficient by approximately 4 months; a US$170,000 bridge (4 × US$42,620) is required between month 18 and month 22. This bridge is the explicit subject of the planned Series A round in month 18.</w:t>
      </w:r>
    </w:p>
    <w:p>
      <w:pPr>
        <w:keepNext/>
        <w:spacing w:before="200" w:after="80"/>
      </w:pPr>
      <w:r>
        <w:rPr>
          <w:rFonts w:ascii="Calibri" w:hAnsi="Calibri" w:eastAsia="Calibri"/>
          <w:b/>
          <w:i w:val="0"/>
          <w:color w:val="1A1A1A"/>
          <w:sz w:val="22"/>
        </w:rPr>
        <w:t>Table 3.7. Break-Even Trajectory (Monthly) — Indexed to Q3</w:t>
        <w:br/>
        <w:t>2027 Launch</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1502"/>
        <w:gridCol w:w="1502"/>
        <w:gridCol w:w="1502"/>
        <w:gridCol w:w="1502"/>
        <w:gridCol w:w="1502"/>
        <w:gridCol w:w="1502"/>
      </w:tblGrid>
      <w:tr>
        <w:trPr>
          <w:cantSplit/>
        </w:trPr>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Month Post-Launch</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Calendar Quarter</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Monthly Net Revenue (US$)</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Monthly OpEx (US$)</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Net Monthly (US$)</w:t>
            </w:r>
          </w:p>
        </w:tc>
        <w:tc>
          <w:tcPr>
            <w:tcW w:type="dxa" w:w="1512"/>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Cumulative (US$)</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3</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Q4 2027</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12,400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32,800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(20,400)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(61,200)</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6</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Q1 2028</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28,900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42,620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(13,720)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(102,920)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9</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Q2 2028</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44,200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43,800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(102,520)</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12 (Y1 end)</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Q3 2028</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61,500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45,200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16,300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(86,220)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15</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Q4 2028</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82,400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46,800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35,600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(50,620)</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18 (runway end)</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Q1 2029</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108,300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48,400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59,900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9,280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Month 22 — BREAK-EVEN</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Q3 2029</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162,800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47,200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115,600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000000"/>
                <w:sz w:val="20"/>
              </w:rPr>
              <w:t>0 (cumulative = 0)</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24 (Y2 end)</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Q3 2029</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189,600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48,000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141,600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278,400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36 (Y3 end)</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Q3 2030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305,600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52,000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253,600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1,820,400</w:t>
            </w:r>
          </w:p>
        </w:tc>
      </w:tr>
      <w:tr>
        <w:trPr>
          <w:cantSplit/>
        </w:trPr>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48 (Y4 end)</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Q3 2031</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423,300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58,000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365,300</w:t>
            </w:r>
          </w:p>
        </w:tc>
        <w:tc>
          <w:tcPr>
            <w:tcW w:type="dxa" w:w="1512"/>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5,935,200</w:t>
            </w:r>
          </w:p>
        </w:tc>
      </w:tr>
      <w:tr>
        <w:trPr>
          <w:cantSplit/>
        </w:trPr>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 60 (Y5 end)</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Q3 2032</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515,950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65,000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450,950</w:t>
            </w:r>
          </w:p>
        </w:tc>
        <w:tc>
          <w:tcPr>
            <w:tcW w:type="dxa" w:w="1512"/>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11,647,800</w:t>
            </w:r>
          </w:p>
        </w:tc>
      </w:tr>
    </w:tbl>
    <w:p>
      <w:pPr>
        <w:spacing w:after="40"/>
      </w:pPr>
    </w:p>
    <w:p>
      <w:pPr>
        <w:spacing w:before="40" w:after="200" w:line="312" w:lineRule="auto"/>
      </w:pPr>
      <w:r>
        <w:rPr>
          <w:rFonts w:ascii="Calibri" w:hAnsi="Calibri" w:eastAsia="Calibri"/>
          <w:b/>
          <w:i w:val="0"/>
          <w:color w:val="4A4A4A"/>
          <w:sz w:val="20"/>
        </w:rPr>
        <w:t>Table 3.7.</w:t>
      </w:r>
      <w:r>
        <w:rPr>
          <w:rFonts w:ascii="Calibri" w:hAnsi="Calibri" w:eastAsia="Calibri"/>
          <w:b w:val="0"/>
          <w:i/>
          <w:color w:val="4A4A4A"/>
          <w:sz w:val="20"/>
        </w:rPr>
        <w:t>Break-even at month 22 (Q3 2029) given a Q3 2027 launch. Calendar quarters are now indexed explicitly to remove the date ambiguity flagged in the prior version.</w:t>
      </w:r>
    </w:p>
    <w:p>
      <w:pPr>
        <w:pStyle w:val="Heading2"/>
        <w:keepNext/>
        <w:spacing w:before="280" w:after="120"/>
      </w:pPr>
      <w:r>
        <w:rPr>
          <w:rFonts w:ascii="Calibri" w:hAnsi="Calibri"/>
          <w:b/>
          <w:color w:val="1A1A1A"/>
          <w:sz w:val="26"/>
        </w:rPr>
        <w:t>Cost of Doing</w:t>
        <w:br/>
        <w:t>Nothing</w:t>
      </w:r>
    </w:p>
    <w:p>
      <w:pPr>
        <w:spacing w:after="120" w:line="312" w:lineRule="auto"/>
      </w:pPr>
      <w:r>
        <w:rPr>
          <w:rFonts w:ascii="Calibri" w:hAnsi="Calibri" w:eastAsia="Calibri"/>
          <w:b w:val="0"/>
          <w:i w:val="0"/>
          <w:color w:val="000000"/>
          <w:sz w:val="22"/>
        </w:rPr>
        <w:t>The Cost of Doing Nothing is the opportunity cost and competitive risk of not building AurumXchange. Three components: (i) the Chamber's lost 30% revenue share — at the modeled Year-5 net revenue of US$6.19M, the Chamber would forgo US$1.86M in Year 5 alone and approximately US$5.4M cumulatively over 5 years; (ii) continued overpayment by Tier 2 buyers due to price opacity — at the modeled 1-in-4 trades overpaying by an average of US$2,500/kg, and at the Year-5 trade volume of 1,085 trades/month averaging 1.8 kg per trade, the buyer community forgoes approximately US$1.8M per month in overpayment, or US$21.6M annually; (iii) regulatory and reputational risk: Ghana's FATF grey-list history and the April 2025 GoldBod Act 1140 transition create a narrow window in which a credible digital exchange can lock in market position before international competitors or a government-run platform occupies the space. A failure to launch within 18 months likely cedes the position to either a regional competitor (e.g., a South African or UAE exchange expanding into Ghana) or to GoldBod's own digital platform once Act 1140 implementation matures. The conservative 5-year Cost of Doing Nothing is therefore approximately US$30–50M in direct opportunity cost, plus an unbounded strategic risk of being shut out of Ghana's gold formalization wave — a wave that lifted 2024 export revenue to US$11.64B [CGTN Africa, 2025]. This dwarfs the US$4.86M total CapEx + OpEx investment required to build AurumXchange.</w:t>
      </w:r>
    </w:p>
    <w:p>
      <w:pPr>
        <w:pStyle w:val="Heading1"/>
        <w:keepNext/>
        <w:spacing w:before="360" w:after="160"/>
      </w:pPr>
      <w:r>
        <w:rPr>
          <w:rFonts w:ascii="Calibri" w:hAnsi="Calibri"/>
          <w:b/>
          <w:color w:val="C9A84C"/>
          <w:sz w:val="32"/>
        </w:rPr>
        <w:t>F. Budget</w:t>
        <w:br/>
        <w:t>Tracking &amp; Governance</w:t>
      </w:r>
    </w:p>
    <w:p>
      <w:pPr>
        <w:spacing w:after="120" w:line="312" w:lineRule="auto"/>
      </w:pPr>
      <w:r>
        <w:rPr>
          <w:rFonts w:ascii="Calibri" w:hAnsi="Calibri" w:eastAsia="Calibri"/>
          <w:b w:val="0"/>
          <w:i w:val="0"/>
          <w:color w:val="000000"/>
          <w:sz w:val="22"/>
        </w:rPr>
        <w:t>Budget governance is the mechanism that prevents the CapEx and OpEx numbers in this document from becoming aspirational rather than actual. Three layers of control are required: planned-vs-actual tracking at the line-item level, burn-rate-against-timeline tracking at the project level, and a change-control threshold that requires sponsor re-approval when variance exceeds 10%. The GoldBod Act 1140 integration is a specific watchpoint: if the GoldBod API specification changes during the build window (a non-trivial risk given the recency of the Act), the corresponding US$12,500 incremental in CapEx Table 3.1 may need to be revised, triggering change control.</w:t>
      </w:r>
    </w:p>
    <w:p>
      <w:pPr>
        <w:keepNext/>
        <w:spacing w:before="200" w:after="80"/>
      </w:pPr>
      <w:r>
        <w:rPr>
          <w:rFonts w:ascii="Calibri" w:hAnsi="Calibri" w:eastAsia="Calibri"/>
          <w:b/>
          <w:i w:val="0"/>
          <w:color w:val="1A1A1A"/>
          <w:sz w:val="22"/>
        </w:rPr>
        <w:t>Table 3.8. Budget Tracking &amp; Governance</w:t>
        <w:br/>
        <w:t>Mechanism</w:t>
      </w:r>
    </w:p>
    <w:tbl>
      <w:tblPr>
        <w:tblW w:type="auto" w:w="0"/>
        <w:jc w:val="center"/>
        <w:tblLayout w:type="fixed"/>
        <w:tblLook w:firstColumn="1" w:firstRow="1" w:lastColumn="0" w:lastRow="0" w:noHBand="0" w:noVBand="1" w:val="04A0"/>
        <w:tblBorders>
          <w:top w:val="single" w:sz="4" w:color="DDD5C0"/>
          <w:left w:val="single" w:sz="4" w:color="DDD5C0"/>
          <w:bottom w:val="single" w:sz="4" w:color="DDD5C0"/>
          <w:right w:val="single" w:sz="4" w:color="DDD5C0"/>
          <w:insideH w:val="single" w:sz="4" w:color="DDD5C0"/>
          <w:insideV w:val="single" w:sz="4" w:color="DDD5C0"/>
        </w:tblBorders>
      </w:tblPr>
      <w:tblGrid>
        <w:gridCol w:w="2254"/>
        <w:gridCol w:w="2254"/>
        <w:gridCol w:w="2254"/>
        <w:gridCol w:w="2254"/>
      </w:tblGrid>
      <w:tr>
        <w:trPr>
          <w:cantSplit/>
        </w:trPr>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Mechanism</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Cadence</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Owner</w:t>
            </w:r>
          </w:p>
        </w:tc>
        <w:tc>
          <w:tcPr>
            <w:tcW w:type="dxa" w:w="2268"/>
            <w:vAlign w:val="top"/>
            <w:shd w:val="clear" w:color="auto" w:fill="C9A84C"/>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i w:val="0"/>
                <w:color w:val="1A1A1A"/>
                <w:sz w:val="20"/>
              </w:rPr>
              <w:t>Action Threshold</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Planned vs actual spend (per CapEx line item)</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Monthly</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PM + Finance Controller</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Variance &gt; 10% → PM flags; &gt; 20% → sponsor re-approval</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Burn rate vs timeline (cumulative CapEx)</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Monthly steering committee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CTO + Sponsor</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If cumulative burn &gt; 110% of plan at any milestone → scope review</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OpEx variance (post-launch)</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Monthly</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 of Product + Finance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Variance &gt; 15% for 2 consecutive months → sponsor notification</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Change control — scope addition</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request</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Sponsor + PM</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Any scope addition &gt; US$10K CapEx → sponsor sign-off required</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Change control — date slip</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request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Sponsor + PM</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Any milestone slip &gt; 2 weeks → sponsor sign-off + revised Financial Doc</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GoldBod Act 1140 regulatory change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regulatory update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PM + External Counsel</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Any GoldBod API specification change → immediate sponsor notification + scope review</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Contingency drawdown</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Per request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PM only</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PM may draw up to US$20K without sponsor approval; above US$20K requires sponsor</w:t>
            </w:r>
          </w:p>
        </w:tc>
      </w:tr>
      <w:tr>
        <w:trPr>
          <w:cantSplit/>
        </w:trPr>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Revenue model refresh</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Quarterly</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Head of Product + Finance</w:t>
            </w:r>
          </w:p>
        </w:tc>
        <w:tc>
          <w:tcPr>
            <w:tcW w:type="dxa" w:w="2268"/>
            <w:vAlign w:val="top"/>
            <w:shd w:val="clear" w:color="auto" w:fill="F5F2E8"/>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If actual members &gt; 20% below projection → re-run break-even model</w:t>
            </w:r>
          </w:p>
        </w:tc>
      </w:tr>
      <w:tr>
        <w:trPr>
          <w:cantSplit/>
        </w:trPr>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Compliance incident</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Immediate</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CTO + Sponsor</w:t>
            </w:r>
          </w:p>
        </w:tc>
        <w:tc>
          <w:tcPr>
            <w:tcW w:type="dxa" w:w="2268"/>
            <w:vAlign w:val="top"/>
            <w:tcBorders>
              <w:top w:val="single" w:sz="4" w:color="DDD5C0"/>
              <w:left w:val="single" w:sz="4" w:color="DDD5C0"/>
              <w:bottom w:val="single" w:sz="4" w:color="DDD5C0"/>
              <w:right w:val="single" w:sz="4" w:color="DDD5C0"/>
            </w:tcBorders>
            <w:tcMar>
              <w:top w:w="80" w:type="dxa"/>
              <w:left w:w="120" w:type="dxa"/>
              <w:bottom w:w="80" w:type="dxa"/>
              <w:right w:w="120" w:type="dxa"/>
            </w:tcMar>
          </w:tcPr>
          <w:p>
            <w:pPr>
              <w:spacing w:before="40" w:after="40" w:line="288" w:lineRule="auto"/>
            </w:pPr>
            <w:r/>
            <w:r>
              <w:rPr>
                <w:rFonts w:ascii="Calibri" w:hAnsi="Calibri" w:eastAsia="Calibri"/>
                <w:b w:val="0"/>
                <w:i w:val="0"/>
                <w:color w:val="000000"/>
                <w:sz w:val="20"/>
              </w:rPr>
              <w:t>Any SOC 2 / ISO 27001 / DPA 2012 / GoldBod compliance incident → 24-hour sponsor notification</w:t>
            </w:r>
          </w:p>
        </w:tc>
      </w:tr>
    </w:tbl>
    <w:p>
      <w:pPr>
        <w:spacing w:after="40"/>
      </w:pPr>
    </w:p>
    <w:p>
      <w:pPr>
        <w:spacing w:before="40" w:after="200" w:line="312" w:lineRule="auto"/>
      </w:pPr>
      <w:r>
        <w:rPr>
          <w:rFonts w:ascii="Calibri" w:hAnsi="Calibri" w:eastAsia="Calibri"/>
          <w:b/>
          <w:i w:val="0"/>
          <w:color w:val="4A4A4A"/>
          <w:sz w:val="20"/>
        </w:rPr>
        <w:t>Table 3.8.</w:t>
      </w:r>
      <w:r>
        <w:rPr>
          <w:rFonts w:ascii="Calibri" w:hAnsi="Calibri" w:eastAsia="Calibri"/>
          <w:b w:val="0"/>
          <w:i/>
          <w:color w:val="4A4A4A"/>
          <w:sz w:val="20"/>
        </w:rPr>
        <w:t>Nine control mechanisms. The 10% variance threshold is the single most important — it is the trigger that converts a budgeting exercise into a governance discipline. GoldBod regulatory change is now an explicit watchpoint.</w:t>
      </w:r>
    </w:p>
    <w:p>
      <w:pPr>
        <w:spacing w:after="120" w:line="312" w:lineRule="auto"/>
      </w:pPr>
      <w:r>
        <w:rPr>
          <w:rFonts w:ascii="Calibri" w:hAnsi="Calibri" w:eastAsia="Calibri"/>
          <w:b w:val="0"/>
          <w:i w:val="0"/>
          <w:color w:val="000000"/>
          <w:sz w:val="22"/>
        </w:rPr>
        <w:t>The practical workflow is as follows: at the end of each calendar month, the Finance Controller produces a planned-vs-actual variance report at the line-item level (Table 3.1 categories) and at the OpEx category level (Table 3.2 categories). The PM reviews variances against the 10% threshold and produces a one-page variance commentary. Any variance above 10% triggers a root-cause analysis and, if structural rather than one-off, a change-control request to the Sponsor. The Sponsor has authority to approve changes up to US$50K cumulative variance without escalating to the Steering Committee; changes above US$50K require Steering Committee approval. This governance model is the same model used in the Project Charter's Authorization section.</w:t>
      </w:r>
    </w:p>
    <w:sectPr w:rsidR="00FC693F" w:rsidRPr="0006063C" w:rsidSect="00034616">
      <w:footerReference w:type="default" r:id="rId9"/>
      <w:headerReference w:type="default" r:id="rId10"/>
      <w:pgSz w:w="11906" w:h="16838"/>
      <w:pgMar w:top="1417" w:right="130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87078"/>
        <w:sz w:val="18"/>
      </w:rPr>
      <w:fldChar w:fldCharType="begin"/>
      <w:instrText>PAGE \* MERGEFORMAT</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i/>
        <w:color w:val="687078"/>
        <w:sz w:val="18"/>
      </w:rPr>
      <w:t>AurumXchange Business 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