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Height w:val="16838" w:hRule="exact"/>
        </w:trPr>
        <w:tc>
          <w:tcPr>
            <w:tcW w:type="pct" w:w="100%"/>
            <w:shd w:fill="1A2B4A" w:val="clear"/>
            <w:tcMar>
              <w:top w:type="dxa" w:w="0"/>
              <w:left w:type="dxa" w:w="1200"/>
              <w:bottom w:type="dxa" w:w="0"/>
              <w:right w:type="dxa" w:w="1200"/>
            </w:tcMar>
            <w:vAlign w:val="top"/>
          </w:tcPr>
          <w:p>
            <w:pPr>
              <w:pBdr>
                <w:bottom w:val="single" w:color="B8860B" w:sz="24" w:space="1"/>
              </w:pBdr>
              <w:spacing w:after="0" w:before="1800"/>
            </w:pPr>
            <w:r>
              <w:rPr>
                <w:color w:val="B8860B"/>
                <w:sz w:val="2"/>
                <w:szCs w:val="2"/>
              </w:rPr>
              <w:t xml:space="preserve"/>
            </w:r>
          </w:p>
          <w:p>
            <w:pPr>
              <w:spacing w:after="240" w:before="600"/>
            </w:pPr>
            <w:r>
              <w:rPr>
                <w:rFonts w:ascii="Calibri" w:eastAsia="Calibri"/>
                <w:b/>
                <w:bCs/>
                <w:color w:val="D1B97A"/>
                <w:spacing w:val="60"/>
                <w:sz w:val="18"/>
                <w:szCs w:val="18"/>
              </w:rPr>
              <w:t xml:space="preserve">PROJECT DOCUMENTATION SUITE  •  VERSION 1.0</w:t>
            </w:r>
          </w:p>
          <w:p>
            <w:pPr>
              <w:spacing w:after="120" w:before="0" w:line="800" w:lineRule="atLeast"/>
            </w:pPr>
            <w:r>
              <w:rPr>
                <w:rFonts w:ascii="Calibri" w:eastAsia="Calibri"/>
                <w:b/>
                <w:bCs/>
                <w:color w:val="FFFFFF"/>
                <w:sz w:val="84"/>
                <w:szCs w:val="84"/>
              </w:rPr>
              <w:t xml:space="preserve">Ghana Gold</w:t>
            </w:r>
          </w:p>
          <w:p>
            <w:pPr>
              <w:spacing w:after="480" w:before="0" w:line="800" w:lineRule="atLeast"/>
            </w:pPr>
            <w:r>
              <w:rPr>
                <w:rFonts w:ascii="Calibri" w:eastAsia="Calibri"/>
                <w:b/>
                <w:bCs/>
                <w:color w:val="B8860B"/>
                <w:sz w:val="84"/>
                <w:szCs w:val="84"/>
              </w:rPr>
              <w:t xml:space="preserve">Exchange Platform</w:t>
            </w:r>
          </w:p>
          <w:p>
            <w:pPr>
              <w:spacing w:after="200" w:before="0" w:line="480" w:lineRule="atLeast"/>
            </w:pPr>
            <w:r>
              <w:rPr>
                <w:rFonts w:ascii="Calibri" w:eastAsia="Calibri"/>
                <w:color w:val="D1B97A"/>
                <w:sz w:val="28"/>
                <w:szCs w:val="28"/>
              </w:rPr>
              <w:t xml:space="preserve">Digital Trading Infrastructure for the</w:t>
            </w:r>
          </w:p>
          <w:p>
            <w:pPr>
              <w:spacing w:after="1200" w:before="0" w:line="480" w:lineRule="atLeast"/>
            </w:pPr>
            <w:r>
              <w:rPr>
                <w:rFonts w:ascii="Calibri" w:eastAsia="Calibri"/>
                <w:i/>
                <w:iCs/>
                <w:color w:val="D1B97A"/>
                <w:sz w:val="28"/>
                <w:szCs w:val="28"/>
              </w:rPr>
              <w:t xml:space="preserve">Chamber of Gold Buyers</w:t>
            </w:r>
          </w:p>
          <w:p>
            <w:pPr>
              <w:pBdr>
                <w:bottom w:val="single" w:color="D1B97A" w:sz="8" w:space="1"/>
              </w:pBdr>
              <w:spacing w:after="480" w:before="0"/>
            </w:pPr>
            <w:r>
              <w:rPr>
                <w:color w:val="D1B97A"/>
                <w:sz w:val="2"/>
                <w:szCs w:val="2"/>
              </w:rPr>
              <w:t xml:space="preserve"/>
            </w:r>
          </w:p>
          <w:p>
            <w:pPr>
              <w:spacing w:after="120" w:before="0"/>
            </w:pPr>
            <w:r>
              <w:rPr>
                <w:rFonts w:ascii="Calibri" w:eastAsia="Calibri"/>
                <w:b/>
                <w:bCs/>
                <w:color w:val="D1B97A"/>
                <w:spacing w:val="40"/>
                <w:sz w:val="18"/>
                <w:szCs w:val="18"/>
              </w:rPr>
              <w:t xml:space="preserve">PROJECT CODENAME  </w:t>
            </w:r>
            <w:r>
              <w:rPr>
                <w:rFonts w:ascii="Calibri" w:eastAsia="Calibri"/>
                <w:color w:val="FFFFFF"/>
                <w:sz w:val="22"/>
                <w:szCs w:val="22"/>
              </w:rPr>
              <w:t xml:space="preserve">Project Aurum</w:t>
            </w:r>
          </w:p>
          <w:p>
            <w:pPr>
              <w:spacing w:after="120" w:before="0"/>
            </w:pPr>
            <w:r>
              <w:rPr>
                <w:rFonts w:ascii="Calibri" w:eastAsia="Calibri"/>
                <w:b/>
                <w:bCs/>
                <w:color w:val="D1B97A"/>
                <w:spacing w:val="40"/>
                <w:sz w:val="18"/>
                <w:szCs w:val="18"/>
              </w:rPr>
              <w:t xml:space="preserve">PLATFORM NAME  </w:t>
            </w:r>
            <w:r>
              <w:rPr>
                <w:rFonts w:ascii="Calibri" w:eastAsia="Calibri"/>
                <w:color w:val="FFFFFF"/>
                <w:sz w:val="22"/>
                <w:szCs w:val="22"/>
              </w:rPr>
              <w:t xml:space="preserve">AurumX</w:t>
            </w:r>
          </w:p>
          <w:p>
            <w:pPr>
              <w:spacing w:after="120" w:before="0"/>
            </w:pPr>
            <w:r>
              <w:rPr>
                <w:rFonts w:ascii="Calibri" w:eastAsia="Calibri"/>
                <w:b/>
                <w:bCs/>
                <w:color w:val="D1B97A"/>
                <w:spacing w:val="40"/>
                <w:sz w:val="18"/>
                <w:szCs w:val="18"/>
              </w:rPr>
              <w:t xml:space="preserve">SPONSOR  </w:t>
            </w:r>
            <w:r>
              <w:rPr>
                <w:rFonts w:ascii="Calibri" w:eastAsia="Calibri"/>
                <w:color w:val="FFFFFF"/>
                <w:sz w:val="22"/>
                <w:szCs w:val="22"/>
              </w:rPr>
              <w:t xml:space="preserve">Ghana Chamber of Gold Buyers</w:t>
            </w:r>
          </w:p>
          <w:p>
            <w:pPr>
              <w:spacing w:after="120" w:before="0"/>
            </w:pPr>
            <w:r>
              <w:rPr>
                <w:rFonts w:ascii="Calibri" w:eastAsia="Calibri"/>
                <w:b/>
                <w:bCs/>
                <w:color w:val="D1B97A"/>
                <w:spacing w:val="40"/>
                <w:sz w:val="18"/>
                <w:szCs w:val="18"/>
              </w:rPr>
              <w:t xml:space="preserve">TECHNOLOGY PARTNER  </w:t>
            </w:r>
            <w:r>
              <w:rPr>
                <w:rFonts w:ascii="Calibri" w:eastAsia="Calibri"/>
                <w:color w:val="FFFFFF"/>
                <w:sz w:val="22"/>
                <w:szCs w:val="22"/>
              </w:rPr>
              <w:t xml:space="preserve">Vanta Technologies Ltd.</w:t>
            </w:r>
          </w:p>
          <w:p>
            <w:pPr>
              <w:spacing w:after="120" w:before="0"/>
            </w:pPr>
            <w:r>
              <w:rPr>
                <w:rFonts w:ascii="Calibri" w:eastAsia="Calibri"/>
                <w:b/>
                <w:bCs/>
                <w:color w:val="D1B97A"/>
                <w:spacing w:val="40"/>
                <w:sz w:val="18"/>
                <w:szCs w:val="18"/>
              </w:rPr>
              <w:t xml:space="preserve">COMMERCIAL MODEL  </w:t>
            </w:r>
            <w:r>
              <w:rPr>
                <w:rFonts w:ascii="Calibri" w:eastAsia="Calibri"/>
                <w:color w:val="FFFFFF"/>
                <w:sz w:val="22"/>
                <w:szCs w:val="22"/>
              </w:rPr>
              <w:t xml:space="preserve">SaaS with Revenue Sharing (70/30)</w:t>
            </w:r>
          </w:p>
          <w:p>
            <w:pPr>
              <w:spacing w:after="0" w:before="0"/>
            </w:pPr>
            <w:r>
              <w:rPr>
                <w:rFonts w:ascii="Calibri" w:eastAsia="Calibri"/>
                <w:b/>
                <w:bCs/>
                <w:color w:val="D1B97A"/>
                <w:spacing w:val="40"/>
                <w:sz w:val="18"/>
                <w:szCs w:val="18"/>
              </w:rPr>
              <w:t xml:space="preserve">AUTHORIZATION DATE  </w:t>
            </w:r>
            <w:r>
              <w:rPr>
                <w:rFonts w:ascii="Calibri" w:eastAsia="Calibri"/>
                <w:color w:val="FFFFFF"/>
                <w:sz w:val="22"/>
                <w:szCs w:val="22"/>
              </w:rPr>
              <w:t xml:space="preserve">15 August 2026</w:t>
            </w:r>
          </w:p>
          <w:p>
            <w:pPr>
              <w:pBdr>
                <w:top w:val="single" w:color="B8860B" w:sz="24" w:space="1"/>
              </w:pBdr>
              <w:spacing w:after="0" w:before="1800"/>
            </w:pPr>
            <w:r>
              <w:rPr>
                <w:color w:val="B8860B"/>
                <w:sz w:val="2"/>
                <w:szCs w:val="2"/>
              </w:rPr>
              <w:t xml:space="preserve"/>
            </w:r>
          </w:p>
          <w:p>
            <w:pPr>
              <w:spacing w:after="0" w:before="240"/>
              <w:jc w:val="center"/>
            </w:pPr>
            <w:r>
              <w:rPr>
                <w:rFonts w:ascii="Calibri" w:eastAsia="Calibri"/>
                <w:b/>
                <w:bCs/>
                <w:color w:val="D1B97A"/>
                <w:spacing w:val="80"/>
                <w:sz w:val="16"/>
                <w:szCs w:val="16"/>
              </w:rPr>
              <w:t xml:space="preserve">CONFIDENTIAL  •  CHAMBER &amp; VENDOR INTERNAL</w:t>
            </w:r>
          </w:p>
        </w:tc>
      </w:tr>
    </w:tbl>
    <w:p>
      <w:pPr>
        <w:sectPr>
          <w:pgSz w:w="11906" w:h="16838" w:orient="portrait"/>
          <w:pgMar w:top="0" w:right="0" w:bottom="0" w:left="0" w:header="708" w:footer="708" w:gutter="0"/>
          <w:pgNumType/>
          <w:docGrid w:linePitch="360"/>
        </w:sectPr>
      </w:pPr>
    </w:p>
    <w:p>
      <w:pPr>
        <w:spacing w:after="360" w:before="240"/>
        <w:jc w:val="left"/>
      </w:pPr>
      <w:r>
        <w:rPr>
          <w:rFonts w:ascii="Calibri" w:eastAsia="Calibri"/>
          <w:b/>
          <w:bCs/>
          <w:color w:val="1A2B4A"/>
          <w:spacing w:val="40"/>
          <w:sz w:val="40"/>
          <w:szCs w:val="40"/>
        </w:rPr>
        <w:t xml:space="preserve">TABLE OF CONTENTS</w:t>
      </w:r>
    </w:p>
    <w:p>
      <w:pPr>
        <w:pBdr>
          <w:bottom w:val="single" w:color="B8860B" w:sz="12" w:space="1"/>
        </w:pBdr>
        <w:spacing w:after="480" w:before="0"/>
      </w:pPr>
      <w:r>
        <w:rPr>
          <w:sz w:val="2"/>
          <w:szCs w:val="2"/>
        </w:rPr>
        <w:t xml:space="preserve"/>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Document 1 — Project Charter</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Project Information</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Executive Summary</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Business Case &amp; SMART Objectives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Project Scope</w:t>
            </w:r>
            <w:r>
              <w:tab/>
            </w:r>
            <w:r>
              <w:fldChar w:fldCharType="begin"/>
            </w:r>
            <w:r>
              <w:instrText xml:space="preserve"> PAGEREF _Toc100004 \h </w:instrText>
            </w:r>
            <w:r>
              <w:fldChar w:fldCharType="separate"/>
            </w:r>
            <w:r>
              <w:t>3</w:t>
            </w:r>
            <w:r>
              <w:fldChar w:fldCharType="end"/>
            </w:r>
          </w:hyperlink>
        </w:p>
        <w:p>
          <w:pPr>
            <w:pStyle w:val="12"/>
            <w:ind w:left="720"/>
            <w:tabs>
              <w:tab w:val="right" w:leader="dot" w:pos="9026"/>
            </w:tabs>
            <w:spacing w:before="120" w:after="60"/>
          </w:pPr>
          <w:hyperlink w:anchor="_Toc100005" w:history="1">
            <w:r>
              <w:rPr>
                <w:rStyle w:val="Hyperlink"/>
              </w:rPr>
              <w:t>In-Scope</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Out-of-Scope (Explicit)</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1.5 High-Level Timeline</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1.6 Budget &amp; Resources</w:t>
            </w:r>
            <w:r>
              <w:tab/>
            </w:r>
            <w:r>
              <w:fldChar w:fldCharType="begin"/>
            </w:r>
            <w:r>
              <w:instrText xml:space="preserve"> PAGEREF _Toc100008 \h </w:instrText>
            </w:r>
            <w:r>
              <w:fldChar w:fldCharType="separate"/>
            </w:r>
            <w:r>
              <w:t>3</w:t>
            </w:r>
            <w:r>
              <w:fldChar w:fldCharType="end"/>
            </w:r>
          </w:hyperlink>
        </w:p>
        <w:p>
          <w:pPr>
            <w:pStyle w:val="12"/>
            <w:ind w:left="720"/>
            <w:tabs>
              <w:tab w:val="right" w:leader="dot" w:pos="9026"/>
            </w:tabs>
            <w:spacing w:before="120" w:after="60"/>
          </w:pPr>
          <w:hyperlink w:anchor="_Toc100009" w:history="1">
            <w:r>
              <w:rPr>
                <w:rStyle w:val="Hyperlink"/>
              </w:rPr>
              <w:t>High-Level Cost Estimate (Vendor Side, Year 1)</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Team Composition</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1.7 RACI Matrix</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1.8 Assumptions, Constraints &amp; Dependencies</w:t>
            </w:r>
            <w:r>
              <w:tab/>
            </w:r>
            <w:r>
              <w:fldChar w:fldCharType="begin"/>
            </w:r>
            <w:r>
              <w:instrText xml:space="preserve"> PAGEREF _Toc100012 \h </w:instrText>
            </w:r>
            <w:r>
              <w:fldChar w:fldCharType="separate"/>
            </w:r>
            <w:r>
              <w:t>4</w:t>
            </w:r>
            <w:r>
              <w:fldChar w:fldCharType="end"/>
            </w:r>
          </w:hyperlink>
        </w:p>
        <w:p>
          <w:pPr>
            <w:pStyle w:val="12"/>
            <w:ind w:left="720"/>
            <w:tabs>
              <w:tab w:val="right" w:leader="dot" w:pos="9026"/>
            </w:tabs>
            <w:spacing w:before="120" w:after="60"/>
          </w:pPr>
          <w:hyperlink w:anchor="_Toc100013" w:history="1">
            <w:r>
              <w:rPr>
                <w:rStyle w:val="Hyperlink"/>
              </w:rPr>
              <w:t>Key Assumptions</w:t>
            </w:r>
            <w:r>
              <w:tab/>
            </w:r>
            <w:r>
              <w:fldChar w:fldCharType="begin"/>
            </w:r>
            <w:r>
              <w:instrText xml:space="preserve"> PAGEREF _Toc100013 \h </w:instrText>
            </w:r>
            <w:r>
              <w:fldChar w:fldCharType="separate"/>
            </w:r>
            <w:r>
              <w:t>4</w:t>
            </w:r>
            <w:r>
              <w:fldChar w:fldCharType="end"/>
            </w:r>
          </w:hyperlink>
        </w:p>
        <w:p>
          <w:pPr>
            <w:pStyle w:val="12"/>
            <w:ind w:left="720"/>
            <w:tabs>
              <w:tab w:val="right" w:leader="dot" w:pos="9026"/>
            </w:tabs>
            <w:spacing w:before="120" w:after="60"/>
          </w:pPr>
          <w:hyperlink w:anchor="_Toc100014" w:history="1">
            <w:r>
              <w:rPr>
                <w:rStyle w:val="Hyperlink"/>
              </w:rPr>
              <w:t>Constraints</w:t>
            </w:r>
            <w:r>
              <w:tab/>
            </w:r>
            <w:r>
              <w:fldChar w:fldCharType="begin"/>
            </w:r>
            <w:r>
              <w:instrText xml:space="preserve"> PAGEREF _Toc100014 \h </w:instrText>
            </w:r>
            <w:r>
              <w:fldChar w:fldCharType="separate"/>
            </w:r>
            <w:r>
              <w:t>4</w:t>
            </w:r>
            <w:r>
              <w:fldChar w:fldCharType="end"/>
            </w:r>
          </w:hyperlink>
        </w:p>
        <w:p>
          <w:pPr>
            <w:pStyle w:val="12"/>
            <w:ind w:left="720"/>
            <w:tabs>
              <w:tab w:val="right" w:leader="dot" w:pos="9026"/>
            </w:tabs>
            <w:spacing w:before="120" w:after="60"/>
          </w:pPr>
          <w:hyperlink w:anchor="_Toc100015" w:history="1">
            <w:r>
              <w:rPr>
                <w:rStyle w:val="Hyperlink"/>
              </w:rPr>
              <w:t>Dependencies</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1.9 High-Level Risks</w:t>
            </w:r>
            <w:r>
              <w:tab/>
            </w:r>
            <w:r>
              <w:fldChar w:fldCharType="begin"/>
            </w:r>
            <w:r>
              <w:instrText xml:space="preserve"> PAGEREF _Toc100016 \h </w:instrText>
            </w:r>
            <w:r>
              <w:fldChar w:fldCharType="separate"/>
            </w:r>
            <w:r>
              <w:t>5</w:t>
            </w:r>
            <w:r>
              <w:fldChar w:fldCharType="end"/>
            </w:r>
          </w:hyperlink>
        </w:p>
        <w:p>
          <w:pPr>
            <w:pStyle w:val="11"/>
            <w:ind w:left="360"/>
            <w:tabs>
              <w:tab w:val="right" w:leader="dot" w:pos="9026"/>
            </w:tabs>
            <w:spacing w:before="120" w:after="60"/>
          </w:pPr>
          <w:hyperlink w:anchor="_Toc100017" w:history="1">
            <w:r>
              <w:rPr>
                <w:rStyle w:val="Hyperlink"/>
              </w:rPr>
              <w:t>1.10 Success Criteria / KPIs</w:t>
            </w:r>
            <w:r>
              <w:tab/>
            </w:r>
            <w:r>
              <w:fldChar w:fldCharType="begin"/>
            </w:r>
            <w:r>
              <w:instrText xml:space="preserve"> PAGEREF _Toc100017 \h </w:instrText>
            </w:r>
            <w:r>
              <w:fldChar w:fldCharType="separate"/>
            </w:r>
            <w:r>
              <w:t>5</w:t>
            </w:r>
            <w:r>
              <w:fldChar w:fldCharType="end"/>
            </w:r>
          </w:hyperlink>
        </w:p>
        <w:p>
          <w:pPr>
            <w:pStyle w:val="9"/>
            <w:tabs>
              <w:tab w:val="right" w:leader="dot" w:pos="9026"/>
            </w:tabs>
            <w:spacing w:before="120" w:after="60"/>
          </w:pPr>
          <w:hyperlink w:anchor="_Toc100018" w:history="1">
            <w:r>
              <w:rPr>
                <w:rStyle w:val="Hyperlink"/>
              </w:rPr>
              <w:t>Document 2 — User Personas</w:t>
            </w:r>
            <w:r>
              <w:tab/>
            </w:r>
            <w:r>
              <w:fldChar w:fldCharType="begin"/>
            </w:r>
            <w:r>
              <w:instrText xml:space="preserve"> PAGEREF _Toc100018 \h </w:instrText>
            </w:r>
            <w:r>
              <w:fldChar w:fldCharType="separate"/>
            </w:r>
            <w:r>
              <w:t>5</w:t>
            </w:r>
            <w:r>
              <w:fldChar w:fldCharType="end"/>
            </w:r>
          </w:hyperlink>
        </w:p>
        <w:p>
          <w:pPr>
            <w:pStyle w:val="11"/>
            <w:ind w:left="360"/>
            <w:tabs>
              <w:tab w:val="right" w:leader="dot" w:pos="9026"/>
            </w:tabs>
            <w:spacing w:before="120" w:after="60"/>
          </w:pPr>
          <w:hyperlink w:anchor="_Toc100019" w:history="1">
            <w:r>
              <w:rPr>
                <w:rStyle w:val="Hyperlink"/>
              </w:rPr>
              <w:t>2.1 Persona 1 — Kwame Asare, Tier 1 Buyer</w:t>
            </w:r>
            <w:r>
              <w:tab/>
            </w:r>
            <w:r>
              <w:fldChar w:fldCharType="begin"/>
            </w:r>
            <w:r>
              <w:instrText xml:space="preserve"> PAGEREF _Toc100019 \h </w:instrText>
            </w:r>
            <w:r>
              <w:fldChar w:fldCharType="separate"/>
            </w:r>
            <w:r>
              <w:t>5</w:t>
            </w:r>
            <w:r>
              <w:fldChar w:fldCharType="end"/>
            </w:r>
          </w:hyperlink>
        </w:p>
        <w:p>
          <w:pPr>
            <w:pStyle w:val="12"/>
            <w:ind w:left="720"/>
            <w:tabs>
              <w:tab w:val="right" w:leader="dot" w:pos="9026"/>
            </w:tabs>
            <w:spacing w:before="120" w:after="60"/>
          </w:pPr>
          <w:hyperlink w:anchor="_Toc100020" w:history="1">
            <w:r>
              <w:rPr>
                <w:rStyle w:val="Hyperlink"/>
              </w:rPr>
              <w:t>Goals</w:t>
            </w:r>
            <w:r>
              <w:tab/>
            </w:r>
            <w:r>
              <w:fldChar w:fldCharType="begin"/>
            </w:r>
            <w:r>
              <w:instrText xml:space="preserve"> PAGEREF _Toc100020 \h </w:instrText>
            </w:r>
            <w:r>
              <w:fldChar w:fldCharType="separate"/>
            </w:r>
            <w:r>
              <w:t>6</w:t>
            </w:r>
            <w:r>
              <w:fldChar w:fldCharType="end"/>
            </w:r>
          </w:hyperlink>
        </w:p>
        <w:p>
          <w:pPr>
            <w:pStyle w:val="12"/>
            <w:ind w:left="720"/>
            <w:tabs>
              <w:tab w:val="right" w:leader="dot" w:pos="9026"/>
            </w:tabs>
            <w:spacing w:before="120" w:after="60"/>
          </w:pPr>
          <w:hyperlink w:anchor="_Toc100021" w:history="1">
            <w:r>
              <w:rPr>
                <w:rStyle w:val="Hyperlink"/>
              </w:rPr>
              <w:t>Pain Points</w:t>
            </w:r>
            <w:r>
              <w:tab/>
            </w:r>
            <w:r>
              <w:fldChar w:fldCharType="begin"/>
            </w:r>
            <w:r>
              <w:instrText xml:space="preserve"> PAGEREF _Toc100021 \h </w:instrText>
            </w:r>
            <w:r>
              <w:fldChar w:fldCharType="separate"/>
            </w:r>
            <w:r>
              <w:t>6</w:t>
            </w:r>
            <w:r>
              <w:fldChar w:fldCharType="end"/>
            </w:r>
          </w:hyperlink>
        </w:p>
        <w:p>
          <w:pPr>
            <w:pStyle w:val="12"/>
            <w:ind w:left="720"/>
            <w:tabs>
              <w:tab w:val="right" w:leader="dot" w:pos="9026"/>
            </w:tabs>
            <w:spacing w:before="120" w:after="60"/>
          </w:pPr>
          <w:hyperlink w:anchor="_Toc100022" w:history="1">
            <w:r>
              <w:rPr>
                <w:rStyle w:val="Hyperlink"/>
              </w:rPr>
              <w:t>Product Implications</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2.2 Persona 2 — Abena Owusu, Tier 2 Buyer</w:t>
            </w:r>
            <w:r>
              <w:tab/>
            </w:r>
            <w:r>
              <w:fldChar w:fldCharType="begin"/>
            </w:r>
            <w:r>
              <w:instrText xml:space="preserve"> PAGEREF _Toc100023 \h </w:instrText>
            </w:r>
            <w:r>
              <w:fldChar w:fldCharType="separate"/>
            </w:r>
            <w:r>
              <w:t>7</w:t>
            </w:r>
            <w:r>
              <w:fldChar w:fldCharType="end"/>
            </w:r>
          </w:hyperlink>
        </w:p>
        <w:p>
          <w:pPr>
            <w:pStyle w:val="12"/>
            <w:ind w:left="720"/>
            <w:tabs>
              <w:tab w:val="right" w:leader="dot" w:pos="9026"/>
            </w:tabs>
            <w:spacing w:before="120" w:after="60"/>
          </w:pPr>
          <w:hyperlink w:anchor="_Toc100024" w:history="1">
            <w:r>
              <w:rPr>
                <w:rStyle w:val="Hyperlink"/>
              </w:rPr>
              <w:t>Goals</w:t>
            </w:r>
            <w:r>
              <w:tab/>
            </w:r>
            <w:r>
              <w:fldChar w:fldCharType="begin"/>
            </w:r>
            <w:r>
              <w:instrText xml:space="preserve"> PAGEREF _Toc100024 \h </w:instrText>
            </w:r>
            <w:r>
              <w:fldChar w:fldCharType="separate"/>
            </w:r>
            <w:r>
              <w:t>7</w:t>
            </w:r>
            <w:r>
              <w:fldChar w:fldCharType="end"/>
            </w:r>
          </w:hyperlink>
        </w:p>
        <w:p>
          <w:pPr>
            <w:pStyle w:val="12"/>
            <w:ind w:left="720"/>
            <w:tabs>
              <w:tab w:val="right" w:leader="dot" w:pos="9026"/>
            </w:tabs>
            <w:spacing w:before="120" w:after="60"/>
          </w:pPr>
          <w:hyperlink w:anchor="_Toc100025" w:history="1">
            <w:r>
              <w:rPr>
                <w:rStyle w:val="Hyperlink"/>
              </w:rPr>
              <w:t>Pain Points</w:t>
            </w:r>
            <w:r>
              <w:tab/>
            </w:r>
            <w:r>
              <w:fldChar w:fldCharType="begin"/>
            </w:r>
            <w:r>
              <w:instrText xml:space="preserve"> PAGEREF _Toc100025 \h </w:instrText>
            </w:r>
            <w:r>
              <w:fldChar w:fldCharType="separate"/>
            </w:r>
            <w:r>
              <w:t>8</w:t>
            </w:r>
            <w:r>
              <w:fldChar w:fldCharType="end"/>
            </w:r>
          </w:hyperlink>
        </w:p>
        <w:p>
          <w:pPr>
            <w:pStyle w:val="12"/>
            <w:ind w:left="720"/>
            <w:tabs>
              <w:tab w:val="right" w:leader="dot" w:pos="9026"/>
            </w:tabs>
            <w:spacing w:before="120" w:after="60"/>
          </w:pPr>
          <w:hyperlink w:anchor="_Toc100026" w:history="1">
            <w:r>
              <w:rPr>
                <w:rStyle w:val="Hyperlink"/>
              </w:rPr>
              <w:t>Product Implications</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2.3 Persona 3 — Ibrahim Toure, Seller</w:t>
            </w:r>
            <w:r>
              <w:tab/>
            </w:r>
            <w:r>
              <w:fldChar w:fldCharType="begin"/>
            </w:r>
            <w:r>
              <w:instrText xml:space="preserve"> PAGEREF _Toc100027 \h </w:instrText>
            </w:r>
            <w:r>
              <w:fldChar w:fldCharType="separate"/>
            </w:r>
            <w:r>
              <w:t>8</w:t>
            </w:r>
            <w:r>
              <w:fldChar w:fldCharType="end"/>
            </w:r>
          </w:hyperlink>
        </w:p>
        <w:p>
          <w:pPr>
            <w:pStyle w:val="12"/>
            <w:ind w:left="720"/>
            <w:tabs>
              <w:tab w:val="right" w:leader="dot" w:pos="9026"/>
            </w:tabs>
            <w:spacing w:before="120" w:after="60"/>
          </w:pPr>
          <w:hyperlink w:anchor="_Toc100028" w:history="1">
            <w:r>
              <w:rPr>
                <w:rStyle w:val="Hyperlink"/>
              </w:rPr>
              <w:t>Goals</w:t>
            </w:r>
            <w:r>
              <w:tab/>
            </w:r>
            <w:r>
              <w:fldChar w:fldCharType="begin"/>
            </w:r>
            <w:r>
              <w:instrText xml:space="preserve"> PAGEREF _Toc100028 \h </w:instrText>
            </w:r>
            <w:r>
              <w:fldChar w:fldCharType="separate"/>
            </w:r>
            <w:r>
              <w:t>8</w:t>
            </w:r>
            <w:r>
              <w:fldChar w:fldCharType="end"/>
            </w:r>
          </w:hyperlink>
        </w:p>
        <w:p>
          <w:pPr>
            <w:pStyle w:val="12"/>
            <w:ind w:left="720"/>
            <w:tabs>
              <w:tab w:val="right" w:leader="dot" w:pos="9026"/>
            </w:tabs>
            <w:spacing w:before="120" w:after="60"/>
          </w:pPr>
          <w:hyperlink w:anchor="_Toc100029" w:history="1">
            <w:r>
              <w:rPr>
                <w:rStyle w:val="Hyperlink"/>
              </w:rPr>
              <w:t>Pain Points</w:t>
            </w:r>
            <w:r>
              <w:tab/>
            </w:r>
            <w:r>
              <w:fldChar w:fldCharType="begin"/>
            </w:r>
            <w:r>
              <w:instrText xml:space="preserve"> PAGEREF _Toc100029 \h </w:instrText>
            </w:r>
            <w:r>
              <w:fldChar w:fldCharType="separate"/>
            </w:r>
            <w:r>
              <w:t>9</w:t>
            </w:r>
            <w:r>
              <w:fldChar w:fldCharType="end"/>
            </w:r>
          </w:hyperlink>
        </w:p>
        <w:p>
          <w:pPr>
            <w:pStyle w:val="12"/>
            <w:ind w:left="720"/>
            <w:tabs>
              <w:tab w:val="right" w:leader="dot" w:pos="9026"/>
            </w:tabs>
            <w:spacing w:before="120" w:after="60"/>
          </w:pPr>
          <w:hyperlink w:anchor="_Toc100030" w:history="1">
            <w:r>
              <w:rPr>
                <w:rStyle w:val="Hyperlink"/>
              </w:rPr>
              <w:t>Product Implications</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2.4 Persona 4 — Efua Boateng, Compliance Officer</w:t>
            </w:r>
            <w:r>
              <w:tab/>
            </w:r>
            <w:r>
              <w:fldChar w:fldCharType="begin"/>
            </w:r>
            <w:r>
              <w:instrText xml:space="preserve"> PAGEREF _Toc100031 \h </w:instrText>
            </w:r>
            <w:r>
              <w:fldChar w:fldCharType="separate"/>
            </w:r>
            <w:r>
              <w:t>10</w:t>
            </w:r>
            <w:r>
              <w:fldChar w:fldCharType="end"/>
            </w:r>
          </w:hyperlink>
        </w:p>
        <w:p>
          <w:pPr>
            <w:pStyle w:val="12"/>
            <w:ind w:left="720"/>
            <w:tabs>
              <w:tab w:val="right" w:leader="dot" w:pos="9026"/>
            </w:tabs>
            <w:spacing w:before="120" w:after="60"/>
          </w:pPr>
          <w:hyperlink w:anchor="_Toc100032" w:history="1">
            <w:r>
              <w:rPr>
                <w:rStyle w:val="Hyperlink"/>
              </w:rPr>
              <w:t>Goals</w:t>
            </w:r>
            <w:r>
              <w:tab/>
            </w:r>
            <w:r>
              <w:fldChar w:fldCharType="begin"/>
            </w:r>
            <w:r>
              <w:instrText xml:space="preserve"> PAGEREF _Toc100032 \h </w:instrText>
            </w:r>
            <w:r>
              <w:fldChar w:fldCharType="separate"/>
            </w:r>
            <w:r>
              <w:t>10</w:t>
            </w:r>
            <w:r>
              <w:fldChar w:fldCharType="end"/>
            </w:r>
          </w:hyperlink>
        </w:p>
        <w:p>
          <w:pPr>
            <w:pStyle w:val="12"/>
            <w:ind w:left="720"/>
            <w:tabs>
              <w:tab w:val="right" w:leader="dot" w:pos="9026"/>
            </w:tabs>
            <w:spacing w:before="120" w:after="60"/>
          </w:pPr>
          <w:hyperlink w:anchor="_Toc100033" w:history="1">
            <w:r>
              <w:rPr>
                <w:rStyle w:val="Hyperlink"/>
              </w:rPr>
              <w:t>Product Implications</w:t>
            </w:r>
            <w:r>
              <w:tab/>
            </w:r>
            <w:r>
              <w:fldChar w:fldCharType="begin"/>
            </w:r>
            <w:r>
              <w:instrText xml:space="preserve"> PAGEREF _Toc100033 \h </w:instrText>
            </w:r>
            <w:r>
              <w:fldChar w:fldCharType="separate"/>
            </w:r>
            <w:r>
              <w:t>11</w:t>
            </w:r>
            <w:r>
              <w:fldChar w:fldCharType="end"/>
            </w:r>
          </w:hyperlink>
        </w:p>
        <w:p>
          <w:pPr>
            <w:pStyle w:val="9"/>
            <w:tabs>
              <w:tab w:val="right" w:leader="dot" w:pos="9026"/>
            </w:tabs>
            <w:spacing w:before="120" w:after="60"/>
          </w:pPr>
          <w:hyperlink w:anchor="_Toc100034" w:history="1">
            <w:r>
              <w:rPr>
                <w:rStyle w:val="Hyperlink"/>
              </w:rPr>
              <w:t>Document 3 — User Success Journeys</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3.1 Journey 1 — Kwame: Vet and Onboard a New Tier 2 Counterparty</w:t>
            </w:r>
            <w:r>
              <w:tab/>
            </w:r>
            <w:r>
              <w:fldChar w:fldCharType="begin"/>
            </w:r>
            <w:r>
              <w:instrText xml:space="preserve"> PAGEREF _Toc100035 \h </w:instrText>
            </w:r>
            <w:r>
              <w:fldChar w:fldCharType="separate"/>
            </w:r>
            <w:r>
              <w:t>11</w:t>
            </w:r>
            <w:r>
              <w:fldChar w:fldCharType="end"/>
            </w:r>
          </w:hyperlink>
        </w:p>
        <w:p>
          <w:pPr>
            <w:pStyle w:val="12"/>
            <w:ind w:left="720"/>
            <w:tabs>
              <w:tab w:val="right" w:leader="dot" w:pos="9026"/>
            </w:tabs>
            <w:spacing w:before="120" w:after="60"/>
          </w:pPr>
          <w:hyperlink w:anchor="_Toc100036" w:history="1">
            <w:r>
              <w:rPr>
                <w:rStyle w:val="Hyperlink"/>
              </w:rPr>
              <w:t>Stage 1 — Discover (Days 1–3)</w:t>
            </w:r>
            <w:r>
              <w:tab/>
            </w:r>
            <w:r>
              <w:fldChar w:fldCharType="begin"/>
            </w:r>
            <w:r>
              <w:instrText xml:space="preserve"> PAGEREF _Toc100036 \h </w:instrText>
            </w:r>
            <w:r>
              <w:fldChar w:fldCharType="separate"/>
            </w:r>
            <w:r>
              <w:t>11</w:t>
            </w:r>
            <w:r>
              <w:fldChar w:fldCharType="end"/>
            </w:r>
          </w:hyperlink>
        </w:p>
        <w:p>
          <w:pPr>
            <w:pStyle w:val="12"/>
            <w:ind w:left="720"/>
            <w:tabs>
              <w:tab w:val="right" w:leader="dot" w:pos="9026"/>
            </w:tabs>
            <w:spacing w:before="120" w:after="60"/>
          </w:pPr>
          <w:hyperlink w:anchor="_Toc100037" w:history="1">
            <w:r>
              <w:rPr>
                <w:rStyle w:val="Hyperlink"/>
              </w:rPr>
              <w:t>Stage 2 — Validate (Days 4–10)</w:t>
            </w:r>
            <w:r>
              <w:tab/>
            </w:r>
            <w:r>
              <w:fldChar w:fldCharType="begin"/>
            </w:r>
            <w:r>
              <w:instrText xml:space="preserve"> PAGEREF _Toc100037 \h </w:instrText>
            </w:r>
            <w:r>
              <w:fldChar w:fldCharType="separate"/>
            </w:r>
            <w:r>
              <w:t>12</w:t>
            </w:r>
            <w:r>
              <w:fldChar w:fldCharType="end"/>
            </w:r>
          </w:hyperlink>
        </w:p>
        <w:p>
          <w:pPr>
            <w:pStyle w:val="12"/>
            <w:ind w:left="720"/>
            <w:tabs>
              <w:tab w:val="right" w:leader="dot" w:pos="9026"/>
            </w:tabs>
            <w:spacing w:before="120" w:after="60"/>
          </w:pPr>
          <w:hyperlink w:anchor="_Toc100038" w:history="1">
            <w:r>
              <w:rPr>
                <w:rStyle w:val="Hyperlink"/>
              </w:rPr>
              <w:t>Stage 3 — First Trade (Days 11–14)</w:t>
            </w:r>
            <w:r>
              <w:tab/>
            </w:r>
            <w:r>
              <w:fldChar w:fldCharType="begin"/>
            </w:r>
            <w:r>
              <w:instrText xml:space="preserve"> PAGEREF _Toc100038 \h </w:instrText>
            </w:r>
            <w:r>
              <w:fldChar w:fldCharType="separate"/>
            </w:r>
            <w:r>
              <w:t>12</w:t>
            </w:r>
            <w:r>
              <w:fldChar w:fldCharType="end"/>
            </w:r>
          </w:hyperlink>
        </w:p>
        <w:p>
          <w:pPr>
            <w:pStyle w:val="12"/>
            <w:ind w:left="720"/>
            <w:tabs>
              <w:tab w:val="right" w:leader="dot" w:pos="9026"/>
            </w:tabs>
            <w:spacing w:before="120" w:after="60"/>
          </w:pPr>
          <w:hyperlink w:anchor="_Toc100039" w:history="1">
            <w:r>
              <w:rPr>
                <w:rStyle w:val="Hyperlink"/>
              </w:rPr>
              <w:t>Stage 4 — Settle &amp; Deliver (Days 15–18)</w:t>
            </w:r>
            <w:r>
              <w:tab/>
            </w:r>
            <w:r>
              <w:fldChar w:fldCharType="begin"/>
            </w:r>
            <w:r>
              <w:instrText xml:space="preserve"> PAGEREF _Toc100039 \h </w:instrText>
            </w:r>
            <w:r>
              <w:fldChar w:fldCharType="separate"/>
            </w:r>
            <w:r>
              <w:t>13</w:t>
            </w:r>
            <w:r>
              <w:fldChar w:fldCharType="end"/>
            </w:r>
          </w:hyperlink>
        </w:p>
        <w:p>
          <w:pPr>
            <w:pStyle w:val="12"/>
            <w:ind w:left="720"/>
            <w:tabs>
              <w:tab w:val="right" w:leader="dot" w:pos="9026"/>
            </w:tabs>
            <w:spacing w:before="120" w:after="60"/>
          </w:pPr>
          <w:hyperlink w:anchor="_Toc100040" w:history="1">
            <w:r>
              <w:rPr>
                <w:rStyle w:val="Hyperlink"/>
              </w:rPr>
              <w:t>Stage 5 — Habitual Use (Days 19–21+)</w:t>
            </w:r>
            <w:r>
              <w:tab/>
            </w:r>
            <w:r>
              <w:fldChar w:fldCharType="begin"/>
            </w:r>
            <w:r>
              <w:instrText xml:space="preserve"> PAGEREF _Toc100040 \h </w:instrText>
            </w:r>
            <w:r>
              <w:fldChar w:fldCharType="separate"/>
            </w:r>
            <w:r>
              <w:t>13</w:t>
            </w:r>
            <w:r>
              <w:fldChar w:fldCharType="end"/>
            </w:r>
          </w:hyperlink>
        </w:p>
        <w:p>
          <w:pPr>
            <w:pStyle w:val="11"/>
            <w:ind w:left="360"/>
            <w:tabs>
              <w:tab w:val="right" w:leader="dot" w:pos="9026"/>
            </w:tabs>
            <w:spacing w:before="120" w:after="60"/>
          </w:pPr>
          <w:hyperlink w:anchor="_Toc100041" w:history="1">
            <w:r>
              <w:rPr>
                <w:rStyle w:val="Hyperlink"/>
              </w:rPr>
              <w:t>3.2 Journey 2 — Abena: Source, Sell, and Export Within 5 Days</w:t>
            </w:r>
            <w:r>
              <w:tab/>
            </w:r>
            <w:r>
              <w:fldChar w:fldCharType="begin"/>
            </w:r>
            <w:r>
              <w:instrText xml:space="preserve"> PAGEREF _Toc100041 \h </w:instrText>
            </w:r>
            <w:r>
              <w:fldChar w:fldCharType="separate"/>
            </w:r>
            <w:r>
              <w:t>13</w:t>
            </w:r>
            <w:r>
              <w:fldChar w:fldCharType="end"/>
            </w:r>
          </w:hyperlink>
        </w:p>
        <w:p>
          <w:pPr>
            <w:pStyle w:val="12"/>
            <w:ind w:left="720"/>
            <w:tabs>
              <w:tab w:val="right" w:leader="dot" w:pos="9026"/>
            </w:tabs>
            <w:spacing w:before="120" w:after="60"/>
          </w:pPr>
          <w:hyperlink w:anchor="_Toc100042" w:history="1">
            <w:r>
              <w:rPr>
                <w:rStyle w:val="Hyperlink"/>
              </w:rPr>
              <w:t>Stage 1 — Discover Supply (Day 1)</w:t>
            </w:r>
            <w:r>
              <w:tab/>
            </w:r>
            <w:r>
              <w:fldChar w:fldCharType="begin"/>
            </w:r>
            <w:r>
              <w:instrText xml:space="preserve"> PAGEREF _Toc100042 \h </w:instrText>
            </w:r>
            <w:r>
              <w:fldChar w:fldCharType="separate"/>
            </w:r>
            <w:r>
              <w:t>14</w:t>
            </w:r>
            <w:r>
              <w:fldChar w:fldCharType="end"/>
            </w:r>
          </w:hyperlink>
        </w:p>
        <w:p>
          <w:pPr>
            <w:pStyle w:val="12"/>
            <w:ind w:left="720"/>
            <w:tabs>
              <w:tab w:val="right" w:leader="dot" w:pos="9026"/>
            </w:tabs>
            <w:spacing w:before="120" w:after="60"/>
          </w:pPr>
          <w:hyperlink w:anchor="_Toc100043" w:history="1">
            <w:r>
              <w:rPr>
                <w:rStyle w:val="Hyperlink"/>
              </w:rPr>
              <w:t>Stage 2 — Negotiate &amp; Trade (Day 2)</w:t>
            </w:r>
            <w:r>
              <w:tab/>
            </w:r>
            <w:r>
              <w:fldChar w:fldCharType="begin"/>
            </w:r>
            <w:r>
              <w:instrText xml:space="preserve"> PAGEREF _Toc100043 \h </w:instrText>
            </w:r>
            <w:r>
              <w:fldChar w:fldCharType="separate"/>
            </w:r>
            <w:r>
              <w:t>14</w:t>
            </w:r>
            <w:r>
              <w:fldChar w:fldCharType="end"/>
            </w:r>
          </w:hyperlink>
        </w:p>
        <w:p>
          <w:pPr>
            <w:pStyle w:val="12"/>
            <w:ind w:left="720"/>
            <w:tabs>
              <w:tab w:val="right" w:leader="dot" w:pos="9026"/>
            </w:tabs>
            <w:spacing w:before="120" w:after="60"/>
          </w:pPr>
          <w:hyperlink w:anchor="_Toc100044" w:history="1">
            <w:r>
              <w:rPr>
                <w:rStyle w:val="Hyperlink"/>
              </w:rPr>
              <w:t>Stage 3 — Receive &amp; Assay (Day 3)</w:t>
            </w:r>
            <w:r>
              <w:tab/>
            </w:r>
            <w:r>
              <w:fldChar w:fldCharType="begin"/>
            </w:r>
            <w:r>
              <w:instrText xml:space="preserve"> PAGEREF _Toc100044 \h </w:instrText>
            </w:r>
            <w:r>
              <w:fldChar w:fldCharType="separate"/>
            </w:r>
            <w:r>
              <w:t>15</w:t>
            </w:r>
            <w:r>
              <w:fldChar w:fldCharType="end"/>
            </w:r>
          </w:hyperlink>
        </w:p>
        <w:p>
          <w:pPr>
            <w:pStyle w:val="12"/>
            <w:ind w:left="720"/>
            <w:tabs>
              <w:tab w:val="right" w:leader="dot" w:pos="9026"/>
            </w:tabs>
            <w:spacing w:before="120" w:after="60"/>
          </w:pPr>
          <w:hyperlink w:anchor="_Toc100045" w:history="1">
            <w:r>
              <w:rPr>
                <w:rStyle w:val="Hyperlink"/>
              </w:rPr>
              <w:t>Stage 4 — Export Documentation (Days 4–5)</w:t>
            </w:r>
            <w:r>
              <w:tab/>
            </w:r>
            <w:r>
              <w:fldChar w:fldCharType="begin"/>
            </w:r>
            <w:r>
              <w:instrText xml:space="preserve"> PAGEREF _Toc100045 \h </w:instrText>
            </w:r>
            <w:r>
              <w:fldChar w:fldCharType="separate"/>
            </w:r>
            <w:r>
              <w:t>15</w:t>
            </w:r>
            <w:r>
              <w:fldChar w:fldCharType="end"/>
            </w:r>
          </w:hyperlink>
        </w:p>
        <w:p>
          <w:pPr>
            <w:pStyle w:val="12"/>
            <w:ind w:left="720"/>
            <w:tabs>
              <w:tab w:val="right" w:leader="dot" w:pos="9026"/>
            </w:tabs>
            <w:spacing w:before="120" w:after="60"/>
          </w:pPr>
          <w:hyperlink w:anchor="_Toc100046" w:history="1">
            <w:r>
              <w:rPr>
                <w:rStyle w:val="Hyperlink"/>
              </w:rPr>
              <w:t>Stage 5 — Habitual Use (Weeks 2+)</w:t>
            </w:r>
            <w:r>
              <w:tab/>
            </w:r>
            <w:r>
              <w:fldChar w:fldCharType="begin"/>
            </w:r>
            <w:r>
              <w:instrText xml:space="preserve"> PAGEREF _Toc100046 \h </w:instrText>
            </w:r>
            <w:r>
              <w:fldChar w:fldCharType="separate"/>
            </w:r>
            <w:r>
              <w:t>15</w:t>
            </w:r>
            <w:r>
              <w:fldChar w:fldCharType="end"/>
            </w:r>
          </w:hyperlink>
        </w:p>
        <w:p>
          <w:pPr>
            <w:pStyle w:val="11"/>
            <w:ind w:left="360"/>
            <w:tabs>
              <w:tab w:val="right" w:leader="dot" w:pos="9026"/>
            </w:tabs>
            <w:spacing w:before="120" w:after="60"/>
          </w:pPr>
          <w:hyperlink w:anchor="_Toc100047" w:history="1">
            <w:r>
              <w:rPr>
                <w:rStyle w:val="Hyperlink"/>
              </w:rPr>
              <w:t>3.3 Journey 3 — Ibrahim: Sell Gold Safely Without Traveling to Accra</w:t>
            </w:r>
            <w:r>
              <w:tab/>
            </w:r>
            <w:r>
              <w:fldChar w:fldCharType="begin"/>
            </w:r>
            <w:r>
              <w:instrText xml:space="preserve"> PAGEREF _Toc100047 \h </w:instrText>
            </w:r>
            <w:r>
              <w:fldChar w:fldCharType="separate"/>
            </w:r>
            <w:r>
              <w:t>15</w:t>
            </w:r>
            <w:r>
              <w:fldChar w:fldCharType="end"/>
            </w:r>
          </w:hyperlink>
        </w:p>
        <w:p>
          <w:pPr>
            <w:pStyle w:val="12"/>
            <w:ind w:left="720"/>
            <w:tabs>
              <w:tab w:val="right" w:leader="dot" w:pos="9026"/>
            </w:tabs>
            <w:spacing w:before="120" w:after="60"/>
          </w:pPr>
          <w:hyperlink w:anchor="_Toc100048" w:history="1">
            <w:r>
              <w:rPr>
                <w:rStyle w:val="Hyperlink"/>
              </w:rPr>
              <w:t>Onboard (Days 1–5)</w:t>
            </w:r>
            <w:r>
              <w:tab/>
            </w:r>
            <w:r>
              <w:fldChar w:fldCharType="begin"/>
            </w:r>
            <w:r>
              <w:instrText xml:space="preserve"> PAGEREF _Toc100048 \h </w:instrText>
            </w:r>
            <w:r>
              <w:fldChar w:fldCharType="separate"/>
            </w:r>
            <w:r>
              <w:t>16</w:t>
            </w:r>
            <w:r>
              <w:fldChar w:fldCharType="end"/>
            </w:r>
          </w:hyperlink>
        </w:p>
        <w:p>
          <w:pPr>
            <w:pStyle w:val="12"/>
            <w:ind w:left="720"/>
            <w:tabs>
              <w:tab w:val="right" w:leader="dot" w:pos="9026"/>
            </w:tabs>
            <w:spacing w:before="120" w:after="60"/>
          </w:pPr>
          <w:hyperlink w:anchor="_Toc100049" w:history="1">
            <w:r>
              <w:rPr>
                <w:rStyle w:val="Hyperlink"/>
              </w:rPr>
              <w:t>List &amp; Receive Offers (Days 6–8)</w:t>
            </w:r>
            <w:r>
              <w:tab/>
            </w:r>
            <w:r>
              <w:fldChar w:fldCharType="begin"/>
            </w:r>
            <w:r>
              <w:instrText xml:space="preserve"> PAGEREF _Toc100049 \h </w:instrText>
            </w:r>
            <w:r>
              <w:fldChar w:fldCharType="separate"/>
            </w:r>
            <w:r>
              <w:t>16</w:t>
            </w:r>
            <w:r>
              <w:fldChar w:fldCharType="end"/>
            </w:r>
          </w:hyperlink>
        </w:p>
        <w:p>
          <w:pPr>
            <w:pStyle w:val="12"/>
            <w:ind w:left="720"/>
            <w:tabs>
              <w:tab w:val="right" w:leader="dot" w:pos="9026"/>
            </w:tabs>
            <w:spacing w:before="120" w:after="60"/>
          </w:pPr>
          <w:hyperlink w:anchor="_Toc100050" w:history="1">
            <w:r>
              <w:rPr>
                <w:rStyle w:val="Hyperlink"/>
              </w:rPr>
              <w:t>Deliver &amp; Settle (Days 9–10)</w:t>
            </w:r>
            <w:r>
              <w:tab/>
            </w:r>
            <w:r>
              <w:fldChar w:fldCharType="begin"/>
            </w:r>
            <w:r>
              <w:instrText xml:space="preserve"> PAGEREF _Toc100050 \h </w:instrText>
            </w:r>
            <w:r>
              <w:fldChar w:fldCharType="separate"/>
            </w:r>
            <w:r>
              <w:t>16</w:t>
            </w:r>
            <w:r>
              <w:fldChar w:fldCharType="end"/>
            </w:r>
          </w:hyperlink>
        </w:p>
        <w:p>
          <w:pPr>
            <w:pStyle w:val="11"/>
            <w:ind w:left="360"/>
            <w:tabs>
              <w:tab w:val="right" w:leader="dot" w:pos="9026"/>
            </w:tabs>
            <w:spacing w:before="120" w:after="60"/>
          </w:pPr>
          <w:hyperlink w:anchor="_Toc100051" w:history="1">
            <w:r>
              <w:rPr>
                <w:rStyle w:val="Hyperlink"/>
              </w:rPr>
              <w:t>3.4 Journey 4 — Efua: Detect and Investigate a Suspicious Trade Within 24 Hours</w:t>
            </w:r>
            <w:r>
              <w:tab/>
            </w:r>
            <w:r>
              <w:fldChar w:fldCharType="begin"/>
            </w:r>
            <w:r>
              <w:instrText xml:space="preserve"> PAGEREF _Toc100051 \h </w:instrText>
            </w:r>
            <w:r>
              <w:fldChar w:fldCharType="separate"/>
            </w:r>
            <w:r>
              <w:t>17</w:t>
            </w:r>
            <w:r>
              <w:fldChar w:fldCharType="end"/>
            </w:r>
          </w:hyperlink>
        </w:p>
        <w:p>
          <w:pPr>
            <w:pStyle w:val="12"/>
            <w:ind w:left="720"/>
            <w:tabs>
              <w:tab w:val="right" w:leader="dot" w:pos="9026"/>
            </w:tabs>
            <w:spacing w:before="120" w:after="60"/>
          </w:pPr>
          <w:hyperlink w:anchor="_Toc100052" w:history="1">
            <w:r>
              <w:rPr>
                <w:rStyle w:val="Hyperlink"/>
              </w:rPr>
              <w:t>Monitor (Hour 0–2)</w:t>
            </w:r>
            <w:r>
              <w:tab/>
            </w:r>
            <w:r>
              <w:fldChar w:fldCharType="begin"/>
            </w:r>
            <w:r>
              <w:instrText xml:space="preserve"> PAGEREF _Toc100052 \h </w:instrText>
            </w:r>
            <w:r>
              <w:fldChar w:fldCharType="separate"/>
            </w:r>
            <w:r>
              <w:t>17</w:t>
            </w:r>
            <w:r>
              <w:fldChar w:fldCharType="end"/>
            </w:r>
          </w:hyperlink>
        </w:p>
        <w:p>
          <w:pPr>
            <w:pStyle w:val="12"/>
            <w:ind w:left="720"/>
            <w:tabs>
              <w:tab w:val="right" w:leader="dot" w:pos="9026"/>
            </w:tabs>
            <w:spacing w:before="120" w:after="60"/>
          </w:pPr>
          <w:hyperlink w:anchor="_Toc100053" w:history="1">
            <w:r>
              <w:rPr>
                <w:rStyle w:val="Hyperlink"/>
              </w:rPr>
              <w:t>Investigate (Hour 2–8)</w:t>
            </w:r>
            <w:r>
              <w:tab/>
            </w:r>
            <w:r>
              <w:fldChar w:fldCharType="begin"/>
            </w:r>
            <w:r>
              <w:instrText xml:space="preserve"> PAGEREF _Toc100053 \h </w:instrText>
            </w:r>
            <w:r>
              <w:fldChar w:fldCharType="separate"/>
            </w:r>
            <w:r>
              <w:t>17</w:t>
            </w:r>
            <w:r>
              <w:fldChar w:fldCharType="end"/>
            </w:r>
          </w:hyperlink>
        </w:p>
        <w:p>
          <w:pPr>
            <w:pStyle w:val="12"/>
            <w:ind w:left="720"/>
            <w:tabs>
              <w:tab w:val="right" w:leader="dot" w:pos="9026"/>
            </w:tabs>
            <w:spacing w:before="120" w:after="60"/>
          </w:pPr>
          <w:hyperlink w:anchor="_Toc100054" w:history="1">
            <w:r>
              <w:rPr>
                <w:rStyle w:val="Hyperlink"/>
              </w:rPr>
              <w:t>Decide (Hour 8–24)</w:t>
            </w:r>
            <w:r>
              <w:tab/>
            </w:r>
            <w:r>
              <w:fldChar w:fldCharType="begin"/>
            </w:r>
            <w:r>
              <w:instrText xml:space="preserve"> PAGEREF _Toc100054 \h </w:instrText>
            </w:r>
            <w:r>
              <w:fldChar w:fldCharType="separate"/>
            </w:r>
            <w:r>
              <w:t>17</w:t>
            </w:r>
            <w:r>
              <w:fldChar w:fldCharType="end"/>
            </w:r>
          </w:hyperlink>
        </w:p>
        <w:p>
          <w:pPr>
            <w:pStyle w:val="12"/>
            <w:ind w:left="720"/>
            <w:tabs>
              <w:tab w:val="right" w:leader="dot" w:pos="9026"/>
            </w:tabs>
            <w:spacing w:before="120" w:after="60"/>
          </w:pPr>
          <w:hyperlink w:anchor="_Toc100055" w:history="1">
            <w:r>
              <w:rPr>
                <w:rStyle w:val="Hyperlink"/>
              </w:rPr>
              <w:t>Habitual Use (Weeks 2+)</w:t>
            </w:r>
            <w:r>
              <w:tab/>
            </w:r>
            <w:r>
              <w:fldChar w:fldCharType="begin"/>
            </w:r>
            <w:r>
              <w:instrText xml:space="preserve"> PAGEREF _Toc100055 \h </w:instrText>
            </w:r>
            <w:r>
              <w:fldChar w:fldCharType="separate"/>
            </w:r>
            <w:r>
              <w:t>18</w:t>
            </w:r>
            <w:r>
              <w:fldChar w:fldCharType="end"/>
            </w:r>
          </w:hyperlink>
        </w:p>
        <w:p>
          <w:pPr>
            <w:pStyle w:val="11"/>
            <w:ind w:left="360"/>
            <w:tabs>
              <w:tab w:val="right" w:leader="dot" w:pos="9026"/>
            </w:tabs>
            <w:spacing w:before="120" w:after="60"/>
          </w:pPr>
          <w:hyperlink w:anchor="_Toc100056" w:history="1">
            <w:r>
              <w:rPr>
                <w:rStyle w:val="Hyperlink"/>
              </w:rPr>
              <w:t>3.5 Journey-to-Charter Cross-Reference</w:t>
            </w:r>
            <w:r>
              <w:tab/>
            </w:r>
            <w:r>
              <w:fldChar w:fldCharType="begin"/>
            </w:r>
            <w:r>
              <w:instrText xml:space="preserve"> PAGEREF _Toc100056 \h </w:instrText>
            </w:r>
            <w:r>
              <w:fldChar w:fldCharType="separate"/>
            </w:r>
            <w:r>
              <w:t>18</w:t>
            </w:r>
            <w:r>
              <w:fldChar w:fldCharType="end"/>
            </w:r>
          </w:hyperlink>
        </w:p>
        <w:p>
          <w:pPr>
            <w:pStyle w:val="9"/>
            <w:tabs>
              <w:tab w:val="right" w:leader="dot" w:pos="9026"/>
            </w:tabs>
            <w:spacing w:before="120" w:after="60"/>
          </w:pPr>
          <w:hyperlink w:anchor="_Toc100057" w:history="1">
            <w:r>
              <w:rPr>
                <w:rStyle w:val="Hyperlink"/>
              </w:rPr>
              <w:t>Document 4 — System Architecture &amp; Design</w:t>
            </w:r>
            <w:r>
              <w:tab/>
            </w:r>
            <w:r>
              <w:fldChar w:fldCharType="begin"/>
            </w:r>
            <w:r>
              <w:instrText xml:space="preserve"> PAGEREF _Toc100057 \h </w:instrText>
            </w:r>
            <w:r>
              <w:fldChar w:fldCharType="separate"/>
            </w:r>
            <w:r>
              <w:t>18</w:t>
            </w:r>
            <w:r>
              <w:fldChar w:fldCharType="end"/>
            </w:r>
          </w:hyperlink>
        </w:p>
        <w:p>
          <w:pPr>
            <w:pStyle w:val="11"/>
            <w:ind w:left="360"/>
            <w:tabs>
              <w:tab w:val="right" w:leader="dot" w:pos="9026"/>
            </w:tabs>
            <w:spacing w:before="120" w:after="60"/>
          </w:pPr>
          <w:hyperlink w:anchor="_Toc100058" w:history="1">
            <w:r>
              <w:rPr>
                <w:rStyle w:val="Hyperlink"/>
              </w:rPr>
              <w:t>4.1 Technology Stack</w:t>
            </w:r>
            <w:r>
              <w:tab/>
            </w:r>
            <w:r>
              <w:fldChar w:fldCharType="begin"/>
            </w:r>
            <w:r>
              <w:instrText xml:space="preserve"> PAGEREF _Toc100058 \h </w:instrText>
            </w:r>
            <w:r>
              <w:fldChar w:fldCharType="separate"/>
            </w:r>
            <w:r>
              <w:t>18</w:t>
            </w:r>
            <w:r>
              <w:fldChar w:fldCharType="end"/>
            </w:r>
          </w:hyperlink>
        </w:p>
        <w:p>
          <w:pPr>
            <w:pStyle w:val="11"/>
            <w:ind w:left="360"/>
            <w:tabs>
              <w:tab w:val="right" w:leader="dot" w:pos="9026"/>
            </w:tabs>
            <w:spacing w:before="120" w:after="60"/>
          </w:pPr>
          <w:hyperlink w:anchor="_Toc100059" w:history="1">
            <w:r>
              <w:rPr>
                <w:rStyle w:val="Hyperlink"/>
              </w:rPr>
              <w:t>4.2 High-Level Component Map</w:t>
            </w:r>
            <w:r>
              <w:tab/>
            </w:r>
            <w:r>
              <w:fldChar w:fldCharType="begin"/>
            </w:r>
            <w:r>
              <w:instrText xml:space="preserve"> PAGEREF _Toc100059 \h </w:instrText>
            </w:r>
            <w:r>
              <w:fldChar w:fldCharType="separate"/>
            </w:r>
            <w:r>
              <w:t>18</w:t>
            </w:r>
            <w:r>
              <w:fldChar w:fldCharType="end"/>
            </w:r>
          </w:hyperlink>
        </w:p>
        <w:p>
          <w:pPr>
            <w:pStyle w:val="11"/>
            <w:ind w:left="360"/>
            <w:tabs>
              <w:tab w:val="right" w:leader="dot" w:pos="9026"/>
            </w:tabs>
            <w:spacing w:before="120" w:after="60"/>
          </w:pPr>
          <w:hyperlink w:anchor="_Toc100060" w:history="1">
            <w:r>
              <w:rPr>
                <w:rStyle w:val="Hyperlink"/>
              </w:rPr>
              <w:t>4.3 Data Model — Core Entities</w:t>
            </w:r>
            <w:r>
              <w:tab/>
            </w:r>
            <w:r>
              <w:fldChar w:fldCharType="begin"/>
            </w:r>
            <w:r>
              <w:instrText xml:space="preserve"> PAGEREF _Toc100060 \h </w:instrText>
            </w:r>
            <w:r>
              <w:fldChar w:fldCharType="separate"/>
            </w:r>
            <w:r>
              <w:t>19</w:t>
            </w:r>
            <w:r>
              <w:fldChar w:fldCharType="end"/>
            </w:r>
          </w:hyperlink>
        </w:p>
        <w:p>
          <w:pPr>
            <w:pStyle w:val="11"/>
            <w:ind w:left="360"/>
            <w:tabs>
              <w:tab w:val="right" w:leader="dot" w:pos="9026"/>
            </w:tabs>
            <w:spacing w:before="120" w:after="60"/>
          </w:pPr>
          <w:hyperlink w:anchor="_Toc100061" w:history="1">
            <w:r>
              <w:rPr>
                <w:rStyle w:val="Hyperlink"/>
              </w:rPr>
              <w:t>4.4 Design Patterns</w:t>
            </w:r>
            <w:r>
              <w:tab/>
            </w:r>
            <w:r>
              <w:fldChar w:fldCharType="begin"/>
            </w:r>
            <w:r>
              <w:instrText xml:space="preserve"> PAGEREF _Toc100061 \h </w:instrText>
            </w:r>
            <w:r>
              <w:fldChar w:fldCharType="separate"/>
            </w:r>
            <w:r>
              <w:t>19</w:t>
            </w:r>
            <w:r>
              <w:fldChar w:fldCharType="end"/>
            </w:r>
          </w:hyperlink>
        </w:p>
        <w:p>
          <w:pPr>
            <w:pStyle w:val="11"/>
            <w:ind w:left="360"/>
            <w:tabs>
              <w:tab w:val="right" w:leader="dot" w:pos="9026"/>
            </w:tabs>
            <w:spacing w:before="120" w:after="60"/>
          </w:pPr>
          <w:hyperlink w:anchor="_Toc100062" w:history="1">
            <w:r>
              <w:rPr>
                <w:rStyle w:val="Hyperlink"/>
              </w:rPr>
              <w:t>4.5 API Design</w:t>
            </w:r>
            <w:r>
              <w:tab/>
            </w:r>
            <w:r>
              <w:fldChar w:fldCharType="begin"/>
            </w:r>
            <w:r>
              <w:instrText xml:space="preserve"> PAGEREF _Toc100062 \h </w:instrText>
            </w:r>
            <w:r>
              <w:fldChar w:fldCharType="separate"/>
            </w:r>
            <w:r>
              <w:t>19</w:t>
            </w:r>
            <w:r>
              <w:fldChar w:fldCharType="end"/>
            </w:r>
          </w:hyperlink>
        </w:p>
        <w:p>
          <w:pPr>
            <w:pStyle w:val="12"/>
            <w:ind w:left="720"/>
            <w:tabs>
              <w:tab w:val="right" w:leader="dot" w:pos="9026"/>
            </w:tabs>
            <w:spacing w:before="120" w:after="60"/>
          </w:pPr>
          <w:hyperlink w:anchor="_Toc100063" w:history="1">
            <w:r>
              <w:rPr>
                <w:rStyle w:val="Hyperlink"/>
              </w:rPr>
              <w:t>Conventions</w:t>
            </w:r>
            <w:r>
              <w:tab/>
            </w:r>
            <w:r>
              <w:fldChar w:fldCharType="begin"/>
            </w:r>
            <w:r>
              <w:instrText xml:space="preserve"> PAGEREF _Toc100063 \h </w:instrText>
            </w:r>
            <w:r>
              <w:fldChar w:fldCharType="separate"/>
            </w:r>
            <w:r>
              <w:t>19</w:t>
            </w:r>
            <w:r>
              <w:fldChar w:fldCharType="end"/>
            </w:r>
          </w:hyperlink>
        </w:p>
        <w:p>
          <w:pPr>
            <w:pStyle w:val="12"/>
            <w:ind w:left="720"/>
            <w:tabs>
              <w:tab w:val="right" w:leader="dot" w:pos="9026"/>
            </w:tabs>
            <w:spacing w:before="120" w:after="60"/>
          </w:pPr>
          <w:hyperlink w:anchor="_Toc100064" w:history="1">
            <w:r>
              <w:rPr>
                <w:rStyle w:val="Hyperlink"/>
              </w:rPr>
              <w:t>Authentication</w:t>
            </w:r>
            <w:r>
              <w:tab/>
            </w:r>
            <w:r>
              <w:fldChar w:fldCharType="begin"/>
            </w:r>
            <w:r>
              <w:instrText xml:space="preserve"> PAGEREF _Toc100064 \h </w:instrText>
            </w:r>
            <w:r>
              <w:fldChar w:fldCharType="separate"/>
            </w:r>
            <w:r>
              <w:t>20</w:t>
            </w:r>
            <w:r>
              <w:fldChar w:fldCharType="end"/>
            </w:r>
          </w:hyperlink>
        </w:p>
        <w:p>
          <w:pPr>
            <w:pStyle w:val="12"/>
            <w:ind w:left="720"/>
            <w:tabs>
              <w:tab w:val="right" w:leader="dot" w:pos="9026"/>
            </w:tabs>
            <w:spacing w:before="120" w:after="60"/>
          </w:pPr>
          <w:hyperlink w:anchor="_Toc100065" w:history="1">
            <w:r>
              <w:rPr>
                <w:rStyle w:val="Hyperlink"/>
              </w:rPr>
              <w:t>Key Endpoints (Selected)</w:t>
            </w:r>
            <w:r>
              <w:tab/>
            </w:r>
            <w:r>
              <w:fldChar w:fldCharType="begin"/>
            </w:r>
            <w:r>
              <w:instrText xml:space="preserve"> PAGEREF _Toc100065 \h </w:instrText>
            </w:r>
            <w:r>
              <w:fldChar w:fldCharType="separate"/>
            </w:r>
            <w:r>
              <w:t>20</w:t>
            </w:r>
            <w:r>
              <w:fldChar w:fldCharType="end"/>
            </w:r>
          </w:hyperlink>
        </w:p>
        <w:p>
          <w:pPr>
            <w:pStyle w:val="11"/>
            <w:ind w:left="360"/>
            <w:tabs>
              <w:tab w:val="right" w:leader="dot" w:pos="9026"/>
            </w:tabs>
            <w:spacing w:before="120" w:after="60"/>
          </w:pPr>
          <w:hyperlink w:anchor="_Toc100066" w:history="1">
            <w:r>
              <w:rPr>
                <w:rStyle w:val="Hyperlink"/>
              </w:rPr>
              <w:t>4.6 Architecture Decision Records (ADRs)</w:t>
            </w:r>
            <w:r>
              <w:tab/>
            </w:r>
            <w:r>
              <w:fldChar w:fldCharType="begin"/>
            </w:r>
            <w:r>
              <w:instrText xml:space="preserve"> PAGEREF _Toc100066 \h </w:instrText>
            </w:r>
            <w:r>
              <w:fldChar w:fldCharType="separate"/>
            </w:r>
            <w:r>
              <w:t>20</w:t>
            </w:r>
            <w:r>
              <w:fldChar w:fldCharType="end"/>
            </w:r>
          </w:hyperlink>
        </w:p>
        <w:p>
          <w:pPr>
            <w:pStyle w:val="12"/>
            <w:ind w:left="720"/>
            <w:tabs>
              <w:tab w:val="right" w:leader="dot" w:pos="9026"/>
            </w:tabs>
            <w:spacing w:before="120" w:after="60"/>
          </w:pPr>
          <w:hyperlink w:anchor="_Toc100067" w:history="1">
            <w:r>
              <w:rPr>
                <w:rStyle w:val="Hyperlink"/>
              </w:rPr>
              <w:t>ADR-001 — Adopt Event-Driven SOA over Monolith</w:t>
            </w:r>
            <w:r>
              <w:tab/>
            </w:r>
            <w:r>
              <w:fldChar w:fldCharType="begin"/>
            </w:r>
            <w:r>
              <w:instrText xml:space="preserve"> PAGEREF _Toc100067 \h </w:instrText>
            </w:r>
            <w:r>
              <w:fldChar w:fldCharType="separate"/>
            </w:r>
            <w:r>
              <w:t>20</w:t>
            </w:r>
            <w:r>
              <w:fldChar w:fldCharType="end"/>
            </w:r>
          </w:hyperlink>
        </w:p>
        <w:p>
          <w:pPr>
            <w:pStyle w:val="12"/>
            <w:ind w:left="720"/>
            <w:tabs>
              <w:tab w:val="right" w:leader="dot" w:pos="9026"/>
            </w:tabs>
            <w:spacing w:before="120" w:after="60"/>
          </w:pPr>
          <w:hyperlink w:anchor="_Toc100068" w:history="1">
            <w:r>
              <w:rPr>
                <w:rStyle w:val="Hyperlink"/>
              </w:rPr>
              <w:t>ADR-002 — Use Auth0 B2B for Identity</w:t>
            </w:r>
            <w:r>
              <w:tab/>
            </w:r>
            <w:r>
              <w:fldChar w:fldCharType="begin"/>
            </w:r>
            <w:r>
              <w:instrText xml:space="preserve"> PAGEREF _Toc100068 \h </w:instrText>
            </w:r>
            <w:r>
              <w:fldChar w:fldCharType="separate"/>
            </w:r>
            <w:r>
              <w:t>21</w:t>
            </w:r>
            <w:r>
              <w:fldChar w:fldCharType="end"/>
            </w:r>
          </w:hyperlink>
        </w:p>
        <w:p>
          <w:pPr>
            <w:pStyle w:val="12"/>
            <w:ind w:left="720"/>
            <w:tabs>
              <w:tab w:val="right" w:leader="dot" w:pos="9026"/>
            </w:tabs>
            <w:spacing w:before="120" w:after="60"/>
          </w:pPr>
          <w:hyperlink w:anchor="_Toc100069" w:history="1">
            <w:r>
              <w:rPr>
                <w:rStyle w:val="Hyperlink"/>
              </w:rPr>
              <w:t>ADR-003 — Use Kafka (AWS MSK) over RabbitMQ/SQS</w:t>
            </w:r>
            <w:r>
              <w:tab/>
            </w:r>
            <w:r>
              <w:fldChar w:fldCharType="begin"/>
            </w:r>
            <w:r>
              <w:instrText xml:space="preserve"> PAGEREF _Toc100069 \h </w:instrText>
            </w:r>
            <w:r>
              <w:fldChar w:fldCharType="separate"/>
            </w:r>
            <w:r>
              <w:t>21</w:t>
            </w:r>
            <w:r>
              <w:fldChar w:fldCharType="end"/>
            </w:r>
          </w:hyperlink>
        </w:p>
        <w:p>
          <w:pPr>
            <w:pStyle w:val="12"/>
            <w:ind w:left="720"/>
            <w:tabs>
              <w:tab w:val="right" w:leader="dot" w:pos="9026"/>
            </w:tabs>
            <w:spacing w:before="120" w:after="60"/>
          </w:pPr>
          <w:hyperlink w:anchor="_Toc100070" w:history="1">
            <w:r>
              <w:rPr>
                <w:rStyle w:val="Hyperlink"/>
              </w:rPr>
              <w:t>ADR-004 — Use the Outbox Pattern for Atomic Event Publish</w:t>
            </w:r>
            <w:r>
              <w:tab/>
            </w:r>
            <w:r>
              <w:fldChar w:fldCharType="begin"/>
            </w:r>
            <w:r>
              <w:instrText xml:space="preserve"> PAGEREF _Toc100070 \h </w:instrText>
            </w:r>
            <w:r>
              <w:fldChar w:fldCharType="separate"/>
            </w:r>
            <w:r>
              <w:t>22</w:t>
            </w:r>
            <w:r>
              <w:fldChar w:fldCharType="end"/>
            </w:r>
          </w:hyperlink>
        </w:p>
        <w:p>
          <w:pPr>
            <w:pStyle w:val="12"/>
            <w:ind w:left="720"/>
            <w:tabs>
              <w:tab w:val="right" w:leader="dot" w:pos="9026"/>
            </w:tabs>
            <w:spacing w:before="120" w:after="60"/>
          </w:pPr>
          <w:hyperlink w:anchor="_Toc100071" w:history="1">
            <w:r>
              <w:rPr>
                <w:rStyle w:val="Hyperlink"/>
              </w:rPr>
              <w:t>ADR-005 — Next.js PWA, No Native Apps in Phases 1–4</w:t>
            </w:r>
            <w:r>
              <w:tab/>
            </w:r>
            <w:r>
              <w:fldChar w:fldCharType="begin"/>
            </w:r>
            <w:r>
              <w:instrText xml:space="preserve"> PAGEREF _Toc100071 \h </w:instrText>
            </w:r>
            <w:r>
              <w:fldChar w:fldCharType="separate"/>
            </w:r>
            <w:r>
              <w:t>22</w:t>
            </w:r>
            <w:r>
              <w:fldChar w:fldCharType="end"/>
            </w:r>
          </w:hyperlink>
        </w:p>
        <w:p>
          <w:pPr>
            <w:pStyle w:val="9"/>
            <w:tabs>
              <w:tab w:val="right" w:leader="dot" w:pos="9026"/>
            </w:tabs>
            <w:spacing w:before="120" w:after="60"/>
          </w:pPr>
          <w:hyperlink w:anchor="_Toc100072" w:history="1">
            <w:r>
              <w:rPr>
                <w:rStyle w:val="Hyperlink"/>
              </w:rPr>
              <w:t>Document 5 — User Flows &amp; System Flows</w:t>
            </w:r>
            <w:r>
              <w:tab/>
            </w:r>
            <w:r>
              <w:fldChar w:fldCharType="begin"/>
            </w:r>
            <w:r>
              <w:instrText xml:space="preserve"> PAGEREF _Toc100072 \h </w:instrText>
            </w:r>
            <w:r>
              <w:fldChar w:fldCharType="separate"/>
            </w:r>
            <w:r>
              <w:t>23</w:t>
            </w:r>
            <w:r>
              <w:fldChar w:fldCharType="end"/>
            </w:r>
          </w:hyperlink>
        </w:p>
        <w:p>
          <w:pPr>
            <w:pStyle w:val="11"/>
            <w:ind w:left="360"/>
            <w:tabs>
              <w:tab w:val="right" w:leader="dot" w:pos="9026"/>
            </w:tabs>
            <w:spacing w:before="120" w:after="60"/>
          </w:pPr>
          <w:hyperlink w:anchor="_Toc100073" w:history="1">
            <w:r>
              <w:rPr>
                <w:rStyle w:val="Hyperlink"/>
              </w:rPr>
              <w:t>5.1 User Flows</w:t>
            </w:r>
            <w:r>
              <w:tab/>
            </w:r>
            <w:r>
              <w:fldChar w:fldCharType="begin"/>
            </w:r>
            <w:r>
              <w:instrText xml:space="preserve"> PAGEREF _Toc100073 \h </w:instrText>
            </w:r>
            <w:r>
              <w:fldChar w:fldCharType="separate"/>
            </w:r>
            <w:r>
              <w:t>23</w:t>
            </w:r>
            <w:r>
              <w:fldChar w:fldCharType="end"/>
            </w:r>
          </w:hyperlink>
        </w:p>
        <w:p>
          <w:pPr>
            <w:pStyle w:val="11"/>
            <w:ind w:left="360"/>
            <w:tabs>
              <w:tab w:val="right" w:leader="dot" w:pos="9026"/>
            </w:tabs>
            <w:spacing w:before="120" w:after="60"/>
          </w:pPr>
          <w:hyperlink w:anchor="_Toc100074" w:history="1">
            <w:r>
              <w:rPr>
                <w:rStyle w:val="Hyperlink"/>
              </w:rPr>
              <w:t>5.2 UF-03 — RFQ Submission &amp; Negotiation (Detail)</w:t>
            </w:r>
            <w:r>
              <w:tab/>
            </w:r>
            <w:r>
              <w:fldChar w:fldCharType="begin"/>
            </w:r>
            <w:r>
              <w:instrText xml:space="preserve"> PAGEREF _Toc100074 \h </w:instrText>
            </w:r>
            <w:r>
              <w:fldChar w:fldCharType="separate"/>
            </w:r>
            <w:r>
              <w:t>23</w:t>
            </w:r>
            <w:r>
              <w:fldChar w:fldCharType="end"/>
            </w:r>
          </w:hyperlink>
        </w:p>
        <w:p>
          <w:pPr>
            <w:pStyle w:val="12"/>
            <w:ind w:left="720"/>
            <w:tabs>
              <w:tab w:val="right" w:leader="dot" w:pos="9026"/>
            </w:tabs>
            <w:spacing w:before="120" w:after="60"/>
          </w:pPr>
          <w:hyperlink w:anchor="_Toc100075" w:history="1">
            <w:r>
              <w:rPr>
                <w:rStyle w:val="Hyperlink"/>
              </w:rPr>
              <w:t>Decision Points &amp; Edge Cases</w:t>
            </w:r>
            <w:r>
              <w:tab/>
            </w:r>
            <w:r>
              <w:fldChar w:fldCharType="begin"/>
            </w:r>
            <w:r>
              <w:instrText xml:space="preserve"> PAGEREF _Toc100075 \h </w:instrText>
            </w:r>
            <w:r>
              <w:fldChar w:fldCharType="separate"/>
            </w:r>
            <w:r>
              <w:t>23</w:t>
            </w:r>
            <w:r>
              <w:fldChar w:fldCharType="end"/>
            </w:r>
          </w:hyperlink>
        </w:p>
        <w:p>
          <w:pPr>
            <w:pStyle w:val="11"/>
            <w:ind w:left="360"/>
            <w:tabs>
              <w:tab w:val="right" w:leader="dot" w:pos="9026"/>
            </w:tabs>
            <w:spacing w:before="120" w:after="60"/>
          </w:pPr>
          <w:hyperlink w:anchor="_Toc100076" w:history="1">
            <w:r>
              <w:rPr>
                <w:rStyle w:val="Hyperlink"/>
              </w:rPr>
              <w:t>5.3 UF-05 — Escrow Funding &amp; Settlement (Detail)</w:t>
            </w:r>
            <w:r>
              <w:tab/>
            </w:r>
            <w:r>
              <w:fldChar w:fldCharType="begin"/>
            </w:r>
            <w:r>
              <w:instrText xml:space="preserve"> PAGEREF _Toc100076 \h </w:instrText>
            </w:r>
            <w:r>
              <w:fldChar w:fldCharType="separate"/>
            </w:r>
            <w:r>
              <w:t>24</w:t>
            </w:r>
            <w:r>
              <w:fldChar w:fldCharType="end"/>
            </w:r>
          </w:hyperlink>
        </w:p>
        <w:p>
          <w:pPr>
            <w:pStyle w:val="12"/>
            <w:ind w:left="720"/>
            <w:tabs>
              <w:tab w:val="right" w:leader="dot" w:pos="9026"/>
            </w:tabs>
            <w:spacing w:before="120" w:after="60"/>
          </w:pPr>
          <w:hyperlink w:anchor="_Toc100077" w:history="1">
            <w:r>
              <w:rPr>
                <w:rStyle w:val="Hyperlink"/>
              </w:rPr>
              <w:t>Edge Cases</w:t>
            </w:r>
            <w:r>
              <w:tab/>
            </w:r>
            <w:r>
              <w:fldChar w:fldCharType="begin"/>
            </w:r>
            <w:r>
              <w:instrText xml:space="preserve"> PAGEREF _Toc100077 \h </w:instrText>
            </w:r>
            <w:r>
              <w:fldChar w:fldCharType="separate"/>
            </w:r>
            <w:r>
              <w:t>24</w:t>
            </w:r>
            <w:r>
              <w:fldChar w:fldCharType="end"/>
            </w:r>
          </w:hyperlink>
        </w:p>
        <w:p>
          <w:pPr>
            <w:pStyle w:val="11"/>
            <w:ind w:left="360"/>
            <w:tabs>
              <w:tab w:val="right" w:leader="dot" w:pos="9026"/>
            </w:tabs>
            <w:spacing w:before="120" w:after="60"/>
          </w:pPr>
          <w:hyperlink w:anchor="_Toc100078" w:history="1">
            <w:r>
              <w:rPr>
                <w:rStyle w:val="Hyperlink"/>
              </w:rPr>
              <w:t>5.4 Sequence Diagram — RFQ Submission to Escrow Funding</w:t>
            </w:r>
            <w:r>
              <w:tab/>
            </w:r>
            <w:r>
              <w:fldChar w:fldCharType="begin"/>
            </w:r>
            <w:r>
              <w:instrText xml:space="preserve"> PAGEREF _Toc100078 \h </w:instrText>
            </w:r>
            <w:r>
              <w:fldChar w:fldCharType="separate"/>
            </w:r>
            <w:r>
              <w:t>24</w:t>
            </w:r>
            <w:r>
              <w:fldChar w:fldCharType="end"/>
            </w:r>
          </w:hyperlink>
        </w:p>
        <w:p>
          <w:pPr>
            <w:pStyle w:val="11"/>
            <w:ind w:left="360"/>
            <w:tabs>
              <w:tab w:val="right" w:leader="dot" w:pos="9026"/>
            </w:tabs>
            <w:spacing w:before="120" w:after="60"/>
          </w:pPr>
          <w:hyperlink w:anchor="_Toc100079" w:history="1">
            <w:r>
              <w:rPr>
                <w:rStyle w:val="Hyperlink"/>
              </w:rPr>
              <w:t>5.5 State Diagrams</w:t>
            </w:r>
            <w:r>
              <w:tab/>
            </w:r>
            <w:r>
              <w:fldChar w:fldCharType="begin"/>
            </w:r>
            <w:r>
              <w:instrText xml:space="preserve"> PAGEREF _Toc100079 \h </w:instrText>
            </w:r>
            <w:r>
              <w:fldChar w:fldCharType="separate"/>
            </w:r>
            <w:r>
              <w:t>24</w:t>
            </w:r>
            <w:r>
              <w:fldChar w:fldCharType="end"/>
            </w:r>
          </w:hyperlink>
        </w:p>
        <w:p>
          <w:pPr>
            <w:pStyle w:val="12"/>
            <w:ind w:left="720"/>
            <w:tabs>
              <w:tab w:val="right" w:leader="dot" w:pos="9026"/>
            </w:tabs>
            <w:spacing w:before="120" w:after="60"/>
          </w:pPr>
          <w:hyperlink w:anchor="_Toc100080" w:history="1">
            <w:r>
              <w:rPr>
                <w:rStyle w:val="Hyperlink"/>
              </w:rPr>
              <w:t>Gold Lot State Machine</w:t>
            </w:r>
            <w:r>
              <w:tab/>
            </w:r>
            <w:r>
              <w:fldChar w:fldCharType="begin"/>
            </w:r>
            <w:r>
              <w:instrText xml:space="preserve"> PAGEREF _Toc100080 \h </w:instrText>
            </w:r>
            <w:r>
              <w:fldChar w:fldCharType="separate"/>
            </w:r>
            <w:r>
              <w:t>24</w:t>
            </w:r>
            <w:r>
              <w:fldChar w:fldCharType="end"/>
            </w:r>
          </w:hyperlink>
        </w:p>
        <w:p>
          <w:pPr>
            <w:pStyle w:val="12"/>
            <w:ind w:left="720"/>
            <w:tabs>
              <w:tab w:val="right" w:leader="dot" w:pos="9026"/>
            </w:tabs>
            <w:spacing w:before="120" w:after="60"/>
          </w:pPr>
          <w:hyperlink w:anchor="_Toc100081" w:history="1">
            <w:r>
              <w:rPr>
                <w:rStyle w:val="Hyperlink"/>
              </w:rPr>
              <w:t>Trade State Machine</w:t>
            </w:r>
            <w:r>
              <w:tab/>
            </w:r>
            <w:r>
              <w:fldChar w:fldCharType="begin"/>
            </w:r>
            <w:r>
              <w:instrText xml:space="preserve"> PAGEREF _Toc100081 \h </w:instrText>
            </w:r>
            <w:r>
              <w:fldChar w:fldCharType="separate"/>
            </w:r>
            <w:r>
              <w:t>25</w:t>
            </w:r>
            <w:r>
              <w:fldChar w:fldCharType="end"/>
            </w:r>
          </w:hyperlink>
        </w:p>
        <w:p>
          <w:pPr>
            <w:pStyle w:val="12"/>
            <w:ind w:left="720"/>
            <w:tabs>
              <w:tab w:val="right" w:leader="dot" w:pos="9026"/>
            </w:tabs>
            <w:spacing w:before="120" w:after="60"/>
          </w:pPr>
          <w:hyperlink w:anchor="_Toc100082" w:history="1">
            <w:r>
              <w:rPr>
                <w:rStyle w:val="Hyperlink"/>
              </w:rPr>
              <w:t>Auction State Machine</w:t>
            </w:r>
            <w:r>
              <w:tab/>
            </w:r>
            <w:r>
              <w:fldChar w:fldCharType="begin"/>
            </w:r>
            <w:r>
              <w:instrText xml:space="preserve"> PAGEREF _Toc100082 \h </w:instrText>
            </w:r>
            <w:r>
              <w:fldChar w:fldCharType="separate"/>
            </w:r>
            <w:r>
              <w:t>25</w:t>
            </w:r>
            <w:r>
              <w:fldChar w:fldCharType="end"/>
            </w:r>
          </w:hyperlink>
        </w:p>
        <w:p>
          <w:pPr>
            <w:pStyle w:val="12"/>
            <w:ind w:left="720"/>
            <w:tabs>
              <w:tab w:val="right" w:leader="dot" w:pos="9026"/>
            </w:tabs>
            <w:spacing w:before="120" w:after="60"/>
          </w:pPr>
          <w:hyperlink w:anchor="_Toc100083" w:history="1">
            <w:r>
              <w:rPr>
                <w:rStyle w:val="Hyperlink"/>
              </w:rPr>
              <w:t>Escrow State Machine</w:t>
            </w:r>
            <w:r>
              <w:tab/>
            </w:r>
            <w:r>
              <w:fldChar w:fldCharType="begin"/>
            </w:r>
            <w:r>
              <w:instrText xml:space="preserve"> PAGEREF _Toc100083 \h </w:instrText>
            </w:r>
            <w:r>
              <w:fldChar w:fldCharType="separate"/>
            </w:r>
            <w:r>
              <w:t>25</w:t>
            </w:r>
            <w:r>
              <w:fldChar w:fldCharType="end"/>
            </w:r>
          </w:hyperlink>
        </w:p>
        <w:p>
          <w:pPr>
            <w:pStyle w:val="12"/>
            <w:ind w:left="720"/>
            <w:tabs>
              <w:tab w:val="right" w:leader="dot" w:pos="9026"/>
            </w:tabs>
            <w:spacing w:before="120" w:after="60"/>
          </w:pPr>
          <w:hyperlink w:anchor="_Toc100084" w:history="1">
            <w:r>
              <w:rPr>
                <w:rStyle w:val="Hyperlink"/>
              </w:rPr>
              <w:t>Compliance Alert State Machine</w:t>
            </w:r>
            <w:r>
              <w:tab/>
            </w:r>
            <w:r>
              <w:fldChar w:fldCharType="begin"/>
            </w:r>
            <w:r>
              <w:instrText xml:space="preserve"> PAGEREF _Toc100084 \h </w:instrText>
            </w:r>
            <w:r>
              <w:fldChar w:fldCharType="separate"/>
            </w:r>
            <w:r>
              <w:t>25</w:t>
            </w:r>
            <w:r>
              <w:fldChar w:fldCharType="end"/>
            </w:r>
          </w:hyperlink>
        </w:p>
        <w:p>
          <w:pPr>
            <w:pStyle w:val="9"/>
            <w:tabs>
              <w:tab w:val="right" w:leader="dot" w:pos="9026"/>
            </w:tabs>
            <w:spacing w:before="120" w:after="60"/>
          </w:pPr>
          <w:hyperlink w:anchor="_Toc100085" w:history="1">
            <w:r>
              <w:rPr>
                <w:rStyle w:val="Hyperlink"/>
              </w:rPr>
              <w:t>Document 6 — Development &amp; Operations Documentation</w:t>
            </w:r>
            <w:r>
              <w:tab/>
            </w:r>
            <w:r>
              <w:fldChar w:fldCharType="begin"/>
            </w:r>
            <w:r>
              <w:instrText xml:space="preserve"> PAGEREF _Toc100085 \h </w:instrText>
            </w:r>
            <w:r>
              <w:fldChar w:fldCharType="separate"/>
            </w:r>
            <w:r>
              <w:t>26</w:t>
            </w:r>
            <w:r>
              <w:fldChar w:fldCharType="end"/>
            </w:r>
          </w:hyperlink>
        </w:p>
        <w:p>
          <w:pPr>
            <w:pStyle w:val="11"/>
            <w:ind w:left="360"/>
            <w:tabs>
              <w:tab w:val="right" w:leader="dot" w:pos="9026"/>
            </w:tabs>
            <w:spacing w:before="120" w:after="60"/>
          </w:pPr>
          <w:hyperlink w:anchor="_Toc100086" w:history="1">
            <w:r>
              <w:rPr>
                <w:rStyle w:val="Hyperlink"/>
              </w:rPr>
              <w:t>6.1 Repository Structure</w:t>
            </w:r>
            <w:r>
              <w:tab/>
            </w:r>
            <w:r>
              <w:fldChar w:fldCharType="begin"/>
            </w:r>
            <w:r>
              <w:instrText xml:space="preserve"> PAGEREF _Toc100086 \h </w:instrText>
            </w:r>
            <w:r>
              <w:fldChar w:fldCharType="separate"/>
            </w:r>
            <w:r>
              <w:t>26</w:t>
            </w:r>
            <w:r>
              <w:fldChar w:fldCharType="end"/>
            </w:r>
          </w:hyperlink>
        </w:p>
        <w:p>
          <w:pPr>
            <w:pStyle w:val="11"/>
            <w:ind w:left="360"/>
            <w:tabs>
              <w:tab w:val="right" w:leader="dot" w:pos="9026"/>
            </w:tabs>
            <w:spacing w:before="120" w:after="60"/>
          </w:pPr>
          <w:hyperlink w:anchor="_Toc100087" w:history="1">
            <w:r>
              <w:rPr>
                <w:rStyle w:val="Hyperlink"/>
              </w:rPr>
              <w:t>6.2 Environment Variables (Selected)</w:t>
            </w:r>
            <w:r>
              <w:tab/>
            </w:r>
            <w:r>
              <w:fldChar w:fldCharType="begin"/>
            </w:r>
            <w:r>
              <w:instrText xml:space="preserve"> PAGEREF _Toc100087 \h </w:instrText>
            </w:r>
            <w:r>
              <w:fldChar w:fldCharType="separate"/>
            </w:r>
            <w:r>
              <w:t>26</w:t>
            </w:r>
            <w:r>
              <w:fldChar w:fldCharType="end"/>
            </w:r>
          </w:hyperlink>
        </w:p>
        <w:p>
          <w:pPr>
            <w:pStyle w:val="11"/>
            <w:ind w:left="360"/>
            <w:tabs>
              <w:tab w:val="right" w:leader="dot" w:pos="9026"/>
            </w:tabs>
            <w:spacing w:before="120" w:after="60"/>
          </w:pPr>
          <w:hyperlink w:anchor="_Toc100088" w:history="1">
            <w:r>
              <w:rPr>
                <w:rStyle w:val="Hyperlink"/>
              </w:rPr>
              <w:t>6.3 Coding Standards</w:t>
            </w:r>
            <w:r>
              <w:tab/>
            </w:r>
            <w:r>
              <w:fldChar w:fldCharType="begin"/>
            </w:r>
            <w:r>
              <w:instrText xml:space="preserve"> PAGEREF _Toc100088 \h </w:instrText>
            </w:r>
            <w:r>
              <w:fldChar w:fldCharType="separate"/>
            </w:r>
            <w:r>
              <w:t>26</w:t>
            </w:r>
            <w:r>
              <w:fldChar w:fldCharType="end"/>
            </w:r>
          </w:hyperlink>
        </w:p>
        <w:p>
          <w:pPr>
            <w:pStyle w:val="12"/>
            <w:ind w:left="720"/>
            <w:tabs>
              <w:tab w:val="right" w:leader="dot" w:pos="9026"/>
            </w:tabs>
            <w:spacing w:before="120" w:after="60"/>
          </w:pPr>
          <w:hyperlink w:anchor="_Toc100089" w:history="1">
            <w:r>
              <w:rPr>
                <w:rStyle w:val="Hyperlink"/>
              </w:rPr>
              <w:t>Naming Conventions</w:t>
            </w:r>
            <w:r>
              <w:tab/>
            </w:r>
            <w:r>
              <w:fldChar w:fldCharType="begin"/>
            </w:r>
            <w:r>
              <w:instrText xml:space="preserve"> PAGEREF _Toc100089 \h </w:instrText>
            </w:r>
            <w:r>
              <w:fldChar w:fldCharType="separate"/>
            </w:r>
            <w:r>
              <w:t>26</w:t>
            </w:r>
            <w:r>
              <w:fldChar w:fldCharType="end"/>
            </w:r>
          </w:hyperlink>
        </w:p>
        <w:p>
          <w:pPr>
            <w:pStyle w:val="12"/>
            <w:ind w:left="720"/>
            <w:tabs>
              <w:tab w:val="right" w:leader="dot" w:pos="9026"/>
            </w:tabs>
            <w:spacing w:before="120" w:after="60"/>
          </w:pPr>
          <w:hyperlink w:anchor="_Toc100090" w:history="1">
            <w:r>
              <w:rPr>
                <w:rStyle w:val="Hyperlink"/>
              </w:rPr>
              <w:t>Git Branching — Trunk-Based Development</w:t>
            </w:r>
            <w:r>
              <w:tab/>
            </w:r>
            <w:r>
              <w:fldChar w:fldCharType="begin"/>
            </w:r>
            <w:r>
              <w:instrText xml:space="preserve"> PAGEREF _Toc100090 \h </w:instrText>
            </w:r>
            <w:r>
              <w:fldChar w:fldCharType="separate"/>
            </w:r>
            <w:r>
              <w:t>26</w:t>
            </w:r>
            <w:r>
              <w:fldChar w:fldCharType="end"/>
            </w:r>
          </w:hyperlink>
        </w:p>
        <w:p>
          <w:pPr>
            <w:pStyle w:val="12"/>
            <w:ind w:left="720"/>
            <w:tabs>
              <w:tab w:val="right" w:leader="dot" w:pos="9026"/>
            </w:tabs>
            <w:spacing w:before="120" w:after="60"/>
          </w:pPr>
          <w:hyperlink w:anchor="_Toc100091" w:history="1">
            <w:r>
              <w:rPr>
                <w:rStyle w:val="Hyperlink"/>
              </w:rPr>
              <w:t>Code Review Checklist</w:t>
            </w:r>
            <w:r>
              <w:tab/>
            </w:r>
            <w:r>
              <w:fldChar w:fldCharType="begin"/>
            </w:r>
            <w:r>
              <w:instrText xml:space="preserve"> PAGEREF _Toc100091 \h </w:instrText>
            </w:r>
            <w:r>
              <w:fldChar w:fldCharType="separate"/>
            </w:r>
            <w:r>
              <w:t>27</w:t>
            </w:r>
            <w:r>
              <w:fldChar w:fldCharType="end"/>
            </w:r>
          </w:hyperlink>
        </w:p>
        <w:p>
          <w:pPr>
            <w:pStyle w:val="11"/>
            <w:ind w:left="360"/>
            <w:tabs>
              <w:tab w:val="right" w:leader="dot" w:pos="9026"/>
            </w:tabs>
            <w:spacing w:before="120" w:after="60"/>
          </w:pPr>
          <w:hyperlink w:anchor="_Toc100092" w:history="1">
            <w:r>
              <w:rPr>
                <w:rStyle w:val="Hyperlink"/>
              </w:rPr>
              <w:t>6.4 Deployment Runbook</w:t>
            </w:r>
            <w:r>
              <w:tab/>
            </w:r>
            <w:r>
              <w:fldChar w:fldCharType="begin"/>
            </w:r>
            <w:r>
              <w:instrText xml:space="preserve"> PAGEREF _Toc100092 \h </w:instrText>
            </w:r>
            <w:r>
              <w:fldChar w:fldCharType="separate"/>
            </w:r>
            <w:r>
              <w:t>28</w:t>
            </w:r>
            <w:r>
              <w:fldChar w:fldCharType="end"/>
            </w:r>
          </w:hyperlink>
        </w:p>
        <w:p>
          <w:pPr>
            <w:pStyle w:val="12"/>
            <w:ind w:left="720"/>
            <w:tabs>
              <w:tab w:val="right" w:leader="dot" w:pos="9026"/>
            </w:tabs>
            <w:spacing w:before="120" w:after="60"/>
          </w:pPr>
          <w:hyperlink w:anchor="_Toc100093" w:history="1">
            <w:r>
              <w:rPr>
                <w:rStyle w:val="Hyperlink"/>
              </w:rPr>
              <w:t>Environments</w:t>
            </w:r>
            <w:r>
              <w:tab/>
            </w:r>
            <w:r>
              <w:fldChar w:fldCharType="begin"/>
            </w:r>
            <w:r>
              <w:instrText xml:space="preserve"> PAGEREF _Toc100093 \h </w:instrText>
            </w:r>
            <w:r>
              <w:fldChar w:fldCharType="separate"/>
            </w:r>
            <w:r>
              <w:t>28</w:t>
            </w:r>
            <w:r>
              <w:fldChar w:fldCharType="end"/>
            </w:r>
          </w:hyperlink>
        </w:p>
        <w:p>
          <w:pPr>
            <w:pStyle w:val="12"/>
            <w:ind w:left="720"/>
            <w:tabs>
              <w:tab w:val="right" w:leader="dot" w:pos="9026"/>
            </w:tabs>
            <w:spacing w:before="120" w:after="60"/>
          </w:pPr>
          <w:hyperlink w:anchor="_Toc100094" w:history="1">
            <w:r>
              <w:rPr>
                <w:rStyle w:val="Hyperlink"/>
              </w:rPr>
              <w:t>Deploy to Production (Manual Approval Required)</w:t>
            </w:r>
            <w:r>
              <w:tab/>
            </w:r>
            <w:r>
              <w:fldChar w:fldCharType="begin"/>
            </w:r>
            <w:r>
              <w:instrText xml:space="preserve"> PAGEREF _Toc100094 \h </w:instrText>
            </w:r>
            <w:r>
              <w:fldChar w:fldCharType="separate"/>
            </w:r>
            <w:r>
              <w:t>28</w:t>
            </w:r>
            <w:r>
              <w:fldChar w:fldCharType="end"/>
            </w:r>
          </w:hyperlink>
        </w:p>
        <w:p>
          <w:pPr>
            <w:pStyle w:val="12"/>
            <w:ind w:left="720"/>
            <w:tabs>
              <w:tab w:val="right" w:leader="dot" w:pos="9026"/>
            </w:tabs>
            <w:spacing w:before="120" w:after="60"/>
          </w:pPr>
          <w:hyperlink w:anchor="_Toc100095" w:history="1">
            <w:r>
              <w:rPr>
                <w:rStyle w:val="Hyperlink"/>
              </w:rPr>
              <w:t>Rollback Procedure</w:t>
            </w:r>
            <w:r>
              <w:tab/>
            </w:r>
            <w:r>
              <w:fldChar w:fldCharType="begin"/>
            </w:r>
            <w:r>
              <w:instrText xml:space="preserve"> PAGEREF _Toc100095 \h </w:instrText>
            </w:r>
            <w:r>
              <w:fldChar w:fldCharType="separate"/>
            </w:r>
            <w:r>
              <w:t>29</w:t>
            </w:r>
            <w:r>
              <w:fldChar w:fldCharType="end"/>
            </w:r>
          </w:hyperlink>
        </w:p>
        <w:p>
          <w:pPr>
            <w:pStyle w:val="11"/>
            <w:ind w:left="360"/>
            <w:tabs>
              <w:tab w:val="right" w:leader="dot" w:pos="9026"/>
            </w:tabs>
            <w:spacing w:before="120" w:after="60"/>
          </w:pPr>
          <w:hyperlink w:anchor="_Toc100096" w:history="1">
            <w:r>
              <w:rPr>
                <w:rStyle w:val="Hyperlink"/>
              </w:rPr>
              <w:t>6.5 CI/CD Pipeline</w:t>
            </w:r>
            <w:r>
              <w:tab/>
            </w:r>
            <w:r>
              <w:fldChar w:fldCharType="begin"/>
            </w:r>
            <w:r>
              <w:instrText xml:space="preserve"> PAGEREF _Toc100096 \h </w:instrText>
            </w:r>
            <w:r>
              <w:fldChar w:fldCharType="separate"/>
            </w:r>
            <w:r>
              <w:t>29</w:t>
            </w:r>
            <w:r>
              <w:fldChar w:fldCharType="end"/>
            </w:r>
          </w:hyperlink>
        </w:p>
        <w:p>
          <w:pPr>
            <w:pStyle w:val="12"/>
            <w:ind w:left="720"/>
            <w:tabs>
              <w:tab w:val="right" w:leader="dot" w:pos="9026"/>
            </w:tabs>
            <w:spacing w:before="120" w:after="60"/>
          </w:pPr>
          <w:hyperlink w:anchor="_Toc100097" w:history="1">
            <w:r>
              <w:rPr>
                <w:rStyle w:val="Hyperlink"/>
              </w:rPr>
              <w:t>Quality Gates</w:t>
            </w:r>
            <w:r>
              <w:tab/>
            </w:r>
            <w:r>
              <w:fldChar w:fldCharType="begin"/>
            </w:r>
            <w:r>
              <w:instrText xml:space="preserve"> PAGEREF _Toc100097 \h </w:instrText>
            </w:r>
            <w:r>
              <w:fldChar w:fldCharType="separate"/>
            </w:r>
            <w:r>
              <w:t>29</w:t>
            </w:r>
            <w:r>
              <w:fldChar w:fldCharType="end"/>
            </w:r>
          </w:hyperlink>
        </w:p>
        <w:p>
          <w:pPr>
            <w:pStyle w:val="11"/>
            <w:ind w:left="360"/>
            <w:tabs>
              <w:tab w:val="right" w:leader="dot" w:pos="9026"/>
            </w:tabs>
            <w:spacing w:before="120" w:after="60"/>
          </w:pPr>
          <w:hyperlink w:anchor="_Toc100098" w:history="1">
            <w:r>
              <w:rPr>
                <w:rStyle w:val="Hyperlink"/>
              </w:rPr>
              <w:t>6.6 Monitoring, Logging &amp; Alerting</w:t>
            </w:r>
            <w:r>
              <w:tab/>
            </w:r>
            <w:r>
              <w:fldChar w:fldCharType="begin"/>
            </w:r>
            <w:r>
              <w:instrText xml:space="preserve"> PAGEREF _Toc100098 \h </w:instrText>
            </w:r>
            <w:r>
              <w:fldChar w:fldCharType="separate"/>
            </w:r>
            <w:r>
              <w:t>29</w:t>
            </w:r>
            <w:r>
              <w:fldChar w:fldCharType="end"/>
            </w:r>
          </w:hyperlink>
        </w:p>
        <w:p>
          <w:pPr>
            <w:pStyle w:val="12"/>
            <w:ind w:left="720"/>
            <w:tabs>
              <w:tab w:val="right" w:leader="dot" w:pos="9026"/>
            </w:tabs>
            <w:spacing w:before="120" w:after="60"/>
          </w:pPr>
          <w:hyperlink w:anchor="_Toc100099" w:history="1">
            <w:r>
              <w:rPr>
                <w:rStyle w:val="Hyperlink"/>
              </w:rPr>
              <w:t>Observability Stack</w:t>
            </w:r>
            <w:r>
              <w:tab/>
            </w:r>
            <w:r>
              <w:fldChar w:fldCharType="begin"/>
            </w:r>
            <w:r>
              <w:instrText xml:space="preserve"> PAGEREF _Toc100099 \h </w:instrText>
            </w:r>
            <w:r>
              <w:fldChar w:fldCharType="separate"/>
            </w:r>
            <w:r>
              <w:t>29</w:t>
            </w:r>
            <w:r>
              <w:fldChar w:fldCharType="end"/>
            </w:r>
          </w:hyperlink>
        </w:p>
        <w:p>
          <w:pPr>
            <w:pStyle w:val="12"/>
            <w:ind w:left="720"/>
            <w:tabs>
              <w:tab w:val="right" w:leader="dot" w:pos="9026"/>
            </w:tabs>
            <w:spacing w:before="120" w:after="60"/>
          </w:pPr>
          <w:hyperlink w:anchor="_Toc100100" w:history="1">
            <w:r>
              <w:rPr>
                <w:rStyle w:val="Hyperlink"/>
              </w:rPr>
              <w:t>Key SLOs</w:t>
            </w:r>
            <w:r>
              <w:tab/>
            </w:r>
            <w:r>
              <w:fldChar w:fldCharType="begin"/>
            </w:r>
            <w:r>
              <w:instrText xml:space="preserve"> PAGEREF _Toc100100 \h </w:instrText>
            </w:r>
            <w:r>
              <w:fldChar w:fldCharType="separate"/>
            </w:r>
            <w:r>
              <w:t>29</w:t>
            </w:r>
            <w:r>
              <w:fldChar w:fldCharType="end"/>
            </w:r>
          </w:hyperlink>
        </w:p>
        <w:p>
          <w:pPr>
            <w:pStyle w:val="12"/>
            <w:ind w:left="720"/>
            <w:tabs>
              <w:tab w:val="right" w:leader="dot" w:pos="9026"/>
            </w:tabs>
            <w:spacing w:before="120" w:after="60"/>
          </w:pPr>
          <w:hyperlink w:anchor="_Toc100101" w:history="1">
            <w:r>
              <w:rPr>
                <w:rStyle w:val="Hyperlink"/>
              </w:rPr>
              <w:t>Alert Triggers (Selected)</w:t>
            </w:r>
            <w:r>
              <w:tab/>
            </w:r>
            <w:r>
              <w:fldChar w:fldCharType="begin"/>
            </w:r>
            <w:r>
              <w:instrText xml:space="preserve"> PAGEREF _Toc100101 \h </w:instrText>
            </w:r>
            <w:r>
              <w:fldChar w:fldCharType="separate"/>
            </w:r>
            <w:r>
              <w:t>30</w:t>
            </w:r>
            <w:r>
              <w:fldChar w:fldCharType="end"/>
            </w:r>
          </w:hyperlink>
        </w:p>
        <w:p>
          <w:pPr>
            <w:pStyle w:val="11"/>
            <w:ind w:left="360"/>
            <w:tabs>
              <w:tab w:val="right" w:leader="dot" w:pos="9026"/>
            </w:tabs>
            <w:spacing w:before="120" w:after="60"/>
          </w:pPr>
          <w:hyperlink w:anchor="_Toc100102" w:history="1">
            <w:r>
              <w:rPr>
                <w:rStyle w:val="Hyperlink"/>
              </w:rPr>
              <w:t>6.7 Disaster Recovery &amp; Backup</w:t>
            </w:r>
            <w:r>
              <w:tab/>
            </w:r>
            <w:r>
              <w:fldChar w:fldCharType="begin"/>
            </w:r>
            <w:r>
              <w:instrText xml:space="preserve"> PAGEREF _Toc100102 \h </w:instrText>
            </w:r>
            <w:r>
              <w:fldChar w:fldCharType="separate"/>
            </w:r>
            <w:r>
              <w:t>30</w:t>
            </w:r>
            <w:r>
              <w:fldChar w:fldCharType="end"/>
            </w:r>
          </w:hyperlink>
        </w:p>
        <w:p>
          <w:pPr>
            <w:pStyle w:val="12"/>
            <w:ind w:left="720"/>
            <w:tabs>
              <w:tab w:val="right" w:leader="dot" w:pos="9026"/>
            </w:tabs>
            <w:spacing w:before="120" w:after="60"/>
          </w:pPr>
          <w:hyperlink w:anchor="_Toc100103" w:history="1">
            <w:r>
              <w:rPr>
                <w:rStyle w:val="Hyperlink"/>
              </w:rPr>
              <w:t>Backup Strategy</w:t>
            </w:r>
            <w:r>
              <w:tab/>
            </w:r>
            <w:r>
              <w:fldChar w:fldCharType="begin"/>
            </w:r>
            <w:r>
              <w:instrText xml:space="preserve"> PAGEREF _Toc100103 \h </w:instrText>
            </w:r>
            <w:r>
              <w:fldChar w:fldCharType="separate"/>
            </w:r>
            <w:r>
              <w:t>30</w:t>
            </w:r>
            <w:r>
              <w:fldChar w:fldCharType="end"/>
            </w:r>
          </w:hyperlink>
        </w:p>
        <w:p>
          <w:pPr>
            <w:pStyle w:val="12"/>
            <w:ind w:left="720"/>
            <w:tabs>
              <w:tab w:val="right" w:leader="dot" w:pos="9026"/>
            </w:tabs>
            <w:spacing w:before="120" w:after="60"/>
          </w:pPr>
          <w:hyperlink w:anchor="_Toc100104" w:history="1">
            <w:r>
              <w:rPr>
                <w:rStyle w:val="Hyperlink"/>
              </w:rPr>
              <w:t>RTO and RPO</w:t>
            </w:r>
            <w:r>
              <w:tab/>
            </w:r>
            <w:r>
              <w:fldChar w:fldCharType="begin"/>
            </w:r>
            <w:r>
              <w:instrText xml:space="preserve"> PAGEREF _Toc100104 \h </w:instrText>
            </w:r>
            <w:r>
              <w:fldChar w:fldCharType="separate"/>
            </w:r>
            <w:r>
              <w:t>30</w:t>
            </w:r>
            <w:r>
              <w:fldChar w:fldCharType="end"/>
            </w:r>
          </w:hyperlink>
        </w:p>
        <w:p>
          <w:pPr>
            <w:pStyle w:val="12"/>
            <w:ind w:left="720"/>
            <w:tabs>
              <w:tab w:val="right" w:leader="dot" w:pos="9026"/>
            </w:tabs>
            <w:spacing w:before="120" w:after="60"/>
          </w:pPr>
          <w:hyperlink w:anchor="_Toc100105" w:history="1">
            <w:r>
              <w:rPr>
                <w:rStyle w:val="Hyperlink"/>
              </w:rPr>
              <w:t>Cross-Region DR Failover (Full Region Loss)</w:t>
            </w:r>
            <w:r>
              <w:tab/>
            </w:r>
            <w:r>
              <w:fldChar w:fldCharType="begin"/>
            </w:r>
            <w:r>
              <w:instrText xml:space="preserve"> PAGEREF _Toc100105 \h </w:instrText>
            </w:r>
            <w:r>
              <w:fldChar w:fldCharType="separate"/>
            </w:r>
            <w:r>
              <w:t>30</w:t>
            </w:r>
            <w:r>
              <w:fldChar w:fldCharType="end"/>
            </w:r>
          </w:hyperlink>
        </w:p>
        <w:p>
          <w:pPr>
            <w:pStyle w:val="9"/>
            <w:tabs>
              <w:tab w:val="right" w:leader="dot" w:pos="9026"/>
            </w:tabs>
            <w:spacing w:before="120" w:after="60"/>
          </w:pPr>
          <w:hyperlink w:anchor="_Toc100106" w:history="1">
            <w:r>
              <w:rPr>
                <w:rStyle w:val="Hyperlink"/>
              </w:rPr>
              <w:t>Document 7 — Security &amp; Compliance</w:t>
            </w:r>
            <w:r>
              <w:tab/>
            </w:r>
            <w:r>
              <w:fldChar w:fldCharType="begin"/>
            </w:r>
            <w:r>
              <w:instrText xml:space="preserve"> PAGEREF _Toc100106 \h </w:instrText>
            </w:r>
            <w:r>
              <w:fldChar w:fldCharType="separate"/>
            </w:r>
            <w:r>
              <w:t>30</w:t>
            </w:r>
            <w:r>
              <w:fldChar w:fldCharType="end"/>
            </w:r>
          </w:hyperlink>
        </w:p>
        <w:p>
          <w:pPr>
            <w:pStyle w:val="11"/>
            <w:ind w:left="360"/>
            <w:tabs>
              <w:tab w:val="right" w:leader="dot" w:pos="9026"/>
            </w:tabs>
            <w:spacing w:before="120" w:after="60"/>
          </w:pPr>
          <w:hyperlink w:anchor="_Toc100107" w:history="1">
            <w:r>
              <w:rPr>
                <w:rStyle w:val="Hyperlink"/>
              </w:rPr>
              <w:t>7.1 Security Principles</w:t>
            </w:r>
            <w:r>
              <w:tab/>
            </w:r>
            <w:r>
              <w:fldChar w:fldCharType="begin"/>
            </w:r>
            <w:r>
              <w:instrText xml:space="preserve"> PAGEREF _Toc100107 \h </w:instrText>
            </w:r>
            <w:r>
              <w:fldChar w:fldCharType="separate"/>
            </w:r>
            <w:r>
              <w:t>31</w:t>
            </w:r>
            <w:r>
              <w:fldChar w:fldCharType="end"/>
            </w:r>
          </w:hyperlink>
        </w:p>
        <w:p>
          <w:pPr>
            <w:pStyle w:val="11"/>
            <w:ind w:left="360"/>
            <w:tabs>
              <w:tab w:val="right" w:leader="dot" w:pos="9026"/>
            </w:tabs>
            <w:spacing w:before="120" w:after="60"/>
          </w:pPr>
          <w:hyperlink w:anchor="_Toc100108" w:history="1">
            <w:r>
              <w:rPr>
                <w:rStyle w:val="Hyperlink"/>
              </w:rPr>
              <w:t>7.2 Authentication &amp; Authorization</w:t>
            </w:r>
            <w:r>
              <w:tab/>
            </w:r>
            <w:r>
              <w:fldChar w:fldCharType="begin"/>
            </w:r>
            <w:r>
              <w:instrText xml:space="preserve"> PAGEREF _Toc100108 \h </w:instrText>
            </w:r>
            <w:r>
              <w:fldChar w:fldCharType="separate"/>
            </w:r>
            <w:r>
              <w:t>31</w:t>
            </w:r>
            <w:r>
              <w:fldChar w:fldCharType="end"/>
            </w:r>
          </w:hyperlink>
        </w:p>
        <w:p>
          <w:pPr>
            <w:pStyle w:val="12"/>
            <w:ind w:left="720"/>
            <w:tabs>
              <w:tab w:val="right" w:leader="dot" w:pos="9026"/>
            </w:tabs>
            <w:spacing w:before="120" w:after="60"/>
          </w:pPr>
          <w:hyperlink w:anchor="_Toc100109" w:history="1">
            <w:r>
              <w:rPr>
                <w:rStyle w:val="Hyperlink"/>
              </w:rPr>
              <w:t>Authentication Mechanism</w:t>
            </w:r>
            <w:r>
              <w:tab/>
            </w:r>
            <w:r>
              <w:fldChar w:fldCharType="begin"/>
            </w:r>
            <w:r>
              <w:instrText xml:space="preserve"> PAGEREF _Toc100109 \h </w:instrText>
            </w:r>
            <w:r>
              <w:fldChar w:fldCharType="separate"/>
            </w:r>
            <w:r>
              <w:t>31</w:t>
            </w:r>
            <w:r>
              <w:fldChar w:fldCharType="end"/>
            </w:r>
          </w:hyperlink>
        </w:p>
        <w:p>
          <w:pPr>
            <w:pStyle w:val="12"/>
            <w:ind w:left="720"/>
            <w:tabs>
              <w:tab w:val="right" w:leader="dot" w:pos="9026"/>
            </w:tabs>
            <w:spacing w:before="120" w:after="60"/>
          </w:pPr>
          <w:hyperlink w:anchor="_Toc100110" w:history="1">
            <w:r>
              <w:rPr>
                <w:rStyle w:val="Hyperlink"/>
              </w:rPr>
              <w:t>MFA Requirements</w:t>
            </w:r>
            <w:r>
              <w:tab/>
            </w:r>
            <w:r>
              <w:fldChar w:fldCharType="begin"/>
            </w:r>
            <w:r>
              <w:instrText xml:space="preserve"> PAGEREF _Toc100110 \h </w:instrText>
            </w:r>
            <w:r>
              <w:fldChar w:fldCharType="separate"/>
            </w:r>
            <w:r>
              <w:t>31</w:t>
            </w:r>
            <w:r>
              <w:fldChar w:fldCharType="end"/>
            </w:r>
          </w:hyperlink>
        </w:p>
        <w:p>
          <w:pPr>
            <w:pStyle w:val="11"/>
            <w:ind w:left="360"/>
            <w:tabs>
              <w:tab w:val="right" w:leader="dot" w:pos="9026"/>
            </w:tabs>
            <w:spacing w:before="120" w:after="60"/>
          </w:pPr>
          <w:hyperlink w:anchor="_Toc100111" w:history="1">
            <w:r>
              <w:rPr>
                <w:rStyle w:val="Hyperlink"/>
              </w:rPr>
              <w:t>7.3 Data Encryption</w:t>
            </w:r>
            <w:r>
              <w:tab/>
            </w:r>
            <w:r>
              <w:fldChar w:fldCharType="begin"/>
            </w:r>
            <w:r>
              <w:instrText xml:space="preserve"> PAGEREF _Toc100111 \h </w:instrText>
            </w:r>
            <w:r>
              <w:fldChar w:fldCharType="separate"/>
            </w:r>
            <w:r>
              <w:t>31</w:t>
            </w:r>
            <w:r>
              <w:fldChar w:fldCharType="end"/>
            </w:r>
          </w:hyperlink>
        </w:p>
        <w:p>
          <w:pPr>
            <w:pStyle w:val="12"/>
            <w:ind w:left="720"/>
            <w:tabs>
              <w:tab w:val="right" w:leader="dot" w:pos="9026"/>
            </w:tabs>
            <w:spacing w:before="120" w:after="60"/>
          </w:pPr>
          <w:hyperlink w:anchor="_Toc100112" w:history="1">
            <w:r>
              <w:rPr>
                <w:rStyle w:val="Hyperlink"/>
              </w:rPr>
              <w:t>Encryption at Rest</w:t>
            </w:r>
            <w:r>
              <w:tab/>
            </w:r>
            <w:r>
              <w:fldChar w:fldCharType="begin"/>
            </w:r>
            <w:r>
              <w:instrText xml:space="preserve"> PAGEREF _Toc100112 \h </w:instrText>
            </w:r>
            <w:r>
              <w:fldChar w:fldCharType="separate"/>
            </w:r>
            <w:r>
              <w:t>31</w:t>
            </w:r>
            <w:r>
              <w:fldChar w:fldCharType="end"/>
            </w:r>
          </w:hyperlink>
        </w:p>
        <w:p>
          <w:pPr>
            <w:pStyle w:val="12"/>
            <w:ind w:left="720"/>
            <w:tabs>
              <w:tab w:val="right" w:leader="dot" w:pos="9026"/>
            </w:tabs>
            <w:spacing w:before="120" w:after="60"/>
          </w:pPr>
          <w:hyperlink w:anchor="_Toc100113" w:history="1">
            <w:r>
              <w:rPr>
                <w:rStyle w:val="Hyperlink"/>
              </w:rPr>
              <w:t>Field-Level Encryption (PII)</w:t>
            </w:r>
            <w:r>
              <w:tab/>
            </w:r>
            <w:r>
              <w:fldChar w:fldCharType="begin"/>
            </w:r>
            <w:r>
              <w:instrText xml:space="preserve"> PAGEREF _Toc100113 \h </w:instrText>
            </w:r>
            <w:r>
              <w:fldChar w:fldCharType="separate"/>
            </w:r>
            <w:r>
              <w:t>31</w:t>
            </w:r>
            <w:r>
              <w:fldChar w:fldCharType="end"/>
            </w:r>
          </w:hyperlink>
        </w:p>
        <w:p>
          <w:pPr>
            <w:pStyle w:val="11"/>
            <w:ind w:left="360"/>
            <w:tabs>
              <w:tab w:val="right" w:leader="dot" w:pos="9026"/>
            </w:tabs>
            <w:spacing w:before="120" w:after="60"/>
          </w:pPr>
          <w:hyperlink w:anchor="_Toc100114" w:history="1">
            <w:r>
              <w:rPr>
                <w:rStyle w:val="Hyperlink"/>
              </w:rPr>
              <w:t>7.4 Audit Trail &amp; Tamper Evidence</w:t>
            </w:r>
            <w:r>
              <w:tab/>
            </w:r>
            <w:r>
              <w:fldChar w:fldCharType="begin"/>
            </w:r>
            <w:r>
              <w:instrText xml:space="preserve"> PAGEREF _Toc100114 \h </w:instrText>
            </w:r>
            <w:r>
              <w:fldChar w:fldCharType="separate"/>
            </w:r>
            <w:r>
              <w:t>32</w:t>
            </w:r>
            <w:r>
              <w:fldChar w:fldCharType="end"/>
            </w:r>
          </w:hyperlink>
        </w:p>
        <w:p>
          <w:pPr>
            <w:pStyle w:val="11"/>
            <w:ind w:left="360"/>
            <w:tabs>
              <w:tab w:val="right" w:leader="dot" w:pos="9026"/>
            </w:tabs>
            <w:spacing w:before="120" w:after="60"/>
          </w:pPr>
          <w:hyperlink w:anchor="_Toc100115" w:history="1">
            <w:r>
              <w:rPr>
                <w:rStyle w:val="Hyperlink"/>
              </w:rPr>
              <w:t>7.5 Secrets Management</w:t>
            </w:r>
            <w:r>
              <w:tab/>
            </w:r>
            <w:r>
              <w:fldChar w:fldCharType="begin"/>
            </w:r>
            <w:r>
              <w:instrText xml:space="preserve"> PAGEREF _Toc100115 \h </w:instrText>
            </w:r>
            <w:r>
              <w:fldChar w:fldCharType="separate"/>
            </w:r>
            <w:r>
              <w:t>32</w:t>
            </w:r>
            <w:r>
              <w:fldChar w:fldCharType="end"/>
            </w:r>
          </w:hyperlink>
        </w:p>
        <w:p>
          <w:pPr>
            <w:pStyle w:val="11"/>
            <w:ind w:left="360"/>
            <w:tabs>
              <w:tab w:val="right" w:leader="dot" w:pos="9026"/>
            </w:tabs>
            <w:spacing w:before="120" w:after="60"/>
          </w:pPr>
          <w:hyperlink w:anchor="_Toc100116" w:history="1">
            <w:r>
              <w:rPr>
                <w:rStyle w:val="Hyperlink"/>
              </w:rPr>
              <w:t>7.6 Compliance Notes</w:t>
            </w:r>
            <w:r>
              <w:tab/>
            </w:r>
            <w:r>
              <w:fldChar w:fldCharType="begin"/>
            </w:r>
            <w:r>
              <w:instrText xml:space="preserve"> PAGEREF _Toc100116 \h </w:instrText>
            </w:r>
            <w:r>
              <w:fldChar w:fldCharType="separate"/>
            </w:r>
            <w:r>
              <w:t>33</w:t>
            </w:r>
            <w:r>
              <w:fldChar w:fldCharType="end"/>
            </w:r>
          </w:hyperlink>
        </w:p>
        <w:p>
          <w:pPr>
            <w:pStyle w:val="12"/>
            <w:ind w:left="720"/>
            <w:tabs>
              <w:tab w:val="right" w:leader="dot" w:pos="9026"/>
            </w:tabs>
            <w:spacing w:before="120" w:after="60"/>
          </w:pPr>
          <w:hyperlink w:anchor="_Toc100117" w:history="1">
            <w:r>
              <w:rPr>
                <w:rStyle w:val="Hyperlink"/>
              </w:rPr>
              <w:t>Regulatory Landscape</w:t>
            </w:r>
            <w:r>
              <w:tab/>
            </w:r>
            <w:r>
              <w:fldChar w:fldCharType="begin"/>
            </w:r>
            <w:r>
              <w:instrText xml:space="preserve"> PAGEREF _Toc100117 \h </w:instrText>
            </w:r>
            <w:r>
              <w:fldChar w:fldCharType="separate"/>
            </w:r>
            <w:r>
              <w:t>33</w:t>
            </w:r>
            <w:r>
              <w:fldChar w:fldCharType="end"/>
            </w:r>
          </w:hyperlink>
        </w:p>
        <w:p>
          <w:pPr>
            <w:pStyle w:val="12"/>
            <w:ind w:left="720"/>
            <w:tabs>
              <w:tab w:val="right" w:leader="dot" w:pos="9026"/>
            </w:tabs>
            <w:spacing w:before="120" w:after="60"/>
          </w:pPr>
          <w:hyperlink w:anchor="_Toc100118" w:history="1">
            <w:r>
              <w:rPr>
                <w:rStyle w:val="Hyperlink"/>
              </w:rPr>
              <w:t>Ghana Data Protection Act, 2012 (Act 843) — Selected Controls</w:t>
            </w:r>
            <w:r>
              <w:tab/>
            </w:r>
            <w:r>
              <w:fldChar w:fldCharType="begin"/>
            </w:r>
            <w:r>
              <w:instrText xml:space="preserve"> PAGEREF _Toc100118 \h </w:instrText>
            </w:r>
            <w:r>
              <w:fldChar w:fldCharType="separate"/>
            </w:r>
            <w:r>
              <w:t>33</w:t>
            </w:r>
            <w:r>
              <w:fldChar w:fldCharType="end"/>
            </w:r>
          </w:hyperlink>
        </w:p>
        <w:p>
          <w:pPr>
            <w:pStyle w:val="12"/>
            <w:ind w:left="720"/>
            <w:tabs>
              <w:tab w:val="right" w:leader="dot" w:pos="9026"/>
            </w:tabs>
            <w:spacing w:before="120" w:after="60"/>
          </w:pPr>
          <w:hyperlink w:anchor="_Toc100119" w:history="1">
            <w:r>
              <w:rPr>
                <w:rStyle w:val="Hyperlink"/>
              </w:rPr>
              <w:t>Bank of Ghana AML/CFT/CPF Directives — Selected Controls</w:t>
            </w:r>
            <w:r>
              <w:tab/>
            </w:r>
            <w:r>
              <w:fldChar w:fldCharType="begin"/>
            </w:r>
            <w:r>
              <w:instrText xml:space="preserve"> PAGEREF _Toc100119 \h </w:instrText>
            </w:r>
            <w:r>
              <w:fldChar w:fldCharType="separate"/>
            </w:r>
            <w:r>
              <w:t>33</w:t>
            </w:r>
            <w:r>
              <w:fldChar w:fldCharType="end"/>
            </w:r>
          </w:hyperlink>
        </w:p>
        <w:p>
          <w:pPr>
            <w:pStyle w:val="12"/>
            <w:ind w:left="720"/>
            <w:tabs>
              <w:tab w:val="right" w:leader="dot" w:pos="9026"/>
            </w:tabs>
            <w:spacing w:before="120" w:after="60"/>
          </w:pPr>
          <w:hyperlink w:anchor="_Toc100120" w:history="1">
            <w:r>
              <w:rPr>
                <w:rStyle w:val="Hyperlink"/>
              </w:rPr>
              <w:t>SOC 2 Type II + ISO 27001 Roadmap</w:t>
            </w:r>
            <w:r>
              <w:tab/>
            </w:r>
            <w:r>
              <w:fldChar w:fldCharType="begin"/>
            </w:r>
            <w:r>
              <w:instrText xml:space="preserve"> PAGEREF _Toc100120 \h </w:instrText>
            </w:r>
            <w:r>
              <w:fldChar w:fldCharType="separate"/>
            </w:r>
            <w:r>
              <w:t>33</w:t>
            </w:r>
            <w:r>
              <w:fldChar w:fldCharType="end"/>
            </w:r>
          </w:hyperlink>
        </w:p>
        <w:p>
          <w:pPr>
            <w:pStyle w:val="11"/>
            <w:ind w:left="360"/>
            <w:tabs>
              <w:tab w:val="right" w:leader="dot" w:pos="9026"/>
            </w:tabs>
            <w:spacing w:before="120" w:after="60"/>
          </w:pPr>
          <w:hyperlink w:anchor="_Toc100121" w:history="1">
            <w:r>
              <w:rPr>
                <w:rStyle w:val="Hyperlink"/>
              </w:rPr>
              <w:t>7.7 Incident Response</w:t>
            </w:r>
            <w:r>
              <w:tab/>
            </w:r>
            <w:r>
              <w:fldChar w:fldCharType="begin"/>
            </w:r>
            <w:r>
              <w:instrText xml:space="preserve"> PAGEREF _Toc100121 \h </w:instrText>
            </w:r>
            <w:r>
              <w:fldChar w:fldCharType="separate"/>
            </w:r>
            <w:r>
              <w:t>33</w:t>
            </w:r>
            <w:r>
              <w:fldChar w:fldCharType="end"/>
            </w:r>
          </w:hyperlink>
        </w:p>
        <w:p>
          <w:pPr>
            <w:pStyle w:val="12"/>
            <w:ind w:left="720"/>
            <w:tabs>
              <w:tab w:val="right" w:leader="dot" w:pos="9026"/>
            </w:tabs>
            <w:spacing w:before="120" w:after="60"/>
          </w:pPr>
          <w:hyperlink w:anchor="_Toc100122" w:history="1">
            <w:r>
              <w:rPr>
                <w:rStyle w:val="Hyperlink"/>
              </w:rPr>
              <w:t>Severity Definitions</w:t>
            </w:r>
            <w:r>
              <w:tab/>
            </w:r>
            <w:r>
              <w:fldChar w:fldCharType="begin"/>
            </w:r>
            <w:r>
              <w:instrText xml:space="preserve"> PAGEREF _Toc100122 \h </w:instrText>
            </w:r>
            <w:r>
              <w:fldChar w:fldCharType="separate"/>
            </w:r>
            <w:r>
              <w:t>33</w:t>
            </w:r>
            <w:r>
              <w:fldChar w:fldCharType="end"/>
            </w:r>
          </w:hyperlink>
        </w:p>
        <w:p>
          <w:pPr>
            <w:pStyle w:val="12"/>
            <w:ind w:left="720"/>
            <w:tabs>
              <w:tab w:val="right" w:leader="dot" w:pos="9026"/>
            </w:tabs>
            <w:spacing w:before="120" w:after="60"/>
          </w:pPr>
          <w:hyperlink w:anchor="_Toc100123" w:history="1">
            <w:r>
              <w:rPr>
                <w:rStyle w:val="Hyperlink"/>
              </w:rPr>
              <w:t>Notification Timelines</w:t>
            </w:r>
            <w:r>
              <w:tab/>
            </w:r>
            <w:r>
              <w:fldChar w:fldCharType="begin"/>
            </w:r>
            <w:r>
              <w:instrText xml:space="preserve"> PAGEREF _Toc100123 \h </w:instrText>
            </w:r>
            <w:r>
              <w:fldChar w:fldCharType="separate"/>
            </w:r>
            <w:r>
              <w:t>33</w:t>
            </w:r>
            <w:r>
              <w:fldChar w:fldCharType="end"/>
            </w:r>
          </w:hyperlink>
        </w:p>
        <w:p>
          <w:pPr>
            <w:pStyle w:val="11"/>
            <w:ind w:left="360"/>
            <w:tabs>
              <w:tab w:val="right" w:leader="dot" w:pos="9026"/>
            </w:tabs>
            <w:spacing w:before="120" w:after="60"/>
          </w:pPr>
          <w:hyperlink w:anchor="_Toc100124" w:history="1">
            <w:r>
              <w:rPr>
                <w:rStyle w:val="Hyperlink"/>
              </w:rPr>
              <w:t>7.8 Audit &amp; Assurance</w:t>
            </w:r>
            <w:r>
              <w:tab/>
            </w:r>
            <w:r>
              <w:fldChar w:fldCharType="begin"/>
            </w:r>
            <w:r>
              <w:instrText xml:space="preserve"> PAGEREF _Toc100124 \h </w:instrText>
            </w:r>
            <w:r>
              <w:fldChar w:fldCharType="separate"/>
            </w:r>
            <w:r>
              <w:t>34</w:t>
            </w:r>
            <w:r>
              <w:fldChar w:fldCharType="end"/>
            </w:r>
          </w:hyperlink>
        </w:p>
        <w:p>
          <w:pPr>
            <w:pStyle w:val="11"/>
            <w:ind w:left="360"/>
            <w:tabs>
              <w:tab w:val="right" w:leader="dot" w:pos="9026"/>
            </w:tabs>
            <w:spacing w:before="120" w:after="60"/>
          </w:pPr>
          <w:hyperlink w:anchor="_Toc100125" w:history="1">
            <w:r>
              <w:rPr>
                <w:rStyle w:val="Hyperlink"/>
              </w:rPr>
              <w:t>Cross-References</w:t>
            </w:r>
            <w:r>
              <w:tab/>
            </w:r>
            <w:r>
              <w:fldChar w:fldCharType="begin"/>
            </w:r>
            <w:r>
              <w:instrText xml:space="preserve"> PAGEREF _Toc100125 \h </w:instrText>
            </w:r>
            <w:r>
              <w:fldChar w:fldCharType="separate"/>
            </w:r>
            <w:r>
              <w:t>34</w:t>
            </w:r>
            <w:r>
              <w:fldChar w:fldCharType="end"/>
            </w:r>
          </w:hyperlink>
        </w:p>
        <w:p>
          <w:r>
            <w:fldChar w:fldCharType="end"/>
          </w:r>
        </w:p>
      </w:sdtContent>
    </w:sdt>
    <w:p>
      <w:pPr>
        <w:spacing w:before="240"/>
        <w:jc w:val="left"/>
      </w:pPr>
      <w:r>
        <w:rPr>
          <w:rFonts w:ascii="Calibri" w:eastAsia="Calibri"/>
          <w:i/>
          <w:iCs/>
          <w:color w:val="6B7280"/>
          <w:sz w:val="18"/>
          <w:szCs w:val="18"/>
        </w:rPr>
        <w:t xml:space="preserve">Right-click the table of contents and select "Update Field" to refresh page numbers after opening in Microsoft Word.</w:t>
      </w:r>
    </w:p>
    <w:p>
      <w:r>
        <w:br w:type="page"/>
      </w:r>
    </w:p>
    <w:p>
      <w:pPr>
        <w:pStyle w:val="Heading1"/>
        <w:spacing w:after="240" w:before="480" w:line="312"/>
      </w:pPr>
      <w:bookmarkStart w:id="100000" w:name="_Toc100000"/>
      <w:r>
        <w:rPr>
          <w:rFonts w:ascii="Calibri" w:eastAsia="Calibri"/>
          <w:b/>
          <w:bCs/>
          <w:color w:val="1A2B4A"/>
          <w:sz w:val="36"/>
          <w:szCs w:val="36"/>
        </w:rPr>
        <w:t xml:space="preserve">Document 1 — Project Charter</w:t>
      </w:r>
      <w:bookmarkEnd w:id="100000"/>
    </w:p>
    <w:p>
      <w:pPr>
        <w:spacing w:after="120" w:line="312"/>
        <w:ind w:firstLine="0"/>
        <w:jc w:val="both"/>
      </w:pPr>
      <w:r>
        <w:rPr>
          <w:rFonts w:ascii="Calibri" w:eastAsia="Calibri"/>
          <w:color w:val="1F2937"/>
          <w:sz w:val="22"/>
          <w:szCs w:val="22"/>
        </w:rPr>
        <w:t xml:space="preserve">The Ghana Gold Exchange Platform (AurumX) is a member-gated B2B digital exchange built for the Ghana Chamber of Gold Buyers. It combines RFQ (Request for Quote), negotiated trading, and optional auctions within a strict identity, licensing, and compliance perimeter. This charter authorizes the project to proceed under a SaaS-with-revenue-sharing commercial model in which the technology partner assumes the build risk and shares in platform revenue as adoption grows.</w:t>
      </w:r>
    </w:p>
    <w:p>
      <w:pPr>
        <w:pStyle w:val="Heading2"/>
        <w:spacing w:after="160" w:before="360" w:line="312"/>
      </w:pPr>
      <w:bookmarkStart w:id="100001" w:name="_Toc100001"/>
      <w:r>
        <w:rPr>
          <w:rFonts w:ascii="Calibri" w:eastAsia="Calibri"/>
          <w:b/>
          <w:bCs/>
          <w:color w:val="1A2B4A"/>
          <w:sz w:val="28"/>
          <w:szCs w:val="28"/>
        </w:rPr>
        <w:t xml:space="preserve">1.1 Project Information</w:t>
      </w:r>
      <w:bookmarkEnd w:id="100001"/>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tblGrid>
      <w:tr>
        <w:trPr>
          <w:cantSplit/>
          <w:tblHeader/>
        </w:trPr>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Field</w:t>
            </w:r>
          </w:p>
        </w:tc>
        <w:tc>
          <w:tcPr>
            <w:tcW w:type="pct" w:w="7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Value</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Project Name</w:t>
            </w:r>
          </w:p>
        </w:tc>
        <w:tc>
          <w:tcPr>
            <w:tcW w:type="pct" w:w="7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Ghana Gold Exchange Platform</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Internal Codename</w:t>
            </w:r>
          </w:p>
        </w:tc>
        <w:tc>
          <w:tcPr>
            <w:tcW w:type="pct" w:w="7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Project Aurum (product name: AurumX)</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Project Sponsor</w:t>
            </w:r>
          </w:p>
        </w:tc>
        <w:tc>
          <w:tcPr>
            <w:tcW w:type="pct" w:w="7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Ghana Chamber of Gold Buyers — Executive Council</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Executive Sponsor (Chamber)</w:t>
            </w:r>
          </w:p>
        </w:tc>
        <w:tc>
          <w:tcPr>
            <w:tcW w:type="pct" w:w="7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Mr. Kwabena Asante, President [ASSUMPTION]</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Project Manager (Vendor)</w:t>
            </w:r>
          </w:p>
        </w:tc>
        <w:tc>
          <w:tcPr>
            <w:tcW w:type="pct" w:w="7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Ms. Adwoa Mensah, Senior TPM, Vanta Technologies Ltd. [ASSUMPTION]</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Technical Lead (Vendor)</w:t>
            </w:r>
          </w:p>
        </w:tc>
        <w:tc>
          <w:tcPr>
            <w:tcW w:type="pct" w:w="7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Mr. David Owusu, Principal Architect [ASSUMPTION]</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Date of Authorization</w:t>
            </w:r>
          </w:p>
        </w:tc>
        <w:tc>
          <w:tcPr>
            <w:tcW w:type="pct" w:w="7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15 August 2026</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1 Go-Live Target</w:t>
            </w:r>
          </w:p>
        </w:tc>
        <w:tc>
          <w:tcPr>
            <w:tcW w:type="pct" w:w="7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28 February 2027</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Full Platform (Phase 4) Go-Live</w:t>
            </w:r>
          </w:p>
        </w:tc>
        <w:tc>
          <w:tcPr>
            <w:tcW w:type="pct" w:w="7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31 July 2028</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Commercial Model</w:t>
            </w:r>
          </w:p>
        </w:tc>
        <w:tc>
          <w:tcPr>
            <w:tcW w:type="pct" w:w="7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SaaS with Revenue Sharing (70% Vendor / 30% Chamber)</w:t>
            </w:r>
          </w:p>
        </w:tc>
      </w:tr>
    </w:tbl>
    <w:p>
      <w:pPr>
        <w:pStyle w:val="Heading2"/>
        <w:spacing w:after="160" w:before="360" w:line="312"/>
      </w:pPr>
      <w:bookmarkStart w:id="100002" w:name="_Toc100002"/>
      <w:r>
        <w:rPr>
          <w:rFonts w:ascii="Calibri" w:eastAsia="Calibri"/>
          <w:b/>
          <w:bCs/>
          <w:color w:val="1A2B4A"/>
          <w:sz w:val="28"/>
          <w:szCs w:val="28"/>
        </w:rPr>
        <w:t xml:space="preserve">1.2 Executive Summary</w:t>
      </w:r>
      <w:bookmarkEnd w:id="100002"/>
    </w:p>
    <w:p>
      <w:pPr>
        <w:spacing w:after="120" w:line="312"/>
        <w:ind w:firstLine="0"/>
        <w:jc w:val="both"/>
      </w:pPr>
      <w:r>
        <w:rPr>
          <w:rFonts w:ascii="Calibri" w:eastAsia="Calibri"/>
          <w:color w:val="1F2937"/>
          <w:sz w:val="22"/>
          <w:szCs w:val="22"/>
        </w:rPr>
        <w:t xml:space="preserve">The Ghanaian gold sector loses an estimated US$2.3 billion annually to informal trading, royalty leakage, and unverified supply chains. The Ghana Chamber of Gold Buyers currently manages member licensing, dispute resolution, and export compliance through fragmented, paper-based workflows. Project Aurum will deliver a controlled B2B digital exchange — not an open marketplace — that combines RFQ, negotiated trading, and optional auctions within a strict identity, licensing, and compliance perimeter. The platform will digitize the entire trade lifecycle from seller listing through escrow settlement, assay certification, vault logistics, and export documentation.</w:t>
      </w:r>
    </w:p>
    <w:p>
      <w:pPr>
        <w:spacing w:after="120" w:line="312"/>
        <w:ind w:firstLine="0"/>
        <w:jc w:val="both"/>
      </w:pPr>
      <w:r>
        <w:rPr>
          <w:rFonts w:ascii="Calibri" w:eastAsia="Calibri"/>
          <w:color w:val="1F2937"/>
          <w:sz w:val="22"/>
          <w:szCs w:val="22"/>
        </w:rPr>
        <w:t xml:space="preserve">Beyond trading, the platform provides the Chamber with a member-management portal, compliance audit trails, and recurring revenue lines (transaction fees, escrow fees, premium subscriptions, value-added services) that scale with adoption. The Chamber owns governance and member relationships; the technology partner owns, operates, and continuously improves the technology under a revenue-sharing agreement that removes the Chamber's upfront capital barrier.</w:t>
      </w:r>
    </w:p>
    <w:p>
      <w:pPr>
        <w:pStyle w:val="Heading2"/>
        <w:spacing w:after="160" w:before="360" w:line="312"/>
      </w:pPr>
      <w:bookmarkStart w:id="100003" w:name="_Toc100003"/>
      <w:r>
        <w:rPr>
          <w:rFonts w:ascii="Calibri" w:eastAsia="Calibri"/>
          <w:b/>
          <w:bCs/>
          <w:color w:val="1A2B4A"/>
          <w:sz w:val="28"/>
          <w:szCs w:val="28"/>
        </w:rPr>
        <w:t xml:space="preserve">1.3 Business Case &amp; SMART Objectives</w:t>
      </w:r>
      <w:bookmarkEnd w:id="100003"/>
    </w:p>
    <w:p>
      <w:pPr>
        <w:spacing w:after="120" w:line="312"/>
        <w:ind w:firstLine="0"/>
        <w:jc w:val="both"/>
      </w:pPr>
      <w:r>
        <w:rPr>
          <w:rFonts w:ascii="Calibri" w:eastAsia="Calibri"/>
          <w:color w:val="1F2937"/>
          <w:sz w:val="22"/>
          <w:szCs w:val="22"/>
        </w:rPr>
        <w:t xml:space="preserve">The platform is justified by five quantified value levers: informal trade capture, royalty recovery, trade settlement speed, compliance audit response, and recurring revenue diversification. Five SMART objectives anchor the business case:</w:t>
      </w:r>
    </w:p>
    <w:p>
      <w:pPr>
        <w:pStyle w:val="ListParagraph"/>
        <w:numPr>
          <w:ilvl w:val="0"/>
          <w:numId w:val="1"/>
        </w:numPr>
        <w:spacing w:after="80" w:line="312"/>
      </w:pPr>
      <w:r>
        <w:rPr>
          <w:rFonts w:ascii="Calibri" w:eastAsia="Calibri"/>
          <w:color w:val="1F2937"/>
          <w:sz w:val="22"/>
          <w:szCs w:val="22"/>
        </w:rPr>
        <w:t xml:space="preserve">Launch Phase 1 Digital Member Portal with verified onboarding for ≥ 100 Chamber members by 28 February 2027.</w:t>
      </w:r>
    </w:p>
    <w:p>
      <w:pPr>
        <w:pStyle w:val="ListParagraph"/>
        <w:numPr>
          <w:ilvl w:val="0"/>
          <w:numId w:val="1"/>
        </w:numPr>
        <w:spacing w:after="80" w:line="312"/>
      </w:pPr>
      <w:r>
        <w:rPr>
          <w:rFonts w:ascii="Calibri" w:eastAsia="Calibri"/>
          <w:color w:val="1F2937"/>
          <w:sz w:val="22"/>
          <w:szCs w:val="22"/>
        </w:rPr>
        <w:t xml:space="preserve">Enable end-to-end digital RFQ-to-settlement trading with escrow for ≥ US$50M cumulative trade value by 31 December 2027.</w:t>
      </w:r>
    </w:p>
    <w:p>
      <w:pPr>
        <w:pStyle w:val="ListParagraph"/>
        <w:numPr>
          <w:ilvl w:val="0"/>
          <w:numId w:val="1"/>
        </w:numPr>
        <w:spacing w:after="80" w:line="312"/>
      </w:pPr>
      <w:r>
        <w:rPr>
          <w:rFonts w:ascii="Calibri" w:eastAsia="Calibri"/>
          <w:color w:val="1F2937"/>
          <w:sz w:val="22"/>
          <w:szCs w:val="22"/>
        </w:rPr>
        <w:t xml:space="preserve">Achieve Mean Time to Trade Settlement (MTTTS) of ≤ 48 hours for ≥ 90% of completed trades by 31 March 2028.</w:t>
      </w:r>
    </w:p>
    <w:p>
      <w:pPr>
        <w:pStyle w:val="ListParagraph"/>
        <w:numPr>
          <w:ilvl w:val="0"/>
          <w:numId w:val="1"/>
        </w:numPr>
        <w:spacing w:after="80" w:line="312"/>
      </w:pPr>
      <w:r>
        <w:rPr>
          <w:rFonts w:ascii="Calibri" w:eastAsia="Calibri"/>
          <w:color w:val="1F2937"/>
          <w:sz w:val="22"/>
          <w:szCs w:val="22"/>
        </w:rPr>
        <w:t xml:space="preserve">Generate ≥ US$1.2M cumulative platform revenue in the first 12 months post Phase 2 go-live, with 30% remitted to the Chamber.</w:t>
      </w:r>
    </w:p>
    <w:p>
      <w:pPr>
        <w:pStyle w:val="ListParagraph"/>
        <w:numPr>
          <w:ilvl w:val="0"/>
          <w:numId w:val="1"/>
        </w:numPr>
        <w:spacing w:after="80" w:line="312"/>
      </w:pPr>
      <w:r>
        <w:rPr>
          <w:rFonts w:ascii="Calibri" w:eastAsia="Calibri"/>
          <w:color w:val="1F2937"/>
          <w:sz w:val="22"/>
          <w:szCs w:val="22"/>
        </w:rPr>
        <w:t xml:space="preserve">Achieve SOC 2 Type II certification and full FATF AML Recommendation 22 alignment by 30 June 2028.</w:t>
      </w:r>
    </w:p>
    <w:p>
      <w:pPr>
        <w:pStyle w:val="Heading2"/>
        <w:spacing w:after="160" w:before="360" w:line="312"/>
      </w:pPr>
      <w:bookmarkStart w:id="100004" w:name="_Toc100004"/>
      <w:r>
        <w:rPr>
          <w:rFonts w:ascii="Calibri" w:eastAsia="Calibri"/>
          <w:b/>
          <w:bCs/>
          <w:color w:val="1A2B4A"/>
          <w:sz w:val="28"/>
          <w:szCs w:val="28"/>
        </w:rPr>
        <w:t xml:space="preserve">1.4 Project Scope</w:t>
      </w:r>
      <w:bookmarkEnd w:id="100004"/>
    </w:p>
    <w:p>
      <w:pPr>
        <w:pStyle w:val="Heading3"/>
        <w:spacing w:after="120" w:before="240" w:line="312"/>
      </w:pPr>
      <w:bookmarkStart w:id="100005" w:name="_Toc100005"/>
      <w:r>
        <w:rPr>
          <w:rFonts w:ascii="Calibri" w:eastAsia="Calibri"/>
          <w:b/>
          <w:bCs/>
          <w:color w:val="1A2B4A"/>
          <w:sz w:val="24"/>
          <w:szCs w:val="24"/>
        </w:rPr>
        <w:t xml:space="preserve">In-Scope</w:t>
      </w:r>
      <w:bookmarkEnd w:id="100005"/>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Module</w:t>
            </w:r>
          </w:p>
        </w:tc>
        <w:tc>
          <w:tcPr>
            <w:tcW w:type="pct" w:w="1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Phase</w:t>
            </w:r>
          </w:p>
        </w:tc>
        <w:tc>
          <w:tcPr>
            <w:tcW w:type="pct" w:w="6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Description</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Identity, Licensing &amp; KYC/AML</w:t>
            </w:r>
          </w:p>
        </w:tc>
        <w:tc>
          <w:tcPr>
            <w:tcW w:type="pct" w:w="1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P1</w:t>
            </w:r>
          </w:p>
        </w:tc>
        <w:tc>
          <w:tcPr>
            <w:tcW w:type="pct" w:w="6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Verified onboarding, license validation, ongoing AML screening</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Member Portal</w:t>
            </w:r>
          </w:p>
        </w:tc>
        <w:tc>
          <w:tcPr>
            <w:tcW w:type="pct" w:w="1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P1</w:t>
            </w:r>
          </w:p>
        </w:tc>
        <w:tc>
          <w:tcPr>
            <w:tcW w:type="pct" w:w="6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Member profiles, document repository, notifications, secure messaging</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Gold Lot Management</w:t>
            </w:r>
          </w:p>
        </w:tc>
        <w:tc>
          <w:tcPr>
            <w:tcW w:type="pct" w:w="1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P2</w:t>
            </w:r>
          </w:p>
        </w:tc>
        <w:tc>
          <w:tcPr>
            <w:tcW w:type="pct" w:w="6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Lot creation with weight, purity, serial numbers, provenance chain</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RFQ Engine</w:t>
            </w:r>
          </w:p>
        </w:tc>
        <w:tc>
          <w:tcPr>
            <w:tcW w:type="pct" w:w="1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P2</w:t>
            </w:r>
          </w:p>
        </w:tc>
        <w:tc>
          <w:tcPr>
            <w:tcW w:type="pct" w:w="6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Multi-buyer RFQ submission, response, comparison</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Auction Engine</w:t>
            </w:r>
          </w:p>
        </w:tc>
        <w:tc>
          <w:tcPr>
            <w:tcW w:type="pct" w:w="1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P2</w:t>
            </w:r>
          </w:p>
        </w:tc>
        <w:tc>
          <w:tcPr>
            <w:tcW w:type="pct" w:w="6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Timed, reverse, and sealed-bid auction variants</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Negotiation &amp; Smart Matching</w:t>
            </w:r>
          </w:p>
        </w:tc>
        <w:tc>
          <w:tcPr>
            <w:tcW w:type="pct" w:w="1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P2</w:t>
            </w:r>
          </w:p>
        </w:tc>
        <w:tc>
          <w:tcPr>
            <w:tcW w:type="pct" w:w="6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Counter-offer workflow; AI-assisted buyer-lot matching</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Digital Contracts &amp; Escrow</w:t>
            </w:r>
          </w:p>
        </w:tc>
        <w:tc>
          <w:tcPr>
            <w:tcW w:type="pct" w:w="1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P2</w:t>
            </w:r>
          </w:p>
        </w:tc>
        <w:tc>
          <w:tcPr>
            <w:tcW w:type="pct" w:w="6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e-Signature contracts, escrow account integration</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Assay &amp; Certification VAS</w:t>
            </w:r>
          </w:p>
        </w:tc>
        <w:tc>
          <w:tcPr>
            <w:tcW w:type="pct" w:w="1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P3</w:t>
            </w:r>
          </w:p>
        </w:tc>
        <w:tc>
          <w:tcPr>
            <w:tcW w:type="pct" w:w="6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Assay request workflow, digital certificate issuance</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Logistics Coordination VAS</w:t>
            </w:r>
          </w:p>
        </w:tc>
        <w:tc>
          <w:tcPr>
            <w:tcW w:type="pct" w:w="1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P3</w:t>
            </w:r>
          </w:p>
        </w:tc>
        <w:tc>
          <w:tcPr>
            <w:tcW w:type="pct" w:w="6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Armored transport, vault storage, airport logistics integration</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Export Documentation VAS</w:t>
            </w:r>
          </w:p>
        </w:tc>
        <w:tc>
          <w:tcPr>
            <w:tcW w:type="pct" w:w="1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P3</w:t>
            </w:r>
          </w:p>
        </w:tc>
        <w:tc>
          <w:tcPr>
            <w:tcW w:type="pct" w:w="6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Digital export permits, customs integration</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Analytics &amp; BI Dashboards</w:t>
            </w:r>
          </w:p>
        </w:tc>
        <w:tc>
          <w:tcPr>
            <w:tcW w:type="pct" w:w="1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P4</w:t>
            </w:r>
          </w:p>
        </w:tc>
        <w:tc>
          <w:tcPr>
            <w:tcW w:type="pct" w:w="6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Market prices, trade volumes, regional demand, compliance reporting</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Admin &amp; Compliance Console</w:t>
            </w:r>
          </w:p>
        </w:tc>
        <w:tc>
          <w:tcPr>
            <w:tcW w:type="pct" w:w="1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P1→P4</w:t>
            </w:r>
          </w:p>
        </w:tc>
        <w:tc>
          <w:tcPr>
            <w:tcW w:type="pct" w:w="6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Chamber staff tools for oversight, dispute resolution, audit</w:t>
            </w:r>
          </w:p>
        </w:tc>
      </w:tr>
    </w:tbl>
    <w:p>
      <w:pPr>
        <w:pStyle w:val="Heading3"/>
        <w:spacing w:after="120" w:before="240" w:line="312"/>
      </w:pPr>
      <w:bookmarkStart w:id="100006" w:name="_Toc100006"/>
      <w:r>
        <w:rPr>
          <w:rFonts w:ascii="Calibri" w:eastAsia="Calibri"/>
          <w:b/>
          <w:bCs/>
          <w:color w:val="1A2B4A"/>
          <w:sz w:val="24"/>
          <w:szCs w:val="24"/>
        </w:rPr>
        <w:t xml:space="preserve">Out-of-Scope (Explicit)</w:t>
      </w:r>
      <w:bookmarkEnd w:id="100006"/>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Item</w:t>
            </w:r>
          </w:p>
        </w:tc>
        <w:tc>
          <w:tcPr>
            <w:tcW w:type="pct" w:w="4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Reason</w:t>
            </w:r>
          </w:p>
        </w:tc>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Future Path</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Direct payment rails / mobile money wallet</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Regulated PSP activity outside vendor remit</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Integrate with licensed PSPs / banks</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Physical gold custody by the platform</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Liability + insurance exposure outside vendor remit</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Vault partners hold custody; platform records title</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Consumer (B2C) gold trading</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Outside Chamber's B2B mandate</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N/A</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Tax calculation &amp; filing</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Government competence</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Provide export data via API to GRA / Minerals Commission</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 finance origination</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Banking activity</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Referral commissions to partner banks only</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Mobile native apps (iOS/Android)</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PWA-first in Phases 1–4</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Native apps considered in Phase 5</w:t>
            </w:r>
          </w:p>
        </w:tc>
      </w:tr>
    </w:tbl>
    <w:p>
      <w:pPr>
        <w:pStyle w:val="Heading2"/>
        <w:spacing w:after="160" w:before="360" w:line="312"/>
      </w:pPr>
      <w:bookmarkStart w:id="100007" w:name="_Toc100007"/>
      <w:r>
        <w:rPr>
          <w:rFonts w:ascii="Calibri" w:eastAsia="Calibri"/>
          <w:b/>
          <w:bCs/>
          <w:color w:val="1A2B4A"/>
          <w:sz w:val="28"/>
          <w:szCs w:val="28"/>
        </w:rPr>
        <w:t xml:space="preserve">1.5 High-Level Timeline</w:t>
      </w:r>
      <w:bookmarkEnd w:id="100007"/>
    </w:p>
    <w:p>
      <w:pPr>
        <w:spacing w:after="120" w:line="312"/>
        <w:ind w:firstLine="0"/>
        <w:jc w:val="both"/>
      </w:pPr>
      <w:r>
        <w:rPr>
          <w:rFonts w:ascii="Calibri" w:eastAsia="Calibri"/>
          <w:color w:val="1F2937"/>
          <w:sz w:val="22"/>
          <w:szCs w:val="22"/>
        </w:rPr>
        <w:t xml:space="preserve">The platform rolls out in four phases over 23 months. Phase 1 (Portal) establishes the trust layer; Phase 2 (Trading + Escrow) brings the commercial engine live; Phase 3 (VAS) layers in assay, logistics, and export documentation; Phase 4 (Analytics + SOC 2) completes the platform with full compliance certification. Each phase has a hard go-live gate and UAT window before progression.</w:t>
      </w:r>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4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Milestone</w:t>
            </w:r>
          </w:p>
        </w:tc>
        <w:tc>
          <w:tcPr>
            <w:tcW w:type="pct" w:w="2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Target Date</w:t>
            </w:r>
          </w:p>
        </w:tc>
        <w:tc>
          <w:tcPr>
            <w:tcW w:type="pct" w:w="4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Exit Criteria</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Charter signed</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2026-08-15</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Document signed by Sponsor and Vendor CEO</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Discovery complete</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2026-10-15</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Architecture signed off; ADRs 1–5 approved</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1 UAT entry</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2027-01-15</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All P1 features functionally complete</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1 Go-Live</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2027-02-28</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100 members onboarded; Chamber staff trained</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2 Go-Live (Trading)</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2027-08-31</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First 10 real trades settled through escrow</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3 Go-Live (VAS)</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2028-02-28</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Assay + logistics + export flows live with ≥ 2 partners each</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SOC 2 Type II report issued</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2028-06-30</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Third-party auditor sign-off</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4 Go-Live (Analytics)</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2028-07-31</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BI dashboards in production; first quarterly compliance report generated</w:t>
            </w:r>
          </w:p>
        </w:tc>
      </w:tr>
    </w:tbl>
    <w:p>
      <w:pPr>
        <w:pStyle w:val="Heading2"/>
        <w:spacing w:after="160" w:before="360" w:line="312"/>
      </w:pPr>
      <w:bookmarkStart w:id="100008" w:name="_Toc100008"/>
      <w:r>
        <w:rPr>
          <w:rFonts w:ascii="Calibri" w:eastAsia="Calibri"/>
          <w:b/>
          <w:bCs/>
          <w:color w:val="1A2B4A"/>
          <w:sz w:val="28"/>
          <w:szCs w:val="28"/>
        </w:rPr>
        <w:t xml:space="preserve">1.6 Budget &amp; Resources</w:t>
      </w:r>
      <w:bookmarkEnd w:id="100008"/>
    </w:p>
    <w:p>
      <w:pPr>
        <w:pStyle w:val="Heading3"/>
        <w:spacing w:after="120" w:before="240" w:line="312"/>
      </w:pPr>
      <w:bookmarkStart w:id="100009" w:name="_Toc100009"/>
      <w:r>
        <w:rPr>
          <w:rFonts w:ascii="Calibri" w:eastAsia="Calibri"/>
          <w:b/>
          <w:bCs/>
          <w:color w:val="1A2B4A"/>
          <w:sz w:val="24"/>
          <w:szCs w:val="24"/>
        </w:rPr>
        <w:t xml:space="preserve">High-Level Cost Estimate (Vendor Side, Year 1)</w:t>
      </w:r>
      <w:bookmarkEnd w:id="100009"/>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4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Cost Category</w:t>
            </w:r>
          </w:p>
        </w:tc>
        <w:tc>
          <w:tcPr>
            <w:tcW w:type="pct" w:w="2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Estimate (USD)</w:t>
            </w:r>
          </w:p>
        </w:tc>
        <w:tc>
          <w:tcPr>
            <w:tcW w:type="pct" w:w="3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Notes</w:t>
            </w:r>
          </w:p>
        </w:tc>
      </w:tr>
      <w:tr>
        <w:trPr>
          <w:cantSplit/>
        </w:trPr>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Engineering labour (8 FTE × 12 months)</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$576,000</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Loaded cost</w:t>
            </w:r>
          </w:p>
        </w:tc>
      </w:tr>
      <w:tr>
        <w:trPr>
          <w:cantSplit/>
        </w:trPr>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Design &amp; UX</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$48,000</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 designer × 4 months Phase 1</w:t>
            </w:r>
          </w:p>
        </w:tc>
      </w:tr>
      <w:tr>
        <w:trPr>
          <w:cantSplit/>
        </w:trPr>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QA &amp; test automation</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$96,000</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 QA × 6 months</w:t>
            </w:r>
          </w:p>
        </w:tc>
      </w:tr>
      <w:tr>
        <w:trPr>
          <w:cantSplit/>
        </w:trPr>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DevOps &amp; SRE setup</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$72,000</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Infrastructure as Code, CI/CD, observability</w:t>
            </w:r>
          </w:p>
        </w:tc>
      </w:tr>
      <w:tr>
        <w:trPr>
          <w:cantSplit/>
        </w:trPr>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Security &amp; compliance engineering</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$120,000</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AML/KYC integration, SOC 2 prep</w:t>
            </w:r>
          </w:p>
        </w:tc>
      </w:tr>
      <w:tr>
        <w:trPr>
          <w:cantSplit/>
        </w:trPr>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Project management</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$84,000</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 TPM, full allocation</w:t>
            </w:r>
          </w:p>
        </w:tc>
      </w:tr>
      <w:tr>
        <w:trPr>
          <w:cantSplit/>
        </w:trPr>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Cloud infrastructure (AWS)</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$54,000</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Estimated $4.5k/month ramp</w:t>
            </w:r>
          </w:p>
        </w:tc>
      </w:tr>
      <w:tr>
        <w:trPr>
          <w:cantSplit/>
        </w:trPr>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Third-party services</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$36,000</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Auth0, Twilio, Stripe Escrow, Datadog</w:t>
            </w:r>
          </w:p>
        </w:tc>
      </w:tr>
      <w:tr>
        <w:trPr>
          <w:cantSplit/>
        </w:trPr>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External audit (SOC 2 Type II)</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$60,000</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One-time Year 1</w:t>
            </w:r>
          </w:p>
        </w:tc>
      </w:tr>
      <w:tr>
        <w:trPr>
          <w:cantSplit/>
        </w:trPr>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Contingency (15%)</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$173,400</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Standard PM reserve</w:t>
            </w:r>
          </w:p>
        </w:tc>
      </w:tr>
      <w:tr>
        <w:trPr>
          <w:cantSplit/>
        </w:trPr>
        <w:tc>
          <w:tcPr>
            <w:tcW w:type="pct" w:w="45%"/>
            <w:shd w:fill="F8F9FA" w:val="clear"/>
            <w:tcMar>
              <w:top w:type="dxa" w:w="80"/>
              <w:left w:type="dxa" w:w="120"/>
              <w:bottom w:type="dxa" w:w="80"/>
              <w:right w:type="dxa" w:w="120"/>
            </w:tcMar>
            <w:vAlign w:val="center"/>
          </w:tcPr>
          <w:p>
            <w:pPr>
              <w:spacing w:line="280"/>
              <w:jc w:val="left"/>
            </w:pPr>
            <w:r>
              <w:rPr>
                <w:rFonts w:ascii="Calibri" w:eastAsia="Calibri"/>
                <w:b/>
                <w:bCs/>
                <w:color w:val="1F2937"/>
                <w:sz w:val="20"/>
                <w:szCs w:val="20"/>
              </w:rPr>
              <w:t xml:space="preserve">Total Year 1 Cost</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bCs/>
                <w:color w:val="1F2937"/>
                <w:sz w:val="20"/>
                <w:szCs w:val="20"/>
              </w:rPr>
              <w:t xml:space="preserve">$1,319,400</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bCs/>
                <w:color w:val="1F2937"/>
                <w:sz w:val="20"/>
                <w:szCs w:val="20"/>
              </w:rPr>
              <w:t xml:space="preserve">Funded by Vendor under SaaS risk model</w:t>
            </w:r>
          </w:p>
        </w:tc>
      </w:tr>
    </w:tbl>
    <w:p>
      <w:pPr>
        <w:pStyle w:val="Heading3"/>
        <w:spacing w:after="120" w:before="240" w:line="312"/>
      </w:pPr>
      <w:bookmarkStart w:id="100010" w:name="_Toc100010"/>
      <w:r>
        <w:rPr>
          <w:rFonts w:ascii="Calibri" w:eastAsia="Calibri"/>
          <w:b/>
          <w:bCs/>
          <w:color w:val="1A2B4A"/>
          <w:sz w:val="24"/>
          <w:szCs w:val="24"/>
        </w:rPr>
        <w:t xml:space="preserve">Team Composition</w:t>
      </w:r>
      <w:bookmarkEnd w:id="100010"/>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gridCol w:w="100"/>
      </w:tblGrid>
      <w:tr>
        <w:trPr>
          <w:cantSplit/>
          <w:tblHeader/>
        </w:trPr>
        <w:tc>
          <w:tcPr>
            <w:tcW w:type="pct" w:w="4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Role</w:t>
            </w:r>
          </w:p>
        </w:tc>
        <w:tc>
          <w:tcPr>
            <w:tcW w:type="pct" w:w="1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Headcount</w:t>
            </w:r>
          </w:p>
        </w:tc>
        <w:tc>
          <w:tcPr>
            <w:tcW w:type="pct" w:w="1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Allocation</w:t>
            </w:r>
          </w:p>
        </w:tc>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Phase Coverage</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Project Manager (TPM)</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100%</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P1–P4</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Principal Architect</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80%</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P1–P4</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Backend Engineers (NestJS)</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3</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100%</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P1–P4</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Frontend Engineers (Next.js)</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100%</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P1–P4</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Mobile / PWA Engineer</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100%</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P1–P4</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Data Engineer</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100%</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P3–P4</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ML Engineer</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50%</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P2–P4</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DevOps / SRE</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100%</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P1–P4</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Security &amp; Compliance Engineer</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100%</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P1–P4</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QA Engineers</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100%</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P1–P4</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UX / Product Designer</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50%</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P1–P4</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Product Manager</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50%</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P1–P4</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bCs/>
                <w:color w:val="1F2937"/>
                <w:sz w:val="20"/>
                <w:szCs w:val="20"/>
              </w:rPr>
              <w:t xml:space="preserve">Total core team</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bCs/>
                <w:color w:val="1F2937"/>
                <w:sz w:val="20"/>
                <w:szCs w:val="20"/>
              </w:rPr>
              <w:t xml:space="preserve">~16 FTE</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[Please fill in]</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[Please fill in]</w:t>
            </w:r>
          </w:p>
        </w:tc>
      </w:tr>
    </w:tbl>
    <w:p>
      <w:pPr>
        <w:pStyle w:val="Heading2"/>
        <w:spacing w:after="160" w:before="360" w:line="312"/>
      </w:pPr>
      <w:bookmarkStart w:id="100011" w:name="_Toc100011"/>
      <w:r>
        <w:rPr>
          <w:rFonts w:ascii="Calibri" w:eastAsia="Calibri"/>
          <w:b/>
          <w:bCs/>
          <w:color w:val="1A2B4A"/>
          <w:sz w:val="28"/>
          <w:szCs w:val="28"/>
        </w:rPr>
        <w:t xml:space="preserve">1.7 RACI Matrix</w:t>
      </w:r>
      <w:bookmarkEnd w:id="100011"/>
    </w:p>
    <w:p>
      <w:pPr>
        <w:spacing w:after="120" w:line="312"/>
        <w:ind w:firstLine="0"/>
        <w:jc w:val="both"/>
      </w:pPr>
      <w:r>
        <w:rPr>
          <w:rFonts w:ascii="Calibri" w:eastAsia="Calibri"/>
          <w:color w:val="1F2937"/>
          <w:sz w:val="22"/>
          <w:szCs w:val="22"/>
        </w:rPr>
        <w:t xml:space="preserve">The RACI matrix below assigns Responsible, Accountable, Consulted, and Informed roles across key project decisions. The Chamber Executive Council is Accountable for charter approval, trading rules, and member onboarding criteria; the Vendor Project Manager is Accountable for sprint planning, deployments, and DR testing; the Chamber Compliance Officer is Accountable for AML thresholds, security incident response, and compliance audit participation.</w:t>
      </w:r>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gridCol w:w="100"/>
        <w:gridCol w:w="100"/>
        <w:gridCol w:w="100"/>
      </w:tblGrid>
      <w:tr>
        <w:trPr>
          <w:cantSplit/>
          <w:tblHeader/>
        </w:trPr>
        <w:tc>
          <w:tcPr>
            <w:tcW w:type="pct" w:w="4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Activity / Decision</w:t>
            </w:r>
          </w:p>
        </w:tc>
        <w:tc>
          <w:tcPr>
            <w:tcW w:type="pct" w:w="12%"/>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Chamber Exec</w:t>
            </w:r>
          </w:p>
        </w:tc>
        <w:tc>
          <w:tcPr>
            <w:tcW w:type="pct" w:w="12%"/>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Chamber PMO</w:t>
            </w:r>
          </w:p>
        </w:tc>
        <w:tc>
          <w:tcPr>
            <w:tcW w:type="pct" w:w="12%"/>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Vendor PM</w:t>
            </w:r>
          </w:p>
        </w:tc>
        <w:tc>
          <w:tcPr>
            <w:tcW w:type="pct" w:w="12%"/>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Vendor Architect</w:t>
            </w:r>
          </w:p>
        </w:tc>
        <w:tc>
          <w:tcPr>
            <w:tcW w:type="pct" w:w="12%"/>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Compliance Officer</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Charter approval</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Architecture sign-off (ADRs)</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exit / Go-Live decision</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Trading rules &amp; fee schedule</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AML / KYC thresholds</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Security incident response</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Vendor-side sprint planning</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Production deployments</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Compliance audit participation</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Disaster recovery test</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w:t>
            </w:r>
          </w:p>
        </w:tc>
      </w:tr>
    </w:tbl>
    <w:p>
      <w:pPr>
        <w:spacing w:after="200" w:before="60"/>
        <w:jc w:val="left"/>
      </w:pPr>
      <w:r>
        <w:rPr>
          <w:rFonts w:ascii="Calibri" w:eastAsia="Calibri"/>
          <w:i/>
          <w:iCs/>
          <w:color w:val="6B7280"/>
          <w:sz w:val="18"/>
          <w:szCs w:val="18"/>
        </w:rPr>
        <w:t xml:space="preserve">R = Responsible  •  A = Accountable  •  C = Consulted  •  I = Informed</w:t>
      </w:r>
    </w:p>
    <w:p>
      <w:pPr>
        <w:pStyle w:val="Heading2"/>
        <w:spacing w:after="160" w:before="360" w:line="312"/>
      </w:pPr>
      <w:bookmarkStart w:id="100012" w:name="_Toc100012"/>
      <w:r>
        <w:rPr>
          <w:rFonts w:ascii="Calibri" w:eastAsia="Calibri"/>
          <w:b/>
          <w:bCs/>
          <w:color w:val="1A2B4A"/>
          <w:sz w:val="28"/>
          <w:szCs w:val="28"/>
        </w:rPr>
        <w:t xml:space="preserve">1.8 Assumptions, Constraints &amp; Dependencies</w:t>
      </w:r>
      <w:bookmarkEnd w:id="100012"/>
    </w:p>
    <w:p>
      <w:pPr>
        <w:pStyle w:val="Heading3"/>
        <w:spacing w:after="120" w:before="240" w:line="312"/>
      </w:pPr>
      <w:bookmarkStart w:id="100013" w:name="_Toc100013"/>
      <w:r>
        <w:rPr>
          <w:rFonts w:ascii="Calibri" w:eastAsia="Calibri"/>
          <w:b/>
          <w:bCs/>
          <w:color w:val="1A2B4A"/>
          <w:sz w:val="24"/>
          <w:szCs w:val="24"/>
        </w:rPr>
        <w:t xml:space="preserve">Key Assumptions</w:t>
      </w:r>
      <w:bookmarkEnd w:id="100013"/>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8%"/>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w:t>
            </w:r>
          </w:p>
        </w:tc>
        <w:tc>
          <w:tcPr>
            <w:tcW w:type="pct" w:w="72%"/>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Assumption</w:t>
            </w:r>
          </w:p>
        </w:tc>
        <w:tc>
          <w:tcPr>
            <w:tcW w:type="pct" w:w="2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Validation Date</w:t>
            </w:r>
          </w:p>
        </w:tc>
      </w:tr>
      <w:tr>
        <w:trPr>
          <w:cantSplit/>
        </w:trPr>
        <w:tc>
          <w:tcPr>
            <w:tcW w:type="pct" w:w="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A1</w:t>
            </w:r>
          </w:p>
        </w:tc>
        <w:tc>
          <w:tcPr>
            <w:tcW w:type="pct" w:w="7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Chamber member registry (~340 licensed buyers) available in structured exportable format by Week 3 of Phase 1</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2026-09-05</w:t>
            </w:r>
          </w:p>
        </w:tc>
      </w:tr>
      <w:tr>
        <w:trPr>
          <w:cantSplit/>
        </w:trPr>
        <w:tc>
          <w:tcPr>
            <w:tcW w:type="pct" w:w="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A2</w:t>
            </w:r>
          </w:p>
        </w:tc>
        <w:tc>
          <w:tcPr>
            <w:tcW w:type="pct" w:w="7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At least two Ghanaian commercial banks execute escrow integration MOUs by end of Phase 1</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2027-01-30</w:t>
            </w:r>
          </w:p>
        </w:tc>
      </w:tr>
      <w:tr>
        <w:trPr>
          <w:cantSplit/>
        </w:trPr>
        <w:tc>
          <w:tcPr>
            <w:tcW w:type="pct" w:w="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A3</w:t>
            </w:r>
          </w:p>
        </w:tc>
        <w:tc>
          <w:tcPr>
            <w:tcW w:type="pct" w:w="7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Minerals Commission issues a digital export permit API by Q2 2027</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2027-06-30</w:t>
            </w:r>
          </w:p>
        </w:tc>
      </w:tr>
      <w:tr>
        <w:trPr>
          <w:cantSplit/>
        </w:trPr>
        <w:tc>
          <w:tcPr>
            <w:tcW w:type="pct" w:w="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A4</w:t>
            </w:r>
          </w:p>
        </w:tc>
        <w:tc>
          <w:tcPr>
            <w:tcW w:type="pct" w:w="7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af-west-1 (Cape Town) generally available by Phase 1 launch</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Ongoing</w:t>
            </w:r>
          </w:p>
        </w:tc>
      </w:tr>
      <w:tr>
        <w:trPr>
          <w:cantSplit/>
        </w:trPr>
        <w:tc>
          <w:tcPr>
            <w:tcW w:type="pct" w:w="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A5</w:t>
            </w:r>
          </w:p>
        </w:tc>
        <w:tc>
          <w:tcPr>
            <w:tcW w:type="pct" w:w="7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Tier 1 buyers accept third-party-operated platform provided SOC 2 + Chamber endorsement are in place</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2027-07-31</w:t>
            </w:r>
          </w:p>
        </w:tc>
      </w:tr>
    </w:tbl>
    <w:p>
      <w:pPr>
        <w:pStyle w:val="Heading3"/>
        <w:spacing w:after="120" w:before="240" w:line="312"/>
      </w:pPr>
      <w:bookmarkStart w:id="100014" w:name="_Toc100014"/>
      <w:r>
        <w:rPr>
          <w:rFonts w:ascii="Calibri" w:eastAsia="Calibri"/>
          <w:b/>
          <w:bCs/>
          <w:color w:val="1A2B4A"/>
          <w:sz w:val="24"/>
          <w:szCs w:val="24"/>
        </w:rPr>
        <w:t xml:space="preserve">Constraints</w:t>
      </w:r>
      <w:bookmarkEnd w:id="100014"/>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8%"/>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w:t>
            </w:r>
          </w:p>
        </w:tc>
        <w:tc>
          <w:tcPr>
            <w:tcW w:type="pct" w:w="72%"/>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Constraint</w:t>
            </w:r>
          </w:p>
        </w:tc>
        <w:tc>
          <w:tcPr>
            <w:tcW w:type="pct" w:w="2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Type</w:t>
            </w:r>
          </w:p>
        </w:tc>
      </w:tr>
      <w:tr>
        <w:trPr>
          <w:cantSplit/>
        </w:trPr>
        <w:tc>
          <w:tcPr>
            <w:tcW w:type="pct" w:w="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C1</w:t>
            </w:r>
          </w:p>
        </w:tc>
        <w:tc>
          <w:tcPr>
            <w:tcW w:type="pct" w:w="7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Must launch Phase 1 before 2027-Q2 Chamber AGM</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Time</w:t>
            </w:r>
          </w:p>
        </w:tc>
      </w:tr>
      <w:tr>
        <w:trPr>
          <w:cantSplit/>
        </w:trPr>
        <w:tc>
          <w:tcPr>
            <w:tcW w:type="pct" w:w="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C2</w:t>
            </w:r>
          </w:p>
        </w:tc>
        <w:tc>
          <w:tcPr>
            <w:tcW w:type="pct" w:w="7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Must use Auth0 for identity (enterprise agreement in place)</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Technical</w:t>
            </w:r>
          </w:p>
        </w:tc>
      </w:tr>
      <w:tr>
        <w:trPr>
          <w:cantSplit/>
        </w:trPr>
        <w:tc>
          <w:tcPr>
            <w:tcW w:type="pct" w:w="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C3</w:t>
            </w:r>
          </w:p>
        </w:tc>
        <w:tc>
          <w:tcPr>
            <w:tcW w:type="pct" w:w="7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Must NOT operate as a licensed PSP or take custody of physical gold</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Legal / Regulatory</w:t>
            </w:r>
          </w:p>
        </w:tc>
      </w:tr>
      <w:tr>
        <w:trPr>
          <w:cantSplit/>
        </w:trPr>
        <w:tc>
          <w:tcPr>
            <w:tcW w:type="pct" w:w="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C4</w:t>
            </w:r>
          </w:p>
        </w:tc>
        <w:tc>
          <w:tcPr>
            <w:tcW w:type="pct" w:w="7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Must achieve SOC 2 Type II before Tier 1 institutional buyers onboard (Phase 2)</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Compliance</w:t>
            </w:r>
          </w:p>
        </w:tc>
      </w:tr>
      <w:tr>
        <w:trPr>
          <w:cantSplit/>
        </w:trPr>
        <w:tc>
          <w:tcPr>
            <w:tcW w:type="pct" w:w="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C5</w:t>
            </w:r>
          </w:p>
        </w:tc>
        <w:tc>
          <w:tcPr>
            <w:tcW w:type="pct" w:w="7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 data subject to Ghana Data Protection Act 2012; cross-border transfer requires lawful basis</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Legal</w:t>
            </w:r>
          </w:p>
        </w:tc>
      </w:tr>
      <w:tr>
        <w:trPr>
          <w:cantSplit/>
        </w:trPr>
        <w:tc>
          <w:tcPr>
            <w:tcW w:type="pct" w:w="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C6</w:t>
            </w:r>
          </w:p>
        </w:tc>
        <w:tc>
          <w:tcPr>
            <w:tcW w:type="pct" w:w="7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Maximum vendor cost overrun absorbed before revenue-share renegotiation: 10% of approved budget</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Financial</w:t>
            </w:r>
          </w:p>
        </w:tc>
      </w:tr>
    </w:tbl>
    <w:p>
      <w:pPr>
        <w:pStyle w:val="Heading3"/>
        <w:spacing w:after="120" w:before="240" w:line="312"/>
      </w:pPr>
      <w:bookmarkStart w:id="100015" w:name="_Toc100015"/>
      <w:r>
        <w:rPr>
          <w:rFonts w:ascii="Calibri" w:eastAsia="Calibri"/>
          <w:b/>
          <w:bCs/>
          <w:color w:val="1A2B4A"/>
          <w:sz w:val="24"/>
          <w:szCs w:val="24"/>
        </w:rPr>
        <w:t xml:space="preserve">Dependencies</w:t>
      </w:r>
      <w:bookmarkEnd w:id="100015"/>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gridCol w:w="100"/>
      </w:tblGrid>
      <w:tr>
        <w:trPr>
          <w:cantSplit/>
          <w:tblHeader/>
        </w:trPr>
        <w:tc>
          <w:tcPr>
            <w:tcW w:type="pct" w:w="4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Dependency</w:t>
            </w:r>
          </w:p>
        </w:tc>
        <w:tc>
          <w:tcPr>
            <w:tcW w:type="pct" w:w="2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Owner</w:t>
            </w:r>
          </w:p>
        </w:tc>
        <w:tc>
          <w:tcPr>
            <w:tcW w:type="pct" w:w="2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Required By</w:t>
            </w:r>
          </w:p>
        </w:tc>
        <w:tc>
          <w:tcPr>
            <w:tcW w:type="pct" w:w="2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Impact if Delayed</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Chamber member registry data export</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Chamber PMO</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P1 Week 3</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P1 onboarding delayed</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Bank escrow integration MOUs</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Chamber Exec</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P2 Month 1</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2 cannot go-live</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Minerals Commission export-permit API</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Chamber + Vendor</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P3 Month 1</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3 export VAS blocked</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Assay lab API contracts (SGS, etc.)</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Vendor BD</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P3 Month 2</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Assay VAS delayed</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SOC 2 auditor engagement</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Vendor Compliance Eng</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P3 Month 6</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4 sign-off at risk</w:t>
            </w:r>
          </w:p>
        </w:tc>
      </w:tr>
    </w:tbl>
    <w:p>
      <w:pPr>
        <w:pStyle w:val="Heading2"/>
        <w:spacing w:after="160" w:before="360" w:line="312"/>
      </w:pPr>
      <w:bookmarkStart w:id="100016" w:name="_Toc100016"/>
      <w:r>
        <w:rPr>
          <w:rFonts w:ascii="Calibri" w:eastAsia="Calibri"/>
          <w:b/>
          <w:bCs/>
          <w:color w:val="1A2B4A"/>
          <w:sz w:val="28"/>
          <w:szCs w:val="28"/>
        </w:rPr>
        <w:t xml:space="preserve">1.9 High-Level Risks</w:t>
      </w:r>
      <w:bookmarkEnd w:id="100016"/>
    </w:p>
    <w:p>
      <w:pPr>
        <w:spacing w:after="120" w:line="312"/>
        <w:ind w:firstLine="0"/>
        <w:jc w:val="both"/>
      </w:pPr>
      <w:r>
        <w:rPr>
          <w:rFonts w:ascii="Calibri" w:eastAsia="Calibri"/>
          <w:color w:val="1F2937"/>
          <w:sz w:val="22"/>
          <w:szCs w:val="22"/>
        </w:rPr>
        <w:t xml:space="preserve">Seven top risks have been identified with mitigation strategies. Operational mitigations are detailed in Documents 6 and 7. Each risk has a named owner and is reviewed at the monthly Joint Change Control Board meeting.</w:t>
      </w:r>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gridCol w:w="100"/>
        <w:gridCol w:w="100"/>
      </w:tblGrid>
      <w:tr>
        <w:trPr>
          <w:cantSplit/>
          <w:tblHeader/>
        </w:trPr>
        <w:tc>
          <w:tcPr>
            <w:tcW w:type="pct" w:w="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w:t>
            </w:r>
          </w:p>
        </w:tc>
        <w:tc>
          <w:tcPr>
            <w:tcW w:type="pct" w:w="3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Risk</w:t>
            </w:r>
          </w:p>
        </w:tc>
        <w:tc>
          <w:tcPr>
            <w:tcW w:type="pct" w:w="12%"/>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Likelihood</w:t>
            </w:r>
          </w:p>
        </w:tc>
        <w:tc>
          <w:tcPr>
            <w:tcW w:type="pct" w:w="12%"/>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Impact</w:t>
            </w:r>
          </w:p>
        </w:tc>
        <w:tc>
          <w:tcPr>
            <w:tcW w:type="pct" w:w="36%"/>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Mitigation</w:t>
            </w:r>
          </w:p>
        </w:tc>
      </w:tr>
      <w:tr>
        <w:trPr>
          <w:cantSplit/>
        </w:trPr>
        <w:tc>
          <w:tcPr>
            <w:tcW w:type="pct" w:w="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R1</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Key Tier 1 buyer declines to participate due to platform trust concerns</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Medium</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6%"/>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Secure 2 anchor Tier 1 buyers under LOI before Phase 2; Chamber endorsement; SOC 2 prerequisite</w:t>
            </w:r>
          </w:p>
        </w:tc>
      </w:tr>
      <w:tr>
        <w:trPr>
          <w:cantSplit/>
        </w:trPr>
        <w:tc>
          <w:tcPr>
            <w:tcW w:type="pct" w:w="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R2</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Escrow partner bank withdraws or fails to integrate on schedule</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Medium</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6%"/>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Dual-track two bank MOUs from Phase 1; fallback to licensed PSP escrow; EscrowProvider interface abstraction</w:t>
            </w:r>
          </w:p>
        </w:tc>
      </w:tr>
      <w:tr>
        <w:trPr>
          <w:cantSplit/>
        </w:trPr>
        <w:tc>
          <w:tcPr>
            <w:tcW w:type="pct" w:w="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R3</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Regulatory change imposes new licensing requirement on platform</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Low</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Critical</w:t>
            </w:r>
          </w:p>
        </w:tc>
        <w:tc>
          <w:tcPr>
            <w:tcW w:type="pct" w:w="36%"/>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Quarterly compliance review; 90-day regulatory horizon scan; legal counsel retained</w:t>
            </w:r>
          </w:p>
        </w:tc>
      </w:tr>
      <w:tr>
        <w:trPr>
          <w:cantSplit/>
        </w:trPr>
        <w:tc>
          <w:tcPr>
            <w:tcW w:type="pct" w:w="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R4</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Cybersecurity incident (data breach or trade data exfiltration)</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Medium</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Critical</w:t>
            </w:r>
          </w:p>
        </w:tc>
        <w:tc>
          <w:tcPr>
            <w:tcW w:type="pct" w:w="36%"/>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Defense-in-depth (WAF + IDS + KMS + immutable audit log); SOC 2 controls; 24h BoG notification; cyber insurance US$5M</w:t>
            </w:r>
          </w:p>
        </w:tc>
      </w:tr>
      <w:tr>
        <w:trPr>
          <w:cantSplit/>
        </w:trPr>
        <w:tc>
          <w:tcPr>
            <w:tcW w:type="pct" w:w="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R5</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Vendor key personnel departure (architect, TPM, or principal engineer)</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Medium</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6%"/>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Pair programming; ADRs and decision logs in repo; 2-week notice clause; documented runbooks</w:t>
            </w:r>
          </w:p>
        </w:tc>
      </w:tr>
      <w:tr>
        <w:trPr>
          <w:cantSplit/>
        </w:trPr>
        <w:tc>
          <w:tcPr>
            <w:tcW w:type="pct" w:w="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R6</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Trading volume underperforms forecast, jeopardizing revenue-share economics</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Medium</w:t>
            </w:r>
          </w:p>
        </w:tc>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6%"/>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Conservative base-case model (1/3 of forecast); premium subscriptions as volume-independent revenue</w:t>
            </w:r>
          </w:p>
        </w:tc>
      </w:tr>
      <w:tr>
        <w:trPr>
          <w:cantSplit/>
        </w:trPr>
        <w:tc>
          <w:tcPr>
            <w:tcW w:type="pct" w:w="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R7</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1 member onboarding slower than target (KYC friction)</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Medium</w:t>
            </w:r>
          </w:p>
        </w:tc>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Medium</w:t>
            </w:r>
          </w:p>
        </w:tc>
        <w:tc>
          <w:tcPr>
            <w:tcW w:type="pct" w:w="36%"/>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Pre-load verified member data from Chamber registry; tiered KYC; in-app document upload + status tracking</w:t>
            </w:r>
          </w:p>
        </w:tc>
      </w:tr>
    </w:tbl>
    <w:p>
      <w:pPr>
        <w:pStyle w:val="Heading2"/>
        <w:spacing w:after="160" w:before="360" w:line="312"/>
      </w:pPr>
      <w:bookmarkStart w:id="100017" w:name="_Toc100017"/>
      <w:r>
        <w:rPr>
          <w:rFonts w:ascii="Calibri" w:eastAsia="Calibri"/>
          <w:b/>
          <w:bCs/>
          <w:color w:val="1A2B4A"/>
          <w:sz w:val="28"/>
          <w:szCs w:val="28"/>
        </w:rPr>
        <w:t xml:space="preserve">1.10 Success Criteria / KPIs</w:t>
      </w:r>
      <w:bookmarkEnd w:id="100017"/>
    </w:p>
    <w:p>
      <w:pPr>
        <w:spacing w:after="120" w:line="312"/>
        <w:ind w:firstLine="0"/>
        <w:jc w:val="both"/>
      </w:pPr>
      <w:r>
        <w:rPr>
          <w:rFonts w:ascii="Calibri" w:eastAsia="Calibri"/>
          <w:color w:val="1F2937"/>
          <w:sz w:val="22"/>
          <w:szCs w:val="22"/>
        </w:rPr>
        <w:t xml:space="preserve">Success is measured 90 days post Phase 4 Go-Live (by 31 October 2028). The KPI table below covers adoption, trading volume, efficiency, reliability, security, compliance, financial, and customer experience dimensions. The vendor's revenue share is contingent on KPI achievement as defined in the Master Services Agreement.</w:t>
      </w:r>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KPI Category</w:t>
            </w:r>
          </w:p>
        </w:tc>
        <w:tc>
          <w:tcPr>
            <w:tcW w:type="pct" w:w="4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Metric</w:t>
            </w:r>
          </w:p>
        </w:tc>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Target</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Adoption</w:t>
            </w:r>
          </w:p>
        </w:tc>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Active licensed members on platform</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280 of ~340 (82%)</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Adoption</w:t>
            </w:r>
          </w:p>
        </w:tc>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Tier 1 buyer participation</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8 of top 10 Ghana-licensed refiners</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Trading Volume</w:t>
            </w:r>
          </w:p>
        </w:tc>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Cumulative trade value settled through escrow</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US$500M trailing 12 months</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Trading Volume</w:t>
            </w:r>
          </w:p>
        </w:tc>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Completed trades (RFQ + auction)</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1,200 per quarter</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Efficiency</w:t>
            </w:r>
          </w:p>
        </w:tc>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Mean Time to Trade Settlement (MTTTS)</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48 hours, 90th percentile</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Efficiency</w:t>
            </w:r>
          </w:p>
        </w:tc>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Member onboarding time</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5 business days, median</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Reliability</w:t>
            </w:r>
          </w:p>
        </w:tc>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Platform uptime (SLA: 99.9%)</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99.95% measured monthly</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Security</w:t>
            </w:r>
          </w:p>
        </w:tc>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Critical vulnerabilities open &gt; 30 days</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0</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Security</w:t>
            </w:r>
          </w:p>
        </w:tc>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SOC 2 Type II report</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Issued and unqualified</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Compliance</w:t>
            </w:r>
          </w:p>
        </w:tc>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AML alert turnaround time</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24 hours, 95th percentile</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Financial</w:t>
            </w:r>
          </w:p>
        </w:tc>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Platform gross revenue (trailing 12 months)</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US$2.4M</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Financial</w:t>
            </w:r>
          </w:p>
        </w:tc>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Chamber revenue share remitted</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US$720K (30%)</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Customer Experience</w:t>
            </w:r>
          </w:p>
        </w:tc>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Member NPS</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45</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Customer Experience</w:t>
            </w:r>
          </w:p>
        </w:tc>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 dispute rate</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&lt; 2% of trades</w:t>
            </w:r>
          </w:p>
        </w:tc>
      </w:tr>
    </w:tbl>
    <w:p>
      <w:pPr>
        <w:pStyle w:val="Heading1"/>
        <w:spacing w:after="240" w:before="480" w:line="312"/>
      </w:pPr>
      <w:bookmarkStart w:id="100018" w:name="_Toc100018"/>
      <w:r>
        <w:rPr>
          <w:rFonts w:ascii="Calibri" w:eastAsia="Calibri"/>
          <w:b/>
          <w:bCs/>
          <w:color w:val="1A2B4A"/>
          <w:sz w:val="36"/>
          <w:szCs w:val="36"/>
        </w:rPr>
        <w:t xml:space="preserve">Document 2 — User Personas</w:t>
      </w:r>
      <w:bookmarkEnd w:id="100018"/>
    </w:p>
    <w:p>
      <w:pPr>
        <w:spacing w:after="120" w:line="312"/>
        <w:ind w:firstLine="0"/>
        <w:jc w:val="both"/>
      </w:pPr>
      <w:r>
        <w:rPr>
          <w:rFonts w:ascii="Calibri" w:eastAsia="Calibri"/>
          <w:color w:val="1F2937"/>
          <w:sz w:val="22"/>
          <w:szCs w:val="22"/>
        </w:rPr>
        <w:t xml:space="preserve">Four primary personas anchor the design of the AurumX platform. Each is fictional but anchored in real stakeholder archetypes observed in the Ghanaian gold-buying sector. Names, ages, frustrations, and quotes are deliberately specific so that engineering, design, and product decisions can be tested against concrete user models rather than abstract types. Where a persona implies a feature priority, that implication is listed explicitly so it can be traced to the backlog.</w:t>
      </w:r>
    </w:p>
    <w:p>
      <w:pPr>
        <w:pStyle w:val="Heading2"/>
        <w:spacing w:after="160" w:before="360" w:line="312"/>
      </w:pPr>
      <w:bookmarkStart w:id="100019" w:name="_Toc100019"/>
      <w:r>
        <w:rPr>
          <w:rFonts w:ascii="Calibri" w:eastAsia="Calibri"/>
          <w:b/>
          <w:bCs/>
          <w:color w:val="1A2B4A"/>
          <w:sz w:val="28"/>
          <w:szCs w:val="28"/>
        </w:rPr>
        <w:t xml:space="preserve">2.1 Persona 1 — Kwame Asare, Tier 1 Buyer</w:t>
      </w:r>
      <w:bookmarkEnd w:id="100019"/>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tblGrid>
      <w:tr>
        <w:trPr>
          <w:cantSplit/>
          <w:tblHeader/>
        </w:trPr>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Attribute</w:t>
            </w:r>
          </w:p>
        </w:tc>
        <w:tc>
          <w:tcPr>
            <w:tcW w:type="pct" w:w="7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Detail</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Name</w:t>
            </w:r>
          </w:p>
        </w:tc>
        <w:tc>
          <w:tcPr>
            <w:tcW w:type="pct" w:w="7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Kwame Asare</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Age</w:t>
            </w:r>
          </w:p>
        </w:tc>
        <w:tc>
          <w:tcPr>
            <w:tcW w:type="pct" w:w="7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52</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Job title</w:t>
            </w:r>
          </w:p>
        </w:tc>
        <w:tc>
          <w:tcPr>
            <w:tcW w:type="pct" w:w="7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Head of West African Sourcing, Helvetia Refining AG (LBMA Good Delivery refiner)</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Technical skill level</w:t>
            </w:r>
          </w:p>
        </w:tc>
        <w:tc>
          <w:tcPr>
            <w:tcW w:type="pct" w:w="7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 Daily user of Bloomberg Terminal, SAP S/4HANA, internal trade tools; skeptical of consumer-grade UX.</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Industry</w:t>
            </w:r>
          </w:p>
        </w:tc>
        <w:tc>
          <w:tcPr>
            <w:tcW w:type="pct" w:w="7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Precious metals refining &amp; bullion trading</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Company size</w:t>
            </w:r>
          </w:p>
        </w:tc>
        <w:tc>
          <w:tcPr>
            <w:tcW w:type="pct" w:w="7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~2,400 employees globally; West African sourcing team of 8</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Annual procurement budget</w:t>
            </w:r>
          </w:p>
        </w:tc>
        <w:tc>
          <w:tcPr>
            <w:tcW w:type="pct" w:w="7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US$250M–$400M of doré and refined gold</w:t>
            </w:r>
          </w:p>
        </w:tc>
      </w:tr>
    </w:tbl>
    <w:p>
      <w:pPr>
        <w:pStyle w:val="Heading3"/>
        <w:spacing w:after="120" w:before="240" w:line="312"/>
      </w:pPr>
      <w:bookmarkStart w:id="100020" w:name="_Toc100020"/>
      <w:r>
        <w:rPr>
          <w:rFonts w:ascii="Calibri" w:eastAsia="Calibri"/>
          <w:b/>
          <w:bCs/>
          <w:color w:val="1A2B4A"/>
          <w:sz w:val="24"/>
          <w:szCs w:val="24"/>
        </w:rPr>
        <w:t xml:space="preserve">Goals</w:t>
      </w:r>
      <w:bookmarkEnd w:id="100020"/>
    </w:p>
    <w:p>
      <w:pPr>
        <w:pStyle w:val="ListParagraph"/>
        <w:numPr>
          <w:ilvl w:val="0"/>
          <w:numId w:val="1"/>
        </w:numPr>
        <w:spacing w:after="80" w:line="312"/>
      </w:pPr>
      <w:r>
        <w:rPr>
          <w:rFonts w:ascii="Calibri" w:eastAsia="Calibri"/>
          <w:color w:val="1F2937"/>
          <w:sz w:val="22"/>
          <w:szCs w:val="22"/>
        </w:rPr>
        <w:t xml:space="preserve">Source 30–50 kg of gold per week from Ghanaian Tier 2 sellers and aggregators at or below the LBMA benchmark, with full provenance documentation for Swiss import compliance.</w:t>
      </w:r>
    </w:p>
    <w:p>
      <w:pPr>
        <w:pStyle w:val="ListParagraph"/>
        <w:numPr>
          <w:ilvl w:val="0"/>
          <w:numId w:val="1"/>
        </w:numPr>
        <w:spacing w:after="80" w:line="312"/>
      </w:pPr>
      <w:r>
        <w:rPr>
          <w:rFonts w:ascii="Calibri" w:eastAsia="Calibri"/>
          <w:color w:val="1F2937"/>
          <w:sz w:val="22"/>
          <w:szCs w:val="22"/>
        </w:rPr>
        <w:t xml:space="preserve">Pre-qualify and maintain a vetted panel of 12–15 Ghanaian counterparties whose KYC, licensing, and AML status are continuously validated.</w:t>
      </w:r>
    </w:p>
    <w:p>
      <w:pPr>
        <w:pStyle w:val="ListParagraph"/>
        <w:numPr>
          <w:ilvl w:val="0"/>
          <w:numId w:val="1"/>
        </w:numPr>
        <w:spacing w:after="80" w:line="312"/>
      </w:pPr>
      <w:r>
        <w:rPr>
          <w:rFonts w:ascii="Calibri" w:eastAsia="Calibri"/>
          <w:color w:val="1F2937"/>
          <w:sz w:val="22"/>
          <w:szCs w:val="22"/>
        </w:rPr>
        <w:t xml:space="preserve">Reduce per-deal administrative overhead from 6–8 hours to under 1 hour.</w:t>
      </w:r>
    </w:p>
    <w:p>
      <w:pPr>
        <w:pStyle w:val="ListParagraph"/>
        <w:numPr>
          <w:ilvl w:val="0"/>
          <w:numId w:val="1"/>
        </w:numPr>
        <w:spacing w:after="80" w:line="312"/>
      </w:pPr>
      <w:r>
        <w:rPr>
          <w:rFonts w:ascii="Calibri" w:eastAsia="Calibri"/>
          <w:color w:val="1F2937"/>
          <w:sz w:val="22"/>
          <w:szCs w:val="22"/>
        </w:rPr>
        <w:t xml:space="preserve">Receive early visibility of large lots (≥ 5 kg, ≥ 99.5% purity) with right of first refusal where possible.</w:t>
      </w:r>
    </w:p>
    <w:p>
      <w:pPr>
        <w:pStyle w:val="ListParagraph"/>
        <w:numPr>
          <w:ilvl w:val="0"/>
          <w:numId w:val="1"/>
        </w:numPr>
        <w:spacing w:after="80" w:line="312"/>
      </w:pPr>
      <w:r>
        <w:rPr>
          <w:rFonts w:ascii="Calibri" w:eastAsia="Calibri"/>
          <w:color w:val="1F2937"/>
          <w:sz w:val="22"/>
          <w:szCs w:val="22"/>
        </w:rPr>
        <w:t xml:space="preserve">Maintain an audit trail defensible against Swiss FINMA and OECD Due Diligence Guidance reviews.</w:t>
      </w:r>
    </w:p>
    <w:p>
      <w:pPr>
        <w:pStyle w:val="Heading3"/>
        <w:spacing w:after="120" w:before="240" w:line="312"/>
      </w:pPr>
      <w:bookmarkStart w:id="100021" w:name="_Toc100021"/>
      <w:r>
        <w:rPr>
          <w:rFonts w:ascii="Calibri" w:eastAsia="Calibri"/>
          <w:b/>
          <w:bCs/>
          <w:color w:val="1A2B4A"/>
          <w:sz w:val="24"/>
          <w:szCs w:val="24"/>
        </w:rPr>
        <w:t xml:space="preserve">Pain Points</w:t>
      </w:r>
      <w:bookmarkEnd w:id="100021"/>
    </w:p>
    <w:p>
      <w:pPr>
        <w:spacing w:after="120" w:line="312"/>
        <w:ind w:firstLine="0"/>
        <w:jc w:val="both"/>
      </w:pPr>
      <w:r>
        <w:rPr>
          <w:rFonts w:ascii="Calibri" w:eastAsia="Calibri"/>
          <w:color w:val="1F2937"/>
          <w:sz w:val="22"/>
          <w:szCs w:val="22"/>
        </w:rPr>
        <w:t xml:space="preserve">Counterparty discovery is relationship-bound — most deals happen through WhatsApp and personal phone calls. Documentation is paper-heavy and error-prone. Provenance gaps create compliance risk under OECD Annex II. Price opacity at the local level means Kwame's team cannot verify whether aggregator quotes are fair. No early-warning system exists for supply disruptions.</w:t>
      </w:r>
    </w:p>
    <w:p>
      <w:pPr>
        <w:pBdr>
          <w:left w:val="single" w:color="B8860B" w:sz="18" w:space="12"/>
        </w:pBdr>
        <w:shd w:fill="FCEFC7" w:val="clear"/>
        <w:spacing w:after="160" w:before="160" w:line="312"/>
        <w:ind w:left="240"/>
      </w:pPr>
      <w:r>
        <w:rPr>
          <w:rFonts w:ascii="Calibri" w:eastAsia="Calibri"/>
          <w:i/>
          <w:iCs/>
          <w:color w:val="1A2B4A"/>
          <w:sz w:val="22"/>
          <w:szCs w:val="22"/>
        </w:rPr>
        <w:t xml:space="preserve">I do not need another marketplace. I need a verified counterparty on the other side of every kilogram, with paper that survives a FINMA audit.</w:t>
      </w:r>
    </w:p>
    <w:p>
      <w:pPr>
        <w:pStyle w:val="Heading3"/>
        <w:spacing w:after="120" w:before="240" w:line="312"/>
      </w:pPr>
      <w:bookmarkStart w:id="100022" w:name="_Toc100022"/>
      <w:r>
        <w:rPr>
          <w:rFonts w:ascii="Calibri" w:eastAsia="Calibri"/>
          <w:b/>
          <w:bCs/>
          <w:color w:val="1A2B4A"/>
          <w:sz w:val="24"/>
          <w:szCs w:val="24"/>
        </w:rPr>
        <w:t xml:space="preserve">Product Implications</w:t>
      </w:r>
      <w:bookmarkEnd w:id="100022"/>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5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Implication</w:t>
            </w:r>
          </w:p>
        </w:tc>
        <w:tc>
          <w:tcPr>
            <w:tcW w:type="pct" w:w="1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Priority</w:t>
            </w:r>
          </w:p>
        </w:tc>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Phase</w:t>
            </w:r>
          </w:p>
        </w:tc>
      </w:tr>
      <w:tr>
        <w:trPr>
          <w:cantSplit/>
        </w:trPr>
        <w:tc>
          <w:tcPr>
            <w:tcW w:type="pct" w:w="5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Verified counterparty directory with live license status</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1</w:t>
            </w:r>
          </w:p>
        </w:tc>
      </w:tr>
      <w:tr>
        <w:trPr>
          <w:cantSplit/>
        </w:trPr>
        <w:tc>
          <w:tcPr>
            <w:tcW w:type="pct" w:w="5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Tier 1 pre-notification with optional RFQ exclusivity window</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2</w:t>
            </w:r>
          </w:p>
        </w:tc>
      </w:tr>
      <w:tr>
        <w:trPr>
          <w:cantSplit/>
        </w:trPr>
        <w:tc>
          <w:tcPr>
            <w:tcW w:type="pct" w:w="5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Full provenance chain with hash-anchored documents</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2–3</w:t>
            </w:r>
          </w:p>
        </w:tc>
      </w:tr>
      <w:tr>
        <w:trPr>
          <w:cantSplit/>
        </w:trPr>
        <w:tc>
          <w:tcPr>
            <w:tcW w:type="pct" w:w="5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OECD Annex II red-flag indicators on counterparty profiles</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1</w:t>
            </w:r>
          </w:p>
        </w:tc>
      </w:tr>
      <w:tr>
        <w:trPr>
          <w:cantSplit/>
        </w:trPr>
        <w:tc>
          <w:tcPr>
            <w:tcW w:type="pct" w:w="5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API access for SAP integration (push purchase orders, pull confirmations)</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Medium</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2</w:t>
            </w:r>
          </w:p>
        </w:tc>
      </w:tr>
      <w:tr>
        <w:trPr>
          <w:cantSplit/>
        </w:trPr>
        <w:tc>
          <w:tcPr>
            <w:tcW w:type="pct" w:w="5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Desktop-first UX; mobile is read-only for trade review</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1</w:t>
            </w:r>
          </w:p>
        </w:tc>
      </w:tr>
      <w:tr>
        <w:trPr>
          <w:cantSplit/>
        </w:trPr>
        <w:tc>
          <w:tcPr>
            <w:tcW w:type="pct" w:w="5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Price benchmarking widget showing LBMA fix + local premium</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Medium</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2</w:t>
            </w:r>
          </w:p>
        </w:tc>
      </w:tr>
    </w:tbl>
    <w:p>
      <w:pPr>
        <w:pStyle w:val="Heading2"/>
        <w:spacing w:after="160" w:before="360" w:line="312"/>
      </w:pPr>
      <w:bookmarkStart w:id="100023" w:name="_Toc100023"/>
      <w:r>
        <w:rPr>
          <w:rFonts w:ascii="Calibri" w:eastAsia="Calibri"/>
          <w:b/>
          <w:bCs/>
          <w:color w:val="1A2B4A"/>
          <w:sz w:val="28"/>
          <w:szCs w:val="28"/>
        </w:rPr>
        <w:t xml:space="preserve">2.2 Persona 2 — Abena Owusu, Tier 2 Buyer</w:t>
      </w:r>
      <w:bookmarkEnd w:id="100023"/>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tblGrid>
      <w:tr>
        <w:trPr>
          <w:cantSplit/>
          <w:tblHeader/>
        </w:trPr>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Attribute</w:t>
            </w:r>
          </w:p>
        </w:tc>
        <w:tc>
          <w:tcPr>
            <w:tcW w:type="pct" w:w="7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Detail</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Name</w:t>
            </w:r>
          </w:p>
        </w:tc>
        <w:tc>
          <w:tcPr>
            <w:tcW w:type="pct" w:w="7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Abena Owusu</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Age</w:t>
            </w:r>
          </w:p>
        </w:tc>
        <w:tc>
          <w:tcPr>
            <w:tcW w:type="pct" w:w="7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34</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Job title</w:t>
            </w:r>
          </w:p>
        </w:tc>
        <w:tc>
          <w:tcPr>
            <w:tcW w:type="pct" w:w="7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Managing Director, GoldLink Exports Ltd. (Accra-based licensed gold exporter)</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Technical skill level</w:t>
            </w:r>
          </w:p>
        </w:tc>
        <w:tc>
          <w:tcPr>
            <w:tcW w:type="pct" w:w="7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Medium-High. Power user of Excel, WhatsApp Business, Google Workspace; limited API literacy.</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Industry</w:t>
            </w:r>
          </w:p>
        </w:tc>
        <w:tc>
          <w:tcPr>
            <w:tcW w:type="pct" w:w="7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Gold export &amp; aggregation</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Company size</w:t>
            </w:r>
          </w:p>
        </w:tc>
        <w:tc>
          <w:tcPr>
            <w:tcW w:type="pct" w:w="7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12 employees</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Annual export volume</w:t>
            </w:r>
          </w:p>
        </w:tc>
        <w:tc>
          <w:tcPr>
            <w:tcW w:type="pct" w:w="7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80–150 kg/year, primarily to UAE and India</w:t>
            </w:r>
          </w:p>
        </w:tc>
      </w:tr>
    </w:tbl>
    <w:p>
      <w:pPr>
        <w:pStyle w:val="Heading3"/>
        <w:spacing w:after="120" w:before="240" w:line="312"/>
      </w:pPr>
      <w:bookmarkStart w:id="100024" w:name="_Toc100024"/>
      <w:r>
        <w:rPr>
          <w:rFonts w:ascii="Calibri" w:eastAsia="Calibri"/>
          <w:b/>
          <w:bCs/>
          <w:color w:val="1A2B4A"/>
          <w:sz w:val="24"/>
          <w:szCs w:val="24"/>
        </w:rPr>
        <w:t xml:space="preserve">Goals</w:t>
      </w:r>
      <w:bookmarkEnd w:id="100024"/>
    </w:p>
    <w:p>
      <w:pPr>
        <w:pStyle w:val="ListParagraph"/>
        <w:numPr>
          <w:ilvl w:val="0"/>
          <w:numId w:val="1"/>
        </w:numPr>
        <w:spacing w:after="80" w:line="312"/>
      </w:pPr>
      <w:r>
        <w:rPr>
          <w:rFonts w:ascii="Calibri" w:eastAsia="Calibri"/>
          <w:color w:val="1F2937"/>
          <w:sz w:val="22"/>
          <w:szCs w:val="22"/>
        </w:rPr>
        <w:t xml:space="preserve">Maintain a steady pipeline of 8–12 kg of gold per week for export, sourced from 4–6 trusted aggregators.</w:t>
      </w:r>
    </w:p>
    <w:p>
      <w:pPr>
        <w:pStyle w:val="ListParagraph"/>
        <w:numPr>
          <w:ilvl w:val="0"/>
          <w:numId w:val="1"/>
        </w:numPr>
        <w:spacing w:after="80" w:line="312"/>
      </w:pPr>
      <w:r>
        <w:rPr>
          <w:rFonts w:ascii="Calibri" w:eastAsia="Calibri"/>
          <w:color w:val="1F2937"/>
          <w:sz w:val="22"/>
          <w:szCs w:val="22"/>
        </w:rPr>
        <w:t xml:space="preserve">Reduce the time from gold-in-vault to export permit approved from 10–14 days to under 5 days.</w:t>
      </w:r>
    </w:p>
    <w:p>
      <w:pPr>
        <w:pStyle w:val="ListParagraph"/>
        <w:numPr>
          <w:ilvl w:val="0"/>
          <w:numId w:val="1"/>
        </w:numPr>
        <w:spacing w:after="80" w:line="312"/>
      </w:pPr>
      <w:r>
        <w:rPr>
          <w:rFonts w:ascii="Calibri" w:eastAsia="Calibri"/>
          <w:color w:val="1F2937"/>
          <w:sz w:val="22"/>
          <w:szCs w:val="22"/>
        </w:rPr>
        <w:t xml:space="preserve">Negotiate better margins by accessing multiple competing seller offers.</w:t>
      </w:r>
    </w:p>
    <w:p>
      <w:pPr>
        <w:pStyle w:val="ListParagraph"/>
        <w:numPr>
          <w:ilvl w:val="0"/>
          <w:numId w:val="1"/>
        </w:numPr>
        <w:spacing w:after="80" w:line="312"/>
      </w:pPr>
      <w:r>
        <w:rPr>
          <w:rFonts w:ascii="Calibri" w:eastAsia="Calibri"/>
          <w:color w:val="1F2937"/>
          <w:sz w:val="22"/>
          <w:szCs w:val="22"/>
        </w:rPr>
        <w:t xml:space="preserve">Manage export documentation, customs filings, and PMMC paperwork in one place.</w:t>
      </w:r>
    </w:p>
    <w:p>
      <w:pPr>
        <w:pStyle w:val="ListParagraph"/>
        <w:numPr>
          <w:ilvl w:val="0"/>
          <w:numId w:val="1"/>
        </w:numPr>
        <w:spacing w:after="80" w:line="312"/>
      </w:pPr>
      <w:r>
        <w:rPr>
          <w:rFonts w:ascii="Calibri" w:eastAsia="Calibri"/>
          <w:color w:val="1F2937"/>
          <w:sz w:val="22"/>
          <w:szCs w:val="22"/>
        </w:rPr>
        <w:t xml:space="preserve">Build a track record that lets her access trade finance from her bank.</w:t>
      </w:r>
    </w:p>
    <w:p>
      <w:pPr>
        <w:pStyle w:val="Heading3"/>
        <w:spacing w:after="120" w:before="240" w:line="312"/>
      </w:pPr>
      <w:bookmarkStart w:id="100025" w:name="_Toc100025"/>
      <w:r>
        <w:rPr>
          <w:rFonts w:ascii="Calibri" w:eastAsia="Calibri"/>
          <w:b/>
          <w:bCs/>
          <w:color w:val="1A2B4A"/>
          <w:sz w:val="24"/>
          <w:szCs w:val="24"/>
        </w:rPr>
        <w:t xml:space="preserve">Pain Points</w:t>
      </w:r>
      <w:bookmarkEnd w:id="100025"/>
    </w:p>
    <w:p>
      <w:pPr>
        <w:spacing w:after="120" w:line="312"/>
        <w:ind w:firstLine="0"/>
        <w:jc w:val="both"/>
      </w:pPr>
      <w:r>
        <w:rPr>
          <w:rFonts w:ascii="Calibri" w:eastAsia="Calibri"/>
          <w:color w:val="1F2937"/>
          <w:sz w:val="22"/>
          <w:szCs w:val="22"/>
        </w:rPr>
        <w:t xml:space="preserve">Liquidity is unpredictable — when an aggregator relationship falters, she has no fast way to find vetted alternatives. Documentation is exhausting — exporting one shipment requires 7 documents across 4 agencies with different portals. Price discovery is opaque. Bank credit is hard — despite a clean track record, her bank treats her as high-risk. Cash flow timing is brutal — she pays sellers within 48 hours but buyers pay on T+7 to T+30 terms, leaving her bearing all settlement risk.</w:t>
      </w:r>
    </w:p>
    <w:p>
      <w:pPr>
        <w:pBdr>
          <w:left w:val="single" w:color="B8860B" w:sz="18" w:space="12"/>
        </w:pBdr>
        <w:shd w:fill="FCEFC7" w:val="clear"/>
        <w:spacing w:after="160" w:before="160" w:line="312"/>
        <w:ind w:left="240"/>
      </w:pPr>
      <w:r>
        <w:rPr>
          <w:rFonts w:ascii="Calibri" w:eastAsia="Calibri"/>
          <w:i/>
          <w:iCs/>
          <w:color w:val="1A2B4A"/>
          <w:sz w:val="22"/>
          <w:szCs w:val="22"/>
        </w:rPr>
        <w:t xml:space="preserve">If I can move gold from vault to export permit in five days instead of fourteen, I can take three more shipments a month. That is the difference between surviving and growing.</w:t>
      </w:r>
    </w:p>
    <w:p>
      <w:pPr>
        <w:pStyle w:val="Heading3"/>
        <w:spacing w:after="120" w:before="240" w:line="312"/>
      </w:pPr>
      <w:bookmarkStart w:id="100026" w:name="_Toc100026"/>
      <w:r>
        <w:rPr>
          <w:rFonts w:ascii="Calibri" w:eastAsia="Calibri"/>
          <w:b/>
          <w:bCs/>
          <w:color w:val="1A2B4A"/>
          <w:sz w:val="24"/>
          <w:szCs w:val="24"/>
        </w:rPr>
        <w:t xml:space="preserve">Product Implications</w:t>
      </w:r>
      <w:bookmarkEnd w:id="100026"/>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5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Implication</w:t>
            </w:r>
          </w:p>
        </w:tc>
        <w:tc>
          <w:tcPr>
            <w:tcW w:type="pct" w:w="1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Priority</w:t>
            </w:r>
          </w:p>
        </w:tc>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Phase</w:t>
            </w:r>
          </w:p>
        </w:tc>
      </w:tr>
      <w:tr>
        <w:trPr>
          <w:cantSplit/>
        </w:trPr>
        <w:tc>
          <w:tcPr>
            <w:tcW w:type="pct" w:w="5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Mobile-first UX for trade review and document management</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Critical</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1</w:t>
            </w:r>
          </w:p>
        </w:tc>
      </w:tr>
      <w:tr>
        <w:trPr>
          <w:cantSplit/>
        </w:trPr>
        <w:tc>
          <w:tcPr>
            <w:tcW w:type="pct" w:w="5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One-stop export documentation workflow (PMMC, GRA, BoG)</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3</w:t>
            </w:r>
          </w:p>
        </w:tc>
      </w:tr>
      <w:tr>
        <w:trPr>
          <w:cantSplit/>
        </w:trPr>
        <w:tc>
          <w:tcPr>
            <w:tcW w:type="pct" w:w="5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RFQ comparison view showing multiple seller offers side-by-side</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2</w:t>
            </w:r>
          </w:p>
        </w:tc>
      </w:tr>
      <w:tr>
        <w:trPr>
          <w:cantSplit/>
        </w:trPr>
        <w:tc>
          <w:tcPr>
            <w:tcW w:type="pct" w:w="5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Escrow as the default settlement method, with bank integration</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2</w:t>
            </w:r>
          </w:p>
        </w:tc>
      </w:tr>
      <w:tr>
        <w:trPr>
          <w:cantSplit/>
        </w:trPr>
        <w:tc>
          <w:tcPr>
            <w:tcW w:type="pct" w:w="5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 history export (PDF + structured) for bank trade finance</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2</w:t>
            </w:r>
          </w:p>
        </w:tc>
      </w:tr>
      <w:tr>
        <w:trPr>
          <w:cantSplit/>
        </w:trPr>
        <w:tc>
          <w:tcPr>
            <w:tcW w:type="pct" w:w="5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Bidirectional SMS / WhatsApp notifications (not just email)</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Medium</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1</w:t>
            </w:r>
          </w:p>
        </w:tc>
      </w:tr>
      <w:tr>
        <w:trPr>
          <w:cantSplit/>
        </w:trPr>
        <w:tc>
          <w:tcPr>
            <w:tcW w:type="pct" w:w="5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Lightweight financial dashboard showing cash flow and P&amp;L</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Medium</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3</w:t>
            </w:r>
          </w:p>
        </w:tc>
      </w:tr>
    </w:tbl>
    <w:p>
      <w:pPr>
        <w:pStyle w:val="Heading2"/>
        <w:spacing w:after="160" w:before="360" w:line="312"/>
      </w:pPr>
      <w:bookmarkStart w:id="100027" w:name="_Toc100027"/>
      <w:r>
        <w:rPr>
          <w:rFonts w:ascii="Calibri" w:eastAsia="Calibri"/>
          <w:b/>
          <w:bCs/>
          <w:color w:val="1A2B4A"/>
          <w:sz w:val="28"/>
          <w:szCs w:val="28"/>
        </w:rPr>
        <w:t xml:space="preserve">2.3 Persona 3 — Ibrahim Toure, Seller</w:t>
      </w:r>
      <w:bookmarkEnd w:id="100027"/>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tblGrid>
      <w:tr>
        <w:trPr>
          <w:cantSplit/>
          <w:tblHeader/>
        </w:trPr>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Attribute</w:t>
            </w:r>
          </w:p>
        </w:tc>
        <w:tc>
          <w:tcPr>
            <w:tcW w:type="pct" w:w="7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Detail</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Name</w:t>
            </w:r>
          </w:p>
        </w:tc>
        <w:tc>
          <w:tcPr>
            <w:tcW w:type="pct" w:w="7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Ibrahim Toure</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Age</w:t>
            </w:r>
          </w:p>
        </w:tc>
        <w:tc>
          <w:tcPr>
            <w:tcW w:type="pct" w:w="7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48</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Job title</w:t>
            </w:r>
          </w:p>
        </w:tc>
        <w:tc>
          <w:tcPr>
            <w:tcW w:type="pct" w:w="7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General Secretary, Banda Small-Scale Miners Cooperative (Upper West Region)</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Technical skill level</w:t>
            </w:r>
          </w:p>
        </w:tc>
        <w:tc>
          <w:tcPr>
            <w:tcW w:type="pct" w:w="7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Low-Medium. Comfortable with basic smartphone apps; struggles with complex forms.</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Industry</w:t>
            </w:r>
          </w:p>
        </w:tc>
        <w:tc>
          <w:tcPr>
            <w:tcW w:type="pct" w:w="7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Artisanal and small-scale gold mining (ASM) and aggregation</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Organization size</w:t>
            </w:r>
          </w:p>
        </w:tc>
        <w:tc>
          <w:tcPr>
            <w:tcW w:type="pct" w:w="7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Cooperative of ~140 small-scale miners; ~3 kg/week throughput</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License type</w:t>
            </w:r>
          </w:p>
        </w:tc>
        <w:tc>
          <w:tcPr>
            <w:tcW w:type="pct" w:w="7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Minerals Commission Small-Scale Mining License + Inter-Regional Gold Buyer Permit</w:t>
            </w:r>
          </w:p>
        </w:tc>
      </w:tr>
    </w:tbl>
    <w:p>
      <w:pPr>
        <w:pStyle w:val="Heading3"/>
        <w:spacing w:after="120" w:before="240" w:line="312"/>
      </w:pPr>
      <w:bookmarkStart w:id="100028" w:name="_Toc100028"/>
      <w:r>
        <w:rPr>
          <w:rFonts w:ascii="Calibri" w:eastAsia="Calibri"/>
          <w:b/>
          <w:bCs/>
          <w:color w:val="1A2B4A"/>
          <w:sz w:val="24"/>
          <w:szCs w:val="24"/>
        </w:rPr>
        <w:t xml:space="preserve">Goals</w:t>
      </w:r>
      <w:bookmarkEnd w:id="100028"/>
    </w:p>
    <w:p>
      <w:pPr>
        <w:pStyle w:val="ListParagraph"/>
        <w:numPr>
          <w:ilvl w:val="0"/>
          <w:numId w:val="1"/>
        </w:numPr>
        <w:spacing w:after="80" w:line="312"/>
      </w:pPr>
      <w:r>
        <w:rPr>
          <w:rFonts w:ascii="Calibri" w:eastAsia="Calibri"/>
          <w:color w:val="1F2937"/>
          <w:sz w:val="22"/>
          <w:szCs w:val="22"/>
        </w:rPr>
        <w:t xml:space="preserve">Sell the cooperative's gold at the best available price without traveling to Accra for every negotiation.</w:t>
      </w:r>
    </w:p>
    <w:p>
      <w:pPr>
        <w:pStyle w:val="ListParagraph"/>
        <w:numPr>
          <w:ilvl w:val="0"/>
          <w:numId w:val="1"/>
        </w:numPr>
        <w:spacing w:after="80" w:line="312"/>
      </w:pPr>
      <w:r>
        <w:rPr>
          <w:rFonts w:ascii="Calibri" w:eastAsia="Calibri"/>
          <w:color w:val="1F2937"/>
          <w:sz w:val="22"/>
          <w:szCs w:val="22"/>
        </w:rPr>
        <w:t xml:space="preserve">Receive payment within 48 hours of delivery — currently the cooperative waits 5–10 days.</w:t>
      </w:r>
    </w:p>
    <w:p>
      <w:pPr>
        <w:pStyle w:val="ListParagraph"/>
        <w:numPr>
          <w:ilvl w:val="0"/>
          <w:numId w:val="1"/>
        </w:numPr>
        <w:spacing w:after="80" w:line="312"/>
      </w:pPr>
      <w:r>
        <w:rPr>
          <w:rFonts w:ascii="Calibri" w:eastAsia="Calibri"/>
          <w:color w:val="1F2937"/>
          <w:sz w:val="22"/>
          <w:szCs w:val="22"/>
        </w:rPr>
        <w:t xml:space="preserve">Build a verifiable, auditable record of production and sales to qualify for fair-trade certifications.</w:t>
      </w:r>
    </w:p>
    <w:p>
      <w:pPr>
        <w:pStyle w:val="ListParagraph"/>
        <w:numPr>
          <w:ilvl w:val="0"/>
          <w:numId w:val="1"/>
        </w:numPr>
        <w:spacing w:after="80" w:line="312"/>
      </w:pPr>
      <w:r>
        <w:rPr>
          <w:rFonts w:ascii="Calibri" w:eastAsia="Calibri"/>
          <w:color w:val="1F2937"/>
          <w:sz w:val="22"/>
          <w:szCs w:val="22"/>
        </w:rPr>
        <w:t xml:space="preserve">Reduce dependence on a single aggregator-middleman who currently takes a 4–6% margin.</w:t>
      </w:r>
    </w:p>
    <w:p>
      <w:pPr>
        <w:pStyle w:val="ListParagraph"/>
        <w:numPr>
          <w:ilvl w:val="0"/>
          <w:numId w:val="1"/>
        </w:numPr>
        <w:spacing w:after="80" w:line="312"/>
      </w:pPr>
      <w:r>
        <w:rPr>
          <w:rFonts w:ascii="Calibri" w:eastAsia="Calibri"/>
          <w:color w:val="1F2937"/>
          <w:sz w:val="22"/>
          <w:szCs w:val="22"/>
        </w:rPr>
        <w:t xml:space="preserve">Get proactive alerts when buyer demand spikes.</w:t>
      </w:r>
    </w:p>
    <w:p>
      <w:pPr>
        <w:pStyle w:val="Heading3"/>
        <w:spacing w:after="120" w:before="240" w:line="312"/>
      </w:pPr>
      <w:bookmarkStart w:id="100029" w:name="_Toc100029"/>
      <w:r>
        <w:rPr>
          <w:rFonts w:ascii="Calibri" w:eastAsia="Calibri"/>
          <w:b/>
          <w:bCs/>
          <w:color w:val="1A2B4A"/>
          <w:sz w:val="24"/>
          <w:szCs w:val="24"/>
        </w:rPr>
        <w:t xml:space="preserve">Pain Points</w:t>
      </w:r>
      <w:bookmarkEnd w:id="100029"/>
    </w:p>
    <w:p>
      <w:pPr>
        <w:spacing w:after="120" w:line="312"/>
        <w:ind w:firstLine="0"/>
        <w:jc w:val="both"/>
      </w:pPr>
      <w:r>
        <w:rPr>
          <w:rFonts w:ascii="Calibri" w:eastAsia="Calibri"/>
          <w:color w:val="1F2937"/>
          <w:sz w:val="22"/>
          <w:szCs w:val="22"/>
        </w:rPr>
        <w:t xml:space="preserve">Logistics are dangerous and expensive — transporting 2–3 kg of gold by road from Wa to Accra costs US$800–1,200. Buyer default risk is real — the cooperative has been burned twice. Price discovery is broken — they get one middleman's quote with no way to know if it is fair. Documentation is hard to maintain — the last license renewal took 11 weeks. No access to finance — no bank will advance working capital against future sales.</w:t>
      </w:r>
    </w:p>
    <w:p>
      <w:pPr>
        <w:pBdr>
          <w:left w:val="single" w:color="B8860B" w:sz="18" w:space="12"/>
        </w:pBdr>
        <w:shd w:fill="FCEFC7" w:val="clear"/>
        <w:spacing w:after="160" w:before="160" w:line="312"/>
        <w:ind w:left="240"/>
      </w:pPr>
      <w:r>
        <w:rPr>
          <w:rFonts w:ascii="Calibri" w:eastAsia="Calibri"/>
          <w:i/>
          <w:iCs/>
          <w:color w:val="1A2B4A"/>
          <w:sz w:val="22"/>
          <w:szCs w:val="22"/>
        </w:rPr>
        <w:t xml:space="preserve">We mine the gold. Someone else sets the price. If this platform lets me see three offers before I sell, and the money is in escrow before the gold leaves my hand, I will use it every week.</w:t>
      </w:r>
    </w:p>
    <w:p>
      <w:pPr>
        <w:pStyle w:val="Heading3"/>
        <w:spacing w:after="120" w:before="240" w:line="312"/>
      </w:pPr>
      <w:bookmarkStart w:id="100030" w:name="_Toc100030"/>
      <w:r>
        <w:rPr>
          <w:rFonts w:ascii="Calibri" w:eastAsia="Calibri"/>
          <w:b/>
          <w:bCs/>
          <w:color w:val="1A2B4A"/>
          <w:sz w:val="24"/>
          <w:szCs w:val="24"/>
        </w:rPr>
        <w:t xml:space="preserve">Product Implications</w:t>
      </w:r>
      <w:bookmarkEnd w:id="100030"/>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5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Implication</w:t>
            </w:r>
          </w:p>
        </w:tc>
        <w:tc>
          <w:tcPr>
            <w:tcW w:type="pct" w:w="1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Priority</w:t>
            </w:r>
          </w:p>
        </w:tc>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Phase</w:t>
            </w:r>
          </w:p>
        </w:tc>
      </w:tr>
      <w:tr>
        <w:trPr>
          <w:cantSplit/>
        </w:trPr>
        <w:tc>
          <w:tcPr>
            <w:tcW w:type="pct" w:w="5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Extremely low-bandwidth mobile UX; SMS fallback</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Critical</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1</w:t>
            </w:r>
          </w:p>
        </w:tc>
      </w:tr>
      <w:tr>
        <w:trPr>
          <w:cantSplit/>
        </w:trPr>
        <w:tc>
          <w:tcPr>
            <w:tcW w:type="pct" w:w="5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One-tap lot creation with photo + weight capture from phone</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2</w:t>
            </w:r>
          </w:p>
        </w:tc>
      </w:tr>
      <w:tr>
        <w:trPr>
          <w:cantSplit/>
        </w:trPr>
        <w:tc>
          <w:tcPr>
            <w:tcW w:type="pct" w:w="5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Escrow visible to seller before gold leaves possession</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Critical</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2</w:t>
            </w:r>
          </w:p>
        </w:tc>
      </w:tr>
      <w:tr>
        <w:trPr>
          <w:cantSplit/>
        </w:trPr>
        <w:tc>
          <w:tcPr>
            <w:tcW w:type="pct" w:w="5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WhatsApp-based trade confirmations and document delivery</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1</w:t>
            </w:r>
          </w:p>
        </w:tc>
      </w:tr>
      <w:tr>
        <w:trPr>
          <w:cantSplit/>
        </w:trPr>
        <w:tc>
          <w:tcPr>
            <w:tcW w:type="pct" w:w="5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Localized pricing display (USD primary, GHS secondary with FX source)</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2</w:t>
            </w:r>
          </w:p>
        </w:tc>
      </w:tr>
      <w:tr>
        <w:trPr>
          <w:cantSplit/>
        </w:trPr>
        <w:tc>
          <w:tcPr>
            <w:tcW w:type="pct" w:w="5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Voice-guided onboarding in English + Twi + Hausa</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Medium</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1</w:t>
            </w:r>
          </w:p>
        </w:tc>
      </w:tr>
      <w:tr>
        <w:trPr>
          <w:cantSplit/>
        </w:trPr>
        <w:tc>
          <w:tcPr>
            <w:tcW w:type="pct" w:w="5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Group/cooperative account with multi-user roles</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1</w:t>
            </w:r>
          </w:p>
        </w:tc>
      </w:tr>
      <w:tr>
        <w:trPr>
          <w:cantSplit/>
        </w:trPr>
        <w:tc>
          <w:tcPr>
            <w:tcW w:type="pct" w:w="5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Demand-spike alerts via SMS when buyer RFQs target cooperative's region</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Medium</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2</w:t>
            </w:r>
          </w:p>
        </w:tc>
      </w:tr>
    </w:tbl>
    <w:p>
      <w:pPr>
        <w:pStyle w:val="Heading2"/>
        <w:spacing w:after="160" w:before="360" w:line="312"/>
      </w:pPr>
      <w:bookmarkStart w:id="100031" w:name="_Toc100031"/>
      <w:r>
        <w:rPr>
          <w:rFonts w:ascii="Calibri" w:eastAsia="Calibri"/>
          <w:b/>
          <w:bCs/>
          <w:color w:val="1A2B4A"/>
          <w:sz w:val="28"/>
          <w:szCs w:val="28"/>
        </w:rPr>
        <w:t xml:space="preserve">2.4 Persona 4 — Efua Boateng, Compliance Officer</w:t>
      </w:r>
      <w:bookmarkEnd w:id="100031"/>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tblGrid>
      <w:tr>
        <w:trPr>
          <w:cantSplit/>
          <w:tblHeader/>
        </w:trPr>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Attribute</w:t>
            </w:r>
          </w:p>
        </w:tc>
        <w:tc>
          <w:tcPr>
            <w:tcW w:type="pct" w:w="7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Detail</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Name</w:t>
            </w:r>
          </w:p>
        </w:tc>
        <w:tc>
          <w:tcPr>
            <w:tcW w:type="pct" w:w="7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Efua Boateng</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Age</w:t>
            </w:r>
          </w:p>
        </w:tc>
        <w:tc>
          <w:tcPr>
            <w:tcW w:type="pct" w:w="7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44</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Job title</w:t>
            </w:r>
          </w:p>
        </w:tc>
        <w:tc>
          <w:tcPr>
            <w:tcW w:type="pct" w:w="7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Director of Compliance &amp; Member Affairs, Ghana Chamber of Gold Buyers</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Technical skill level</w:t>
            </w:r>
          </w:p>
        </w:tc>
        <w:tc>
          <w:tcPr>
            <w:tcW w:type="pct" w:w="7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 Former Big 4 auditor; comfortable with BI tools and SQL.</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Industry</w:t>
            </w:r>
          </w:p>
        </w:tc>
        <w:tc>
          <w:tcPr>
            <w:tcW w:type="pct" w:w="7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Industry association / regulatory compliance</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Team</w:t>
            </w:r>
          </w:p>
        </w:tc>
        <w:tc>
          <w:tcPr>
            <w:tcW w:type="pct" w:w="7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Chamber staff of 18; Efua's team of 3 covers compliance, onboarding, dispute resolution</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Education</w:t>
            </w:r>
          </w:p>
        </w:tc>
        <w:tc>
          <w:tcPr>
            <w:tcW w:type="pct" w:w="7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MSc Forensic Accounting; CA (Ghana); AML certification (ICA)</w:t>
            </w:r>
          </w:p>
        </w:tc>
      </w:tr>
    </w:tbl>
    <w:p>
      <w:pPr>
        <w:pStyle w:val="Heading3"/>
        <w:spacing w:after="120" w:before="240" w:line="312"/>
      </w:pPr>
      <w:bookmarkStart w:id="100032" w:name="_Toc100032"/>
      <w:r>
        <w:rPr>
          <w:rFonts w:ascii="Calibri" w:eastAsia="Calibri"/>
          <w:b/>
          <w:bCs/>
          <w:color w:val="1A2B4A"/>
          <w:sz w:val="24"/>
          <w:szCs w:val="24"/>
        </w:rPr>
        <w:t xml:space="preserve">Goals</w:t>
      </w:r>
      <w:bookmarkEnd w:id="100032"/>
    </w:p>
    <w:p>
      <w:pPr>
        <w:pStyle w:val="ListParagraph"/>
        <w:numPr>
          <w:ilvl w:val="0"/>
          <w:numId w:val="1"/>
        </w:numPr>
        <w:spacing w:after="80" w:line="312"/>
      </w:pPr>
      <w:r>
        <w:rPr>
          <w:rFonts w:ascii="Calibri" w:eastAsia="Calibri"/>
          <w:color w:val="1F2937"/>
          <w:sz w:val="22"/>
          <w:szCs w:val="22"/>
        </w:rPr>
        <w:t xml:space="preserve">Provide the Chamber's Executive Council with monthly compliance health metrics with drill-down to specific trades.</w:t>
      </w:r>
    </w:p>
    <w:p>
      <w:pPr>
        <w:pStyle w:val="ListParagraph"/>
        <w:numPr>
          <w:ilvl w:val="0"/>
          <w:numId w:val="1"/>
        </w:numPr>
        <w:spacing w:after="80" w:line="312"/>
      </w:pPr>
      <w:r>
        <w:rPr>
          <w:rFonts w:ascii="Calibri" w:eastAsia="Calibri"/>
          <w:color w:val="1F2937"/>
          <w:sz w:val="22"/>
          <w:szCs w:val="22"/>
        </w:rPr>
        <w:t xml:space="preserve">Reduce average time to onboard a new member from 4–6 weeks to under 5 business days.</w:t>
      </w:r>
    </w:p>
    <w:p>
      <w:pPr>
        <w:pStyle w:val="ListParagraph"/>
        <w:numPr>
          <w:ilvl w:val="0"/>
          <w:numId w:val="1"/>
        </w:numPr>
        <w:spacing w:after="80" w:line="312"/>
      </w:pPr>
      <w:r>
        <w:rPr>
          <w:rFonts w:ascii="Calibri" w:eastAsia="Calibri"/>
          <w:color w:val="1F2937"/>
          <w:sz w:val="22"/>
          <w:szCs w:val="22"/>
        </w:rPr>
        <w:t xml:space="preserve">Detect and investigate suspicious trading patterns within 24 hours of occurrence.</w:t>
      </w:r>
    </w:p>
    <w:p>
      <w:pPr>
        <w:pStyle w:val="ListParagraph"/>
        <w:numPr>
          <w:ilvl w:val="0"/>
          <w:numId w:val="1"/>
        </w:numPr>
        <w:spacing w:after="80" w:line="312"/>
      </w:pPr>
      <w:r>
        <w:rPr>
          <w:rFonts w:ascii="Calibri" w:eastAsia="Calibri"/>
          <w:color w:val="1F2937"/>
          <w:sz w:val="22"/>
          <w:szCs w:val="22"/>
        </w:rPr>
        <w:t xml:space="preserve">Maintain an audit trail defensible against Bank of Ghana, Minerals Commission, and FATF review.</w:t>
      </w:r>
    </w:p>
    <w:p>
      <w:pPr>
        <w:pStyle w:val="ListParagraph"/>
        <w:numPr>
          <w:ilvl w:val="0"/>
          <w:numId w:val="1"/>
        </w:numPr>
        <w:spacing w:after="80" w:line="312"/>
      </w:pPr>
      <w:r>
        <w:rPr>
          <w:rFonts w:ascii="Calibri" w:eastAsia="Calibri"/>
          <w:color w:val="1F2937"/>
          <w:sz w:val="22"/>
          <w:szCs w:val="22"/>
        </w:rPr>
        <w:t xml:space="preserve">Standardize and automate quarterly compliance reporting to regulators.</w:t>
      </w:r>
    </w:p>
    <w:p>
      <w:pPr>
        <w:pBdr>
          <w:left w:val="single" w:color="B8860B" w:sz="18" w:space="12"/>
        </w:pBdr>
        <w:shd w:fill="FCEFC7" w:val="clear"/>
        <w:spacing w:after="160" w:before="160" w:line="312"/>
        <w:ind w:left="240"/>
      </w:pPr>
      <w:r>
        <w:rPr>
          <w:rFonts w:ascii="Calibri" w:eastAsia="Calibri"/>
          <w:i/>
          <w:iCs/>
          <w:color w:val="1A2B4A"/>
          <w:sz w:val="22"/>
          <w:szCs w:val="22"/>
        </w:rPr>
        <w:t xml:space="preserve">I am not asking for magic. I am asking for one source of truth, with timestamps, that I can hand to a Bank of Ghana examiner at 9 AM on a Monday.</w:t>
      </w:r>
    </w:p>
    <w:p>
      <w:pPr>
        <w:pStyle w:val="Heading3"/>
        <w:spacing w:after="120" w:before="240" w:line="312"/>
      </w:pPr>
      <w:bookmarkStart w:id="100033" w:name="_Toc100033"/>
      <w:r>
        <w:rPr>
          <w:rFonts w:ascii="Calibri" w:eastAsia="Calibri"/>
          <w:b/>
          <w:bCs/>
          <w:color w:val="1A2B4A"/>
          <w:sz w:val="24"/>
          <w:szCs w:val="24"/>
        </w:rPr>
        <w:t xml:space="preserve">Product Implications</w:t>
      </w:r>
      <w:bookmarkEnd w:id="100033"/>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5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Implication</w:t>
            </w:r>
          </w:p>
        </w:tc>
        <w:tc>
          <w:tcPr>
            <w:tcW w:type="pct" w:w="1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Priority</w:t>
            </w:r>
          </w:p>
        </w:tc>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Phase</w:t>
            </w:r>
          </w:p>
        </w:tc>
      </w:tr>
      <w:tr>
        <w:trPr>
          <w:cantSplit/>
        </w:trPr>
        <w:tc>
          <w:tcPr>
            <w:tcW w:type="pct" w:w="5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Real-time compliance dashboard with drill-down to trade level</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P1→P4</w:t>
            </w:r>
          </w:p>
        </w:tc>
      </w:tr>
      <w:tr>
        <w:trPr>
          <w:cantSplit/>
        </w:trPr>
        <w:tc>
          <w:tcPr>
            <w:tcW w:type="pct" w:w="5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Workflow engine for member onboarding with parallel cross-checks</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1</w:t>
            </w:r>
          </w:p>
        </w:tc>
      </w:tr>
      <w:tr>
        <w:trPr>
          <w:cantSplit/>
        </w:trPr>
        <w:tc>
          <w:tcPr>
            <w:tcW w:type="pct" w:w="5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Sanction list screening integrated with daily refresh</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Critical</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1</w:t>
            </w:r>
          </w:p>
        </w:tc>
      </w:tr>
      <w:tr>
        <w:trPr>
          <w:cantSplit/>
        </w:trPr>
        <w:tc>
          <w:tcPr>
            <w:tcW w:type="pct" w:w="5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Anomaly detection with explainable alerts (rule-based + ML)</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P2/P4</w:t>
            </w:r>
          </w:p>
        </w:tc>
      </w:tr>
      <w:tr>
        <w:trPr>
          <w:cantSplit/>
        </w:trPr>
        <w:tc>
          <w:tcPr>
            <w:tcW w:type="pct" w:w="5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Immutable audit log with hash-anchored records</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Critical</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1</w:t>
            </w:r>
          </w:p>
        </w:tc>
      </w:tr>
      <w:tr>
        <w:trPr>
          <w:cantSplit/>
        </w:trPr>
        <w:tc>
          <w:tcPr>
            <w:tcW w:type="pct" w:w="5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Dispute resolution module with shared trade fact view</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Medium</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3</w:t>
            </w:r>
          </w:p>
        </w:tc>
      </w:tr>
      <w:tr>
        <w:trPr>
          <w:cantSplit/>
        </w:trPr>
        <w:tc>
          <w:tcPr>
            <w:tcW w:type="pct" w:w="5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Automated quarterly regulatory report generation</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Phase 4</w:t>
            </w:r>
          </w:p>
        </w:tc>
      </w:tr>
    </w:tbl>
    <w:p>
      <w:pPr>
        <w:pStyle w:val="Heading1"/>
        <w:spacing w:after="240" w:before="480" w:line="312"/>
      </w:pPr>
      <w:bookmarkStart w:id="100034" w:name="_Toc100034"/>
      <w:r>
        <w:rPr>
          <w:rFonts w:ascii="Calibri" w:eastAsia="Calibri"/>
          <w:b/>
          <w:bCs/>
          <w:color w:val="1A2B4A"/>
          <w:sz w:val="36"/>
          <w:szCs w:val="36"/>
        </w:rPr>
        <w:t xml:space="preserve">Document 3 — User Success Journeys</w:t>
      </w:r>
      <w:bookmarkEnd w:id="100034"/>
    </w:p>
    <w:p>
      <w:pPr>
        <w:spacing w:after="120" w:line="312"/>
        <w:ind w:firstLine="0"/>
        <w:jc w:val="both"/>
      </w:pPr>
      <w:r>
        <w:rPr>
          <w:rFonts w:ascii="Calibri" w:eastAsia="Calibri"/>
          <w:color w:val="1F2937"/>
          <w:sz w:val="22"/>
          <w:szCs w:val="22"/>
        </w:rPr>
        <w:t xml:space="preserve">A user success journey describes the end-to-end experience a persona has while pursuing their single most critical goal on the platform. Each journey is broken into stages, and for each stage we describe the user's actions, the touchpoints they encounter, their emotions and pain points along the way, and the opportunities the product has to remove friction or add value. The four journeys below correspond to the four primary personas introduced in Document 2.</w:t>
      </w:r>
    </w:p>
    <w:p>
      <w:pPr>
        <w:pStyle w:val="Heading2"/>
        <w:spacing w:after="160" w:before="360" w:line="312"/>
      </w:pPr>
      <w:bookmarkStart w:id="100035" w:name="_Toc100035"/>
      <w:r>
        <w:rPr>
          <w:rFonts w:ascii="Calibri" w:eastAsia="Calibri"/>
          <w:b/>
          <w:bCs/>
          <w:color w:val="1A2B4A"/>
          <w:sz w:val="28"/>
          <w:szCs w:val="28"/>
        </w:rPr>
        <w:t xml:space="preserve">3.1 Journey 1 — Kwame: Vet and Onboard a New Tier 2 Counterparty</w:t>
      </w:r>
      <w:bookmarkEnd w:id="100035"/>
    </w:p>
    <w:p>
      <w:pPr>
        <w:spacing w:after="120" w:line="312"/>
        <w:ind w:firstLine="0"/>
        <w:jc w:val="both"/>
      </w:pPr>
      <w:r>
        <w:rPr>
          <w:rFonts w:ascii="Calibri" w:eastAsia="Calibri"/>
          <w:color w:val="1F2937"/>
          <w:sz w:val="22"/>
          <w:szCs w:val="22"/>
        </w:rPr>
        <w:t xml:space="preserve">Kwame Asare, Head of West African Sourcing at Helvetia Refining AG, needs to identify, vet, and onboard a new Ghanaian Tier 2 seller — from initial discovery to first completed trade with full audit defensibility — in under 21 days. This journey moves through Discover → Validate → First Trade → Settle &amp; Deliver → Habitual Use.</w:t>
      </w:r>
    </w:p>
    <w:p>
      <w:pPr>
        <w:pStyle w:val="Heading3"/>
        <w:spacing w:after="120" w:before="240" w:line="312"/>
      </w:pPr>
      <w:bookmarkStart w:id="100036" w:name="_Toc100036"/>
      <w:r>
        <w:rPr>
          <w:rFonts w:ascii="Calibri" w:eastAsia="Calibri"/>
          <w:b/>
          <w:bCs/>
          <w:color w:val="1A2B4A"/>
          <w:sz w:val="24"/>
          <w:szCs w:val="24"/>
        </w:rPr>
        <w:t xml:space="preserve">Stage 1 — Discover (Days 1–3)</w:t>
      </w:r>
      <w:bookmarkEnd w:id="100036"/>
    </w:p>
    <w:p>
      <w:pPr>
        <w:spacing w:after="120" w:line="312"/>
        <w:ind w:firstLine="0"/>
        <w:jc w:val="both"/>
      </w:pPr>
      <w:r>
        <w:rPr>
          <w:rFonts w:ascii="Calibri" w:eastAsia="Calibri"/>
          <w:color w:val="1F2937"/>
          <w:sz w:val="22"/>
          <w:szCs w:val="22"/>
        </w:rPr>
        <w:t xml:space="preserve">Kwame receives an in-platform alert that a new Tier 2 seller (GoldLink Exports, owned by Abena Owusu) has been verified and listed. He opens the counterparty directory, filters by region, license type, and trade volume history, and shortlists three candidates including GoldLink. The platform's AML/risk screen has rated GoldLink as Low risk, providing immediate relief.</w:t>
      </w:r>
    </w:p>
    <w:p>
      <w:pPr>
        <w:spacing w:after="120" w:line="312"/>
        <w:ind w:firstLine="0"/>
        <w:jc w:val="both"/>
      </w:pPr>
      <w:r>
        <w:rPr>
          <w:rFonts w:ascii="Calibri" w:eastAsia="Calibri"/>
          <w:color w:val="1F2937"/>
          <w:sz w:val="22"/>
          <w:szCs w:val="22"/>
        </w:rPr>
        <w:t xml:space="preserve">Pain point: the directory shows license status but not historical trade volume benchmark or average settlement speed. Kwame has to click through to a separate screen to compare against peers.</w:t>
      </w:r>
    </w:p>
    <w:p>
      <w:pPr>
        <w:spacing w:after="120" w:line="312"/>
        <w:ind w:firstLine="0"/>
        <w:jc w:val="both"/>
      </w:pPr>
      <w:r>
        <w:rPr>
          <w:rFonts w:ascii="Calibri" w:eastAsia="Calibri"/>
          <w:color w:val="1F2937"/>
          <w:sz w:val="22"/>
          <w:szCs w:val="22"/>
        </w:rPr>
        <w:t xml:space="preserve">Opportunity: surface a peer-benchmark widget directly in the directory card showing median trade volume, median settlement time, and dispute rate for similar-sized exporters. Show OECD Annex II red-flag indicators as colored badges rather than a single aggregate score.</w:t>
      </w:r>
    </w:p>
    <w:p>
      <w:pPr>
        <w:pStyle w:val="Heading3"/>
        <w:spacing w:after="120" w:before="240" w:line="312"/>
      </w:pPr>
      <w:bookmarkStart w:id="100037" w:name="_Toc100037"/>
      <w:r>
        <w:rPr>
          <w:rFonts w:ascii="Calibri" w:eastAsia="Calibri"/>
          <w:b/>
          <w:bCs/>
          <w:color w:val="1A2B4A"/>
          <w:sz w:val="24"/>
          <w:szCs w:val="24"/>
        </w:rPr>
        <w:t xml:space="preserve">Stage 2 — Validate (Days 4–10)</w:t>
      </w:r>
      <w:bookmarkEnd w:id="100037"/>
    </w:p>
    <w:p>
      <w:pPr>
        <w:spacing w:after="120" w:line="312"/>
        <w:ind w:firstLine="0"/>
        <w:jc w:val="both"/>
      </w:pPr>
      <w:r>
        <w:rPr>
          <w:rFonts w:ascii="Calibri" w:eastAsia="Calibri"/>
          <w:color w:val="1F2937"/>
          <w:sz w:val="22"/>
          <w:szCs w:val="22"/>
        </w:rPr>
        <w:t xml:space="preserve">Kwame requests an Enhanced Due Diligence (EDD) pack for GoldLink. The platform pulls the pack from Abena's onboarding upload plus the Chamber registry. Kwame reviews the license scan, tax certificate, beneficial ownership declaration, and three-year trade history. He validates GoldLink against OECD Annex II indicators — origin, supplier source, payment patterns — and approves GoldLink as a Tier 1-listed counterparty.</w:t>
      </w:r>
    </w:p>
    <w:p>
      <w:pPr>
        <w:spacing w:after="120" w:line="312"/>
        <w:ind w:firstLine="0"/>
        <w:jc w:val="both"/>
      </w:pPr>
      <w:r>
        <w:rPr>
          <w:rFonts w:ascii="Calibri" w:eastAsia="Calibri"/>
          <w:color w:val="1F2937"/>
          <w:sz w:val="22"/>
          <w:szCs w:val="22"/>
        </w:rPr>
        <w:t xml:space="preserve">Pain point: EDD packs are inconsistent across sellers — some include beneficial ownership, others omit it. OECD risk scoring is a single aggregate number rather than a structured rubric.</w:t>
      </w:r>
    </w:p>
    <w:p>
      <w:pPr>
        <w:spacing w:after="120" w:line="312"/>
        <w:ind w:firstLine="0"/>
        <w:jc w:val="both"/>
      </w:pPr>
      <w:r>
        <w:rPr>
          <w:rFonts w:ascii="Calibri" w:eastAsia="Calibri"/>
          <w:color w:val="1F2937"/>
          <w:sz w:val="22"/>
          <w:szCs w:val="22"/>
        </w:rPr>
        <w:t xml:space="preserve">Opportunity: enforce a standardized EDD template at onboarding with required fields and validation. Structure OECD risk as a rubric with each dimension scored separately.</w:t>
      </w:r>
    </w:p>
    <w:p>
      <w:pPr>
        <w:pStyle w:val="Heading3"/>
        <w:spacing w:after="120" w:before="240" w:line="312"/>
      </w:pPr>
      <w:bookmarkStart w:id="100038" w:name="_Toc100038"/>
      <w:r>
        <w:rPr>
          <w:rFonts w:ascii="Calibri" w:eastAsia="Calibri"/>
          <w:b/>
          <w:bCs/>
          <w:color w:val="1A2B4A"/>
          <w:sz w:val="24"/>
          <w:szCs w:val="24"/>
        </w:rPr>
        <w:t xml:space="preserve">Stage 3 — First Trade (Days 11–14)</w:t>
      </w:r>
      <w:bookmarkEnd w:id="100038"/>
    </w:p>
    <w:p>
      <w:pPr>
        <w:spacing w:after="120" w:line="312"/>
        <w:ind w:firstLine="0"/>
        <w:jc w:val="both"/>
      </w:pPr>
      <w:r>
        <w:rPr>
          <w:rFonts w:ascii="Calibri" w:eastAsia="Calibri"/>
          <w:color w:val="1F2937"/>
          <w:sz w:val="22"/>
          <w:szCs w:val="22"/>
        </w:rPr>
        <w:t xml:space="preserve">GoldLink lists a 5 kg, 99.5% purity lot. Kwame receives a Tier 1 priority alert (his Tier 1 status grants 4-hour exclusivity). He submits a counter-offer at US$2 below the LBMA fix. Abena responds within 90 minutes. They settle on a price after two rounds. Escrow is funded automatically by Kwame's bank integration.</w:t>
      </w:r>
    </w:p>
    <w:p>
      <w:pPr>
        <w:spacing w:after="120" w:line="312"/>
        <w:ind w:firstLine="0"/>
        <w:jc w:val="both"/>
      </w:pPr>
      <w:r>
        <w:rPr>
          <w:rFonts w:ascii="Calibri" w:eastAsia="Calibri"/>
          <w:color w:val="1F2937"/>
          <w:sz w:val="22"/>
          <w:szCs w:val="22"/>
        </w:rPr>
        <w:t xml:space="preserve">Pain point: the negotiation UI requires a full page reload after each counter-offer, which feels slow for high-stakes back-and-forth. The Tier 1 exclusivity window is not visible in the negotiation header.</w:t>
      </w:r>
    </w:p>
    <w:p>
      <w:pPr>
        <w:spacing w:after="120" w:line="312"/>
        <w:ind w:firstLine="0"/>
        <w:jc w:val="both"/>
      </w:pPr>
      <w:r>
        <w:rPr>
          <w:rFonts w:ascii="Calibri" w:eastAsia="Calibri"/>
          <w:color w:val="1F2937"/>
          <w:sz w:val="22"/>
          <w:szCs w:val="22"/>
        </w:rPr>
        <w:t xml:space="preserve">Opportunity: real-time negotiation UI via WebSocket; prominent countdown for Tier 1 exclusivity window; AI-suggested counter-offer price ranges based on LBMA fix, lot purity, and recent comparable trades.</w:t>
      </w:r>
    </w:p>
    <w:p>
      <w:pPr>
        <w:pStyle w:val="Heading3"/>
        <w:spacing w:after="120" w:before="240" w:line="312"/>
      </w:pPr>
      <w:bookmarkStart w:id="100039" w:name="_Toc100039"/>
      <w:r>
        <w:rPr>
          <w:rFonts w:ascii="Calibri" w:eastAsia="Calibri"/>
          <w:b/>
          <w:bCs/>
          <w:color w:val="1A2B4A"/>
          <w:sz w:val="24"/>
          <w:szCs w:val="24"/>
        </w:rPr>
        <w:t xml:space="preserve">Stage 4 — Settle &amp; Deliver (Days 15–18)</w:t>
      </w:r>
      <w:bookmarkEnd w:id="100039"/>
    </w:p>
    <w:p>
      <w:pPr>
        <w:spacing w:after="120" w:line="312"/>
        <w:ind w:firstLine="0"/>
        <w:jc w:val="both"/>
      </w:pPr>
      <w:r>
        <w:rPr>
          <w:rFonts w:ascii="Calibri" w:eastAsia="Calibri"/>
          <w:color w:val="1F2937"/>
          <w:sz w:val="22"/>
          <w:szCs w:val="22"/>
        </w:rPr>
        <w:t xml:space="preserve">Gold is delivered to the partner vault. Vault confirms receipt in the platform. SGS assay lab issues a digital certificate, auto-attached to the trade record. Title transfers on-platform; escrow releases funds to Abena. Export documentation bundle (PMMC, GRA Customs, BoG FX approval) auto-generates as a PDF + structured JSON package. Kwame's per-deal admin time drops from 6–8 hours to under 45 minutes — directly enabling the Charter Objective of MTTTS ≤ 48 hours.</w:t>
      </w:r>
    </w:p>
    <w:p>
      <w:pPr>
        <w:pStyle w:val="Heading3"/>
        <w:spacing w:after="120" w:before="240" w:line="312"/>
      </w:pPr>
      <w:bookmarkStart w:id="100040" w:name="_Toc100040"/>
      <w:r>
        <w:rPr>
          <w:rFonts w:ascii="Calibri" w:eastAsia="Calibri"/>
          <w:b/>
          <w:bCs/>
          <w:color w:val="1A2B4A"/>
          <w:sz w:val="24"/>
          <w:szCs w:val="24"/>
        </w:rPr>
        <w:t xml:space="preserve">Stage 5 — Habitual Use (Days 19–21+)</w:t>
      </w:r>
      <w:bookmarkEnd w:id="100040"/>
    </w:p>
    <w:p>
      <w:pPr>
        <w:spacing w:after="120" w:line="312"/>
        <w:ind w:firstLine="0"/>
        <w:jc w:val="both"/>
      </w:pPr>
      <w:r>
        <w:rPr>
          <w:rFonts w:ascii="Calibri" w:eastAsia="Calibri"/>
          <w:color w:val="1F2937"/>
          <w:sz w:val="22"/>
          <w:szCs w:val="22"/>
        </w:rPr>
        <w:t xml:space="preserve">Kwame adds GoldLink to his preferred counterparty panel. He sets up an auto-alert for any 5+ kg, 99.5%+ purity lot from GoldLink. Over the next 8 weeks, he completes 6 more trades with GoldLink. His per-deal admin time stabilizes below 1 hour. The platform's value to Kwame is the collapse of counterparty-vetting time from weeks to days and the elimination of paperwork on every trade.</w:t>
      </w:r>
    </w:p>
    <w:p>
      <w:pPr>
        <w:pBdr>
          <w:left w:val="single" w:color="B8860B" w:sz="18" w:space="12"/>
        </w:pBdr>
        <w:shd w:fill="FCEFC7" w:val="clear"/>
        <w:spacing w:after="160" w:before="160" w:line="312"/>
        <w:ind w:left="240"/>
      </w:pPr>
      <w:r>
        <w:rPr>
          <w:rFonts w:ascii="Calibri" w:eastAsia="Calibri"/>
          <w:i/>
          <w:iCs/>
          <w:color w:val="1A2B4A"/>
          <w:sz w:val="22"/>
          <w:szCs w:val="22"/>
        </w:rPr>
        <w:t xml:space="preserve">Journey 1 Summary: Kwame's journey moves from proactive discovery through structured validation, into the first trade, and finally into habitual partnership. His per-deal admin time falls from 6–8 hours to under 1 hour, directly enabling Charter Objective #3 (MTTTS ≤ 48 hours). His continued Tier 1 participation is the precondition for the platform's liquidity.</w:t>
      </w:r>
    </w:p>
    <w:p>
      <w:pPr>
        <w:pStyle w:val="Heading2"/>
        <w:spacing w:after="160" w:before="360" w:line="312"/>
      </w:pPr>
      <w:bookmarkStart w:id="100041" w:name="_Toc100041"/>
      <w:r>
        <w:rPr>
          <w:rFonts w:ascii="Calibri" w:eastAsia="Calibri"/>
          <w:b/>
          <w:bCs/>
          <w:color w:val="1A2B4A"/>
          <w:sz w:val="28"/>
          <w:szCs w:val="28"/>
        </w:rPr>
        <w:t xml:space="preserve">3.2 Journey 2 — Abena: Source, Sell, and Export Within 5 Days</w:t>
      </w:r>
      <w:bookmarkEnd w:id="100041"/>
    </w:p>
    <w:p>
      <w:pPr>
        <w:spacing w:after="120" w:line="312"/>
        <w:ind w:firstLine="0"/>
        <w:jc w:val="both"/>
      </w:pPr>
      <w:r>
        <w:rPr>
          <w:rFonts w:ascii="Calibri" w:eastAsia="Calibri"/>
          <w:color w:val="1F2937"/>
          <w:sz w:val="22"/>
          <w:szCs w:val="22"/>
        </w:rPr>
        <w:t xml:space="preserve">Abena Owusu needs to source gold from a new aggregator, complete the trade through escrow, and obtain a full export permit set within 5 business days, where the same workflow today takes 10–14 days. This is the platform's commercial core.</w:t>
      </w:r>
    </w:p>
    <w:p>
      <w:pPr>
        <w:pStyle w:val="Heading3"/>
        <w:spacing w:after="120" w:before="240" w:line="312"/>
      </w:pPr>
      <w:bookmarkStart w:id="100042" w:name="_Toc100042"/>
      <w:r>
        <w:rPr>
          <w:rFonts w:ascii="Calibri" w:eastAsia="Calibri"/>
          <w:b/>
          <w:bCs/>
          <w:color w:val="1A2B4A"/>
          <w:sz w:val="24"/>
          <w:szCs w:val="24"/>
        </w:rPr>
        <w:t xml:space="preserve">Stage 1 — Discover Supply (Day 1)</w:t>
      </w:r>
      <w:bookmarkEnd w:id="100042"/>
    </w:p>
    <w:p>
      <w:pPr>
        <w:spacing w:after="120" w:line="312"/>
        <w:ind w:firstLine="0"/>
        <w:jc w:val="both"/>
      </w:pPr>
      <w:r>
        <w:rPr>
          <w:rFonts w:ascii="Calibri" w:eastAsia="Calibri"/>
          <w:color w:val="1F2937"/>
          <w:sz w:val="22"/>
          <w:szCs w:val="22"/>
        </w:rPr>
        <w:t xml:space="preserve">Abena logs into the AurumX mobile PWA during her morning commute. She reviews 4 incoming RFQs from aggregators, including one from the Banda Cooperative. The platform presents a side-by-side comparison of the 4 lots — weight, purity, asking price vs. LBMA fix, and seller trust score. She selects the Banda Cooperative's 3 kg lot at 99.2% purity.</w:t>
      </w:r>
    </w:p>
    <w:p>
      <w:pPr>
        <w:spacing w:after="120" w:line="312"/>
        <w:ind w:firstLine="0"/>
        <w:jc w:val="both"/>
      </w:pPr>
      <w:r>
        <w:rPr>
          <w:rFonts w:ascii="Calibri" w:eastAsia="Calibri"/>
          <w:color w:val="1F2937"/>
          <w:sz w:val="22"/>
          <w:szCs w:val="22"/>
        </w:rPr>
        <w:t xml:space="preserve">Pain point: the mobile UI is slightly cramped on the comparison view; she has to scroll horizontally. The seller trust score is a single number without explanation.</w:t>
      </w:r>
    </w:p>
    <w:p>
      <w:pPr>
        <w:spacing w:after="120" w:line="312"/>
        <w:ind w:firstLine="0"/>
        <w:jc w:val="both"/>
      </w:pPr>
      <w:r>
        <w:rPr>
          <w:rFonts w:ascii="Calibri" w:eastAsia="Calibri"/>
          <w:color w:val="1F2937"/>
          <w:sz w:val="22"/>
          <w:szCs w:val="22"/>
        </w:rPr>
        <w:t xml:space="preserve">Opportunity: responsive comparison view optimized for phone (stacked cards, not horizontal scroll). Explainable trust score — tap to see underlying factors.</w:t>
      </w:r>
    </w:p>
    <w:p>
      <w:pPr>
        <w:pStyle w:val="Heading3"/>
        <w:spacing w:after="120" w:before="240" w:line="312"/>
      </w:pPr>
      <w:bookmarkStart w:id="100043" w:name="_Toc100043"/>
      <w:r>
        <w:rPr>
          <w:rFonts w:ascii="Calibri" w:eastAsia="Calibri"/>
          <w:b/>
          <w:bCs/>
          <w:color w:val="1A2B4A"/>
          <w:sz w:val="24"/>
          <w:szCs w:val="24"/>
        </w:rPr>
        <w:t xml:space="preserve">Stage 2 — Negotiate &amp; Trade (Day 2)</w:t>
      </w:r>
      <w:bookmarkEnd w:id="100043"/>
    </w:p>
    <w:p>
      <w:pPr>
        <w:spacing w:after="120" w:line="312"/>
        <w:ind w:firstLine="0"/>
        <w:jc w:val="both"/>
      </w:pPr>
      <w:r>
        <w:rPr>
          <w:rFonts w:ascii="Calibri" w:eastAsia="Calibri"/>
          <w:color w:val="1F2937"/>
          <w:sz w:val="22"/>
          <w:szCs w:val="22"/>
        </w:rPr>
        <w:t xml:space="preserve">Abena submits a counter-offer via the mobile app. Ibrahim responds within 2 hours via WhatsApp (the platform mirrors the conversation in-app). They settle on a price after one round. Escrow is funded automatically by Abena's bank (Stanbic) through the platform's bank escrow integration.</w:t>
      </w:r>
    </w:p>
    <w:p>
      <w:pPr>
        <w:spacing w:after="120" w:line="312"/>
        <w:ind w:firstLine="0"/>
        <w:jc w:val="both"/>
      </w:pPr>
      <w:r>
        <w:rPr>
          <w:rFonts w:ascii="Calibri" w:eastAsia="Calibri"/>
          <w:color w:val="1F2937"/>
          <w:sz w:val="22"/>
          <w:szCs w:val="22"/>
        </w:rPr>
        <w:t xml:space="preserve">Pain point: the WhatsApp mirror has a 30-second delay. Bank escrow integration requires pre-authorization; she does not remember having done so.</w:t>
      </w:r>
    </w:p>
    <w:p>
      <w:pPr>
        <w:spacing w:after="120" w:line="312"/>
        <w:ind w:firstLine="0"/>
        <w:jc w:val="both"/>
      </w:pPr>
      <w:r>
        <w:rPr>
          <w:rFonts w:ascii="Calibri" w:eastAsia="Calibri"/>
          <w:color w:val="1F2937"/>
          <w:sz w:val="22"/>
          <w:szCs w:val="22"/>
        </w:rPr>
        <w:t xml:space="preserve">Opportunity: reduce WhatsApp mirror latency to under 5 seconds; clear pre-authorization banner at trade start showing escrow will be funded by Stanbic account ending 4521.</w:t>
      </w:r>
    </w:p>
    <w:p>
      <w:pPr>
        <w:pStyle w:val="Heading3"/>
        <w:spacing w:after="120" w:before="240" w:line="312"/>
      </w:pPr>
      <w:bookmarkStart w:id="100044" w:name="_Toc100044"/>
      <w:r>
        <w:rPr>
          <w:rFonts w:ascii="Calibri" w:eastAsia="Calibri"/>
          <w:b/>
          <w:bCs/>
          <w:color w:val="1A2B4A"/>
          <w:sz w:val="24"/>
          <w:szCs w:val="24"/>
        </w:rPr>
        <w:t xml:space="preserve">Stage 3 — Receive &amp; Assay (Day 3)</w:t>
      </w:r>
      <w:bookmarkEnd w:id="100044"/>
    </w:p>
    <w:p>
      <w:pPr>
        <w:spacing w:after="120" w:line="312"/>
        <w:ind w:firstLine="0"/>
        <w:jc w:val="both"/>
      </w:pPr>
      <w:r>
        <w:rPr>
          <w:rFonts w:ascii="Calibri" w:eastAsia="Calibri"/>
          <w:color w:val="1F2937"/>
          <w:sz w:val="22"/>
          <w:szCs w:val="22"/>
        </w:rPr>
        <w:t xml:space="preserve">The cooperative delivers gold to Abena's partner vault (Brink's Accra). Vault receipt is confirmed via operator API. Abena requests assay through the platform; SGS assays within 12 hours and uploads a digital certificate. Title transfers from the cooperative to Abena on-platform. Escrow releases funds to the cooperative's bank account within 30 minutes.</w:t>
      </w:r>
    </w:p>
    <w:p>
      <w:pPr>
        <w:pStyle w:val="Heading3"/>
        <w:spacing w:after="120" w:before="240" w:line="312"/>
      </w:pPr>
      <w:bookmarkStart w:id="100045" w:name="_Toc100045"/>
      <w:r>
        <w:rPr>
          <w:rFonts w:ascii="Calibri" w:eastAsia="Calibri"/>
          <w:b/>
          <w:bCs/>
          <w:color w:val="1A2B4A"/>
          <w:sz w:val="24"/>
          <w:szCs w:val="24"/>
        </w:rPr>
        <w:t xml:space="preserve">Stage 4 — Export Documentation (Days 4–5)</w:t>
      </w:r>
      <w:bookmarkEnd w:id="100045"/>
    </w:p>
    <w:p>
      <w:pPr>
        <w:spacing w:after="120" w:line="312"/>
        <w:ind w:firstLine="0"/>
        <w:jc w:val="both"/>
      </w:pPr>
      <w:r>
        <w:rPr>
          <w:rFonts w:ascii="Calibri" w:eastAsia="Calibri"/>
          <w:color w:val="1F2937"/>
          <w:sz w:val="22"/>
          <w:szCs w:val="22"/>
        </w:rPr>
        <w:t xml:space="preserve">Abena initiates the export workflow on the platform. The platform auto-applies for a PMMC export permit, pre-populates a GRA customs declaration, and routes a Bank of Ghana FX approval request. All three permits are returned within 48 hours. The platform assembles a single export bundle for Abena's records and for the international buyer. Total cycle time: 5 days vs. 10–14 days pre-platform.</w:t>
      </w:r>
    </w:p>
    <w:p>
      <w:pPr>
        <w:pStyle w:val="Heading3"/>
        <w:spacing w:after="120" w:before="240" w:line="312"/>
      </w:pPr>
      <w:bookmarkStart w:id="100046" w:name="_Toc100046"/>
      <w:r>
        <w:rPr>
          <w:rFonts w:ascii="Calibri" w:eastAsia="Calibri"/>
          <w:b/>
          <w:bCs/>
          <w:color w:val="1A2B4A"/>
          <w:sz w:val="24"/>
          <w:szCs w:val="24"/>
        </w:rPr>
        <w:t xml:space="preserve">Stage 5 — Habitual Use (Weeks 2+)</w:t>
      </w:r>
      <w:bookmarkEnd w:id="100046"/>
    </w:p>
    <w:p>
      <w:pPr>
        <w:spacing w:after="120" w:line="312"/>
        <w:ind w:firstLine="0"/>
        <w:jc w:val="both"/>
      </w:pPr>
      <w:r>
        <w:rPr>
          <w:rFonts w:ascii="Calibri" w:eastAsia="Calibri"/>
          <w:color w:val="1F2937"/>
          <w:sz w:val="22"/>
          <w:szCs w:val="22"/>
        </w:rPr>
        <w:t xml:space="preserve">Abena exports her trade history ledger as a structured PDF + JSON package and submits it to Stanbic's trade finance desk. Stanbic approves a US$500K working capital line against her documented trade history. Within 8 weeks, she has completed 6 trades and increased her weekly export volume by 40%. Her access to bank working capital — unlocked by the auditable trade history — multiplies her trade volume, which in turn drives the platform's transaction-fee revenue.</w:t>
      </w:r>
    </w:p>
    <w:p>
      <w:pPr>
        <w:pBdr>
          <w:left w:val="single" w:color="B8860B" w:sz="18" w:space="12"/>
        </w:pBdr>
        <w:shd w:fill="FCEFC7" w:val="clear"/>
        <w:spacing w:after="160" w:before="160" w:line="312"/>
        <w:ind w:left="240"/>
      </w:pPr>
      <w:r>
        <w:rPr>
          <w:rFonts w:ascii="Calibri" w:eastAsia="Calibri"/>
          <w:i/>
          <w:iCs/>
          <w:color w:val="1A2B4A"/>
          <w:sz w:val="22"/>
          <w:szCs w:val="22"/>
        </w:rPr>
        <w:t xml:space="preserve">Journey 2 Summary: Abena's journey is the platform's commercial core. Her ability to move from gold-in-vault to export-permit-set in 5 days instead of 14 directly enables Charter Objective #2 (US$50M cumulative trade value processed). Her access to bank working capital — unlocked by the auditable trade history — multiplies her trade volume, which in turn drives the platform's transaction-fee revenue.</w:t>
      </w:r>
    </w:p>
    <w:p>
      <w:pPr>
        <w:pStyle w:val="Heading2"/>
        <w:spacing w:after="160" w:before="360" w:line="312"/>
      </w:pPr>
      <w:bookmarkStart w:id="100047" w:name="_Toc100047"/>
      <w:r>
        <w:rPr>
          <w:rFonts w:ascii="Calibri" w:eastAsia="Calibri"/>
          <w:b/>
          <w:bCs/>
          <w:color w:val="1A2B4A"/>
          <w:sz w:val="28"/>
          <w:szCs w:val="28"/>
        </w:rPr>
        <w:t xml:space="preserve">3.3 Journey 3 — Ibrahim: Sell Gold Safely Without Traveling to Accra</w:t>
      </w:r>
      <w:bookmarkEnd w:id="100047"/>
    </w:p>
    <w:p>
      <w:pPr>
        <w:spacing w:after="120" w:line="312"/>
        <w:ind w:firstLine="0"/>
        <w:jc w:val="both"/>
      </w:pPr>
      <w:r>
        <w:rPr>
          <w:rFonts w:ascii="Calibri" w:eastAsia="Calibri"/>
          <w:color w:val="1F2937"/>
          <w:sz w:val="22"/>
          <w:szCs w:val="22"/>
        </w:rPr>
        <w:t xml:space="preserve">Ibrahim Toure needs to list the cooperative's 3 kg of weekly gold, receive three competing offers, sell to the highest bidder, and receive payment in escrow before the gold leaves his possession — all without traveling to Accra.</w:t>
      </w:r>
    </w:p>
    <w:p>
      <w:pPr>
        <w:pStyle w:val="Heading3"/>
        <w:spacing w:after="120" w:before="240" w:line="312"/>
      </w:pPr>
      <w:bookmarkStart w:id="100048" w:name="_Toc100048"/>
      <w:r>
        <w:rPr>
          <w:rFonts w:ascii="Calibri" w:eastAsia="Calibri"/>
          <w:b/>
          <w:bCs/>
          <w:color w:val="1A2B4A"/>
          <w:sz w:val="24"/>
          <w:szCs w:val="24"/>
        </w:rPr>
        <w:t xml:space="preserve">Onboard (Days 1–5)</w:t>
      </w:r>
      <w:bookmarkEnd w:id="100048"/>
    </w:p>
    <w:p>
      <w:pPr>
        <w:spacing w:after="120" w:line="312"/>
        <w:ind w:firstLine="0"/>
        <w:jc w:val="both"/>
      </w:pPr>
      <w:r>
        <w:rPr>
          <w:rFonts w:ascii="Calibri" w:eastAsia="Calibri"/>
          <w:color w:val="1F2937"/>
          <w:sz w:val="22"/>
          <w:szCs w:val="22"/>
        </w:rPr>
        <w:t xml:space="preserve">Ibrahim receives a WhatsApp invite from the Chamber, taps the link, opens the PWA, creates an organization account, and uploads the cooperative's mining license and member roster. The Chamber compliance team verifies the documents within 5 business days — vs. 6 weeks under the current paper-based process. Multilingual onboarding in English + Twi + Hausa is essential for his Treasurer (Hausa-speaking).</w:t>
      </w:r>
    </w:p>
    <w:p>
      <w:pPr>
        <w:pStyle w:val="Heading3"/>
        <w:spacing w:after="120" w:before="240" w:line="312"/>
      </w:pPr>
      <w:bookmarkStart w:id="100049" w:name="_Toc100049"/>
      <w:r>
        <w:rPr>
          <w:rFonts w:ascii="Calibri" w:eastAsia="Calibri"/>
          <w:b/>
          <w:bCs/>
          <w:color w:val="1A2B4A"/>
          <w:sz w:val="24"/>
          <w:szCs w:val="24"/>
        </w:rPr>
        <w:t xml:space="preserve">List &amp; Receive Offers (Days 6–8)</w:t>
      </w:r>
      <w:bookmarkEnd w:id="100049"/>
    </w:p>
    <w:p>
      <w:pPr>
        <w:spacing w:after="120" w:line="312"/>
        <w:ind w:firstLine="0"/>
        <w:jc w:val="both"/>
      </w:pPr>
      <w:r>
        <w:rPr>
          <w:rFonts w:ascii="Calibri" w:eastAsia="Calibri"/>
          <w:color w:val="1F2937"/>
          <w:sz w:val="22"/>
          <w:szCs w:val="22"/>
        </w:rPr>
        <w:t xml:space="preserve">Ibrahim taps "List a lot" on his phone, captures two photos, enters weight (3.0 kg) and purity (99.2%), and submits. The platform generates a lot ID and confirms via SMS. Within 2 hours the first offer arrives; by Day 2, three competing offers are visible side-by-side, with prices shown in USD primary and GHS secondary. The cooperative's executive committee reviews via WhatsApp and accepts the highest offer (from Abena at GoldLink).</w:t>
      </w:r>
    </w:p>
    <w:p>
      <w:pPr>
        <w:pStyle w:val="Heading3"/>
        <w:spacing w:after="120" w:before="240" w:line="312"/>
      </w:pPr>
      <w:bookmarkStart w:id="100050" w:name="_Toc100050"/>
      <w:r>
        <w:rPr>
          <w:rFonts w:ascii="Calibri" w:eastAsia="Calibri"/>
          <w:b/>
          <w:bCs/>
          <w:color w:val="1A2B4A"/>
          <w:sz w:val="24"/>
          <w:szCs w:val="24"/>
        </w:rPr>
        <w:t xml:space="preserve">Deliver &amp; Settle (Days 9–10)</w:t>
      </w:r>
      <w:bookmarkEnd w:id="100050"/>
    </w:p>
    <w:p>
      <w:pPr>
        <w:spacing w:after="120" w:line="312"/>
        <w:ind w:firstLine="0"/>
        <w:jc w:val="both"/>
      </w:pPr>
      <w:r>
        <w:rPr>
          <w:rFonts w:ascii="Calibri" w:eastAsia="Calibri"/>
          <w:color w:val="1F2937"/>
          <w:sz w:val="22"/>
          <w:szCs w:val="22"/>
        </w:rPr>
        <w:t xml:space="preserve">Escrow is funded by Abena's bank before the gold leaves Ibrahim's possession — he receives an SMS confirming escrow balance. He arranges armored transport through the platform's logistics VAS (Brink's Wa-to-Accra, US$950). The gold arrives at the Accra vault the next morning. Vault receipt is confirmed; payment is released to the cooperative's bank account within 30 minutes.</w:t>
      </w:r>
    </w:p>
    <w:p>
      <w:pPr>
        <w:pBdr>
          <w:left w:val="single" w:color="B8860B" w:sz="18" w:space="12"/>
        </w:pBdr>
        <w:shd w:fill="FCEFC7" w:val="clear"/>
        <w:spacing w:after="160" w:before="160" w:line="312"/>
        <w:ind w:left="240"/>
      </w:pPr>
      <w:r>
        <w:rPr>
          <w:rFonts w:ascii="Calibri" w:eastAsia="Calibri"/>
          <w:i/>
          <w:iCs/>
          <w:color w:val="1A2B4A"/>
          <w:sz w:val="22"/>
          <w:szCs w:val="22"/>
        </w:rPr>
        <w:t xml:space="preserve">Journey 3 Summary: Ibrahim's journey is the platform's social-impact story. His transition from middleman-dependent to platform-empowered seller directly addresses the Charter's broader objective of capturing informal trade into the formal channel (from ~30% to ≥ 55%).</w:t>
      </w:r>
    </w:p>
    <w:p>
      <w:pPr>
        <w:pStyle w:val="Heading2"/>
        <w:spacing w:after="160" w:before="360" w:line="312"/>
      </w:pPr>
      <w:bookmarkStart w:id="100051" w:name="_Toc100051"/>
      <w:r>
        <w:rPr>
          <w:rFonts w:ascii="Calibri" w:eastAsia="Calibri"/>
          <w:b/>
          <w:bCs/>
          <w:color w:val="1A2B4A"/>
          <w:sz w:val="28"/>
          <w:szCs w:val="28"/>
        </w:rPr>
        <w:t xml:space="preserve">3.4 Journey 4 — Efua: Detect and Investigate a Suspicious Trade Within 24 Hours</w:t>
      </w:r>
      <w:bookmarkEnd w:id="100051"/>
    </w:p>
    <w:p>
      <w:pPr>
        <w:spacing w:after="120" w:line="312"/>
        <w:ind w:firstLine="0"/>
        <w:jc w:val="both"/>
      </w:pPr>
      <w:r>
        <w:rPr>
          <w:rFonts w:ascii="Calibri" w:eastAsia="Calibri"/>
          <w:color w:val="1F2937"/>
          <w:sz w:val="22"/>
          <w:szCs w:val="22"/>
        </w:rPr>
        <w:t xml:space="preserve">Efua Boateng needs to detect a suspicious trade within 24 hours of occurrence, investigate it with full audit trail access, and either clear or escalate it within 48 hours.</w:t>
      </w:r>
    </w:p>
    <w:p>
      <w:pPr>
        <w:pStyle w:val="Heading3"/>
        <w:spacing w:after="120" w:before="240" w:line="312"/>
      </w:pPr>
      <w:bookmarkStart w:id="100052" w:name="_Toc100052"/>
      <w:r>
        <w:rPr>
          <w:rFonts w:ascii="Calibri" w:eastAsia="Calibri"/>
          <w:b/>
          <w:bCs/>
          <w:color w:val="1A2B4A"/>
          <w:sz w:val="24"/>
          <w:szCs w:val="24"/>
        </w:rPr>
        <w:t xml:space="preserve">Monitor (Hour 0–2)</w:t>
      </w:r>
      <w:bookmarkEnd w:id="100052"/>
    </w:p>
    <w:p>
      <w:pPr>
        <w:spacing w:after="120" w:line="312"/>
        <w:ind w:firstLine="0"/>
        <w:jc w:val="both"/>
      </w:pPr>
      <w:r>
        <w:rPr>
          <w:rFonts w:ascii="Calibri" w:eastAsia="Calibri"/>
          <w:color w:val="1F2937"/>
          <w:sz w:val="22"/>
          <w:szCs w:val="22"/>
        </w:rPr>
        <w:t xml:space="preserve">At 8 AM, Efua opens the compliance dashboard. The platform's anomaly-detection engine has flagged an overnight trade: a Tier 2 buyer (6 weeks old) has placed an unusually high bid (12% above next-highest offer) on a 4 kg lot, with payment from a newly-onboarded bank account. The alert explanation cites three signals: bid-price-outlier, counterparty-velocity-anomaly, payment-source-recently-onboarded.</w:t>
      </w:r>
    </w:p>
    <w:p>
      <w:pPr>
        <w:pStyle w:val="Heading3"/>
        <w:spacing w:after="120" w:before="240" w:line="312"/>
      </w:pPr>
      <w:bookmarkStart w:id="100053" w:name="_Toc100053"/>
      <w:r>
        <w:rPr>
          <w:rFonts w:ascii="Calibri" w:eastAsia="Calibri"/>
          <w:b/>
          <w:bCs/>
          <w:color w:val="1A2B4A"/>
          <w:sz w:val="24"/>
          <w:szCs w:val="24"/>
        </w:rPr>
        <w:t xml:space="preserve">Investigate (Hour 2–8)</w:t>
      </w:r>
      <w:bookmarkEnd w:id="100053"/>
    </w:p>
    <w:p>
      <w:pPr>
        <w:spacing w:after="120" w:line="312"/>
        <w:ind w:firstLine="0"/>
        <w:jc w:val="both"/>
      </w:pPr>
      <w:r>
        <w:rPr>
          <w:rFonts w:ascii="Calibri" w:eastAsia="Calibri"/>
          <w:color w:val="1F2937"/>
          <w:sz w:val="22"/>
          <w:szCs w:val="22"/>
        </w:rPr>
        <w:t xml:space="preserve">Efua opens the trade-facts timeline — a chronological view of every event in the trade lifecycle. She pulls the counterparty's KYC history (3 prior trades, all clean), cross-checks against OFAC, EU, UN, and Ghana MoF sanction lists (no matches), and reviews 12 comparable peer trades. The flagged bid is a clear outlier.</w:t>
      </w:r>
    </w:p>
    <w:p>
      <w:pPr>
        <w:pStyle w:val="Heading3"/>
        <w:spacing w:after="120" w:before="240" w:line="312"/>
      </w:pPr>
      <w:bookmarkStart w:id="100054" w:name="_Toc100054"/>
      <w:r>
        <w:rPr>
          <w:rFonts w:ascii="Calibri" w:eastAsia="Calibri"/>
          <w:b/>
          <w:bCs/>
          <w:color w:val="1A2B4A"/>
          <w:sz w:val="24"/>
          <w:szCs w:val="24"/>
        </w:rPr>
        <w:t xml:space="preserve">Decide (Hour 8–24)</w:t>
      </w:r>
      <w:bookmarkEnd w:id="100054"/>
    </w:p>
    <w:p>
      <w:pPr>
        <w:spacing w:after="120" w:line="312"/>
        <w:ind w:firstLine="0"/>
        <w:jc w:val="both"/>
      </w:pPr>
      <w:r>
        <w:rPr>
          <w:rFonts w:ascii="Calibri" w:eastAsia="Calibri"/>
          <w:color w:val="1F2937"/>
          <w:sz w:val="22"/>
          <w:szCs w:val="22"/>
        </w:rPr>
        <w:t xml:space="preserve">Efua escalates the case to the Executive Council with a pre-filled investigation pack. The Council reviews within 4 hours and approves a formal inquiry. Efua files a Suspicious Activity Report (SAR) with Ghana's Financial Intelligence Centre. Through the platform, she freezes the trade — escrow is held pending review, the buyer is suspended, the seller is notified (with appropriate confidentiality).</w:t>
      </w:r>
    </w:p>
    <w:p>
      <w:pPr>
        <w:pStyle w:val="Heading3"/>
        <w:spacing w:after="120" w:before="240" w:line="312"/>
      </w:pPr>
      <w:bookmarkStart w:id="100055" w:name="_Toc100055"/>
      <w:r>
        <w:rPr>
          <w:rFonts w:ascii="Calibri" w:eastAsia="Calibri"/>
          <w:b/>
          <w:bCs/>
          <w:color w:val="1A2B4A"/>
          <w:sz w:val="24"/>
          <w:szCs w:val="24"/>
        </w:rPr>
        <w:t xml:space="preserve">Habitual Use (Weeks 2+)</w:t>
      </w:r>
      <w:bookmarkEnd w:id="100055"/>
    </w:p>
    <w:p>
      <w:pPr>
        <w:spacing w:after="120" w:line="312"/>
        <w:ind w:firstLine="0"/>
        <w:jc w:val="both"/>
      </w:pPr>
      <w:r>
        <w:rPr>
          <w:rFonts w:ascii="Calibri" w:eastAsia="Calibri"/>
          <w:color w:val="1F2937"/>
          <w:sz w:val="22"/>
          <w:szCs w:val="22"/>
        </w:rPr>
        <w:t xml:space="preserve">The pattern (new-member + high-bid-outlier + recently-onboarded-payment-source) is added as a permanent rule in the anomaly-detection engine. The event is auto-included in the next quarterly BoG report. Efua shares the pattern (anonymized) with members in compliance training.</w:t>
      </w:r>
    </w:p>
    <w:p>
      <w:pPr>
        <w:pBdr>
          <w:left w:val="single" w:color="B8860B" w:sz="18" w:space="12"/>
        </w:pBdr>
        <w:shd w:fill="FCEFC7" w:val="clear"/>
        <w:spacing w:after="160" w:before="160" w:line="312"/>
        <w:ind w:left="240"/>
      </w:pPr>
      <w:r>
        <w:rPr>
          <w:rFonts w:ascii="Calibri" w:eastAsia="Calibri"/>
          <w:i/>
          <w:iCs/>
          <w:color w:val="1A2B4A"/>
          <w:sz w:val="22"/>
          <w:szCs w:val="22"/>
        </w:rPr>
        <w:t xml:space="preserve">Journey 4 Summary: Efua's journey is the platform's regulatory and reputational safeguard. Her ability to detect, investigate, and act on a suspicious trade within 24 hours — vs. weeks or months today — is the precondition for Bank of Ghana and Minerals Commission confidence, without which Tier 1 institutional buyers will not participate.</w:t>
      </w:r>
    </w:p>
    <w:p>
      <w:pPr>
        <w:pStyle w:val="Heading2"/>
        <w:spacing w:after="160" w:before="360" w:line="312"/>
      </w:pPr>
      <w:bookmarkStart w:id="100056" w:name="_Toc100056"/>
      <w:r>
        <w:rPr>
          <w:rFonts w:ascii="Calibri" w:eastAsia="Calibri"/>
          <w:b/>
          <w:bCs/>
          <w:color w:val="1A2B4A"/>
          <w:sz w:val="28"/>
          <w:szCs w:val="28"/>
        </w:rPr>
        <w:t xml:space="preserve">3.5 Journey-to-Charter Cross-Reference</w:t>
      </w:r>
      <w:bookmarkEnd w:id="100056"/>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4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Charter Objective</w:t>
            </w:r>
          </w:p>
        </w:tc>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Primary Journey</w:t>
            </w:r>
          </w:p>
        </w:tc>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Success Indicator</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 — Phase 1 Portal, ≥ 100 members by 2027-02-28</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Journey 1 + 3 (Stage 1)</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Kwame + Ibrahim complete onboarding</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 — US$50M cumulative trade value by 2027-12-31</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Journey 2 + 3 (full)</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Abena + Ibrahim trade cycles repeat weekly</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#3 — MTTTS ≤ 48h, 90th percentile by 2028-03-31</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Journey 1 + 2 (Stage 4)</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Kwame settlement ≤ 48h; Abena full cycle ≤ 5 days</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#4 — US$1.2M platform revenue, 12 months post Phase 2</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Journey 1 + 2 (Stage 5)</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Habitual weekly trade cycles sustain fee revenue</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#5 — SOC 2 + FATF Rec 22 by 2028-06-30</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Journey 4 (full)</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24-hour detection-to-action cycle</w:t>
            </w:r>
          </w:p>
        </w:tc>
      </w:tr>
    </w:tbl>
    <w:p>
      <w:pPr>
        <w:pStyle w:val="Heading1"/>
        <w:spacing w:after="240" w:before="480" w:line="312"/>
      </w:pPr>
      <w:bookmarkStart w:id="100057" w:name="_Toc100057"/>
      <w:r>
        <w:rPr>
          <w:rFonts w:ascii="Calibri" w:eastAsia="Calibri"/>
          <w:b/>
          <w:bCs/>
          <w:color w:val="1A2B4A"/>
          <w:sz w:val="36"/>
          <w:szCs w:val="36"/>
        </w:rPr>
        <w:t xml:space="preserve">Document 4 — System Architecture &amp; Design</w:t>
      </w:r>
      <w:bookmarkEnd w:id="100057"/>
    </w:p>
    <w:p>
      <w:pPr>
        <w:spacing w:after="120" w:line="312"/>
        <w:ind w:firstLine="0"/>
        <w:jc w:val="both"/>
      </w:pPr>
      <w:r>
        <w:rPr>
          <w:rFonts w:ascii="Calibri" w:eastAsia="Calibri"/>
          <w:color w:val="1F2937"/>
          <w:sz w:val="22"/>
          <w:szCs w:val="22"/>
        </w:rPr>
        <w:t xml:space="preserve">The AurumX platform is built around six architecture principles: member-gated (not open marketplace); event-driven core; audit-first data model; vendor and partner agnostic; mobile-first delivery with desktop-required for high-value decisions; cost-aware scaling. Each principle is tied to a Charter constraint or risk.</w:t>
      </w:r>
    </w:p>
    <w:p>
      <w:pPr>
        <w:pStyle w:val="Heading2"/>
        <w:spacing w:after="160" w:before="360" w:line="312"/>
      </w:pPr>
      <w:bookmarkStart w:id="100058" w:name="_Toc100058"/>
      <w:r>
        <w:rPr>
          <w:rFonts w:ascii="Calibri" w:eastAsia="Calibri"/>
          <w:b/>
          <w:bCs/>
          <w:color w:val="1A2B4A"/>
          <w:sz w:val="28"/>
          <w:szCs w:val="28"/>
        </w:rPr>
        <w:t xml:space="preserve">4.1 Technology Stack</w:t>
      </w:r>
      <w:bookmarkEnd w:id="100058"/>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22%"/>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Layer</w:t>
            </w:r>
          </w:p>
        </w:tc>
        <w:tc>
          <w:tcPr>
            <w:tcW w:type="pct" w:w="33%"/>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Technology</w:t>
            </w:r>
          </w:p>
        </w:tc>
        <w:tc>
          <w:tcPr>
            <w:tcW w:type="pct" w:w="4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Rationale</w:t>
            </w:r>
          </w:p>
        </w:tc>
      </w:tr>
      <w:tr>
        <w:trPr>
          <w:cantSplit/>
        </w:trPr>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Frontend (web/PWA)</w:t>
            </w:r>
          </w:p>
        </w:tc>
        <w:tc>
          <w:tcPr>
            <w:tcW w:type="pct" w:w="33%"/>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Next.js 16 + React 19 + TypeScript + Tailwind CSS</w:t>
            </w:r>
          </w:p>
        </w:tc>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Server-rendered PWA supports low-bandwidth mobile use; strong typing for safety-critical financial UX</w:t>
            </w:r>
          </w:p>
        </w:tc>
      </w:tr>
      <w:tr>
        <w:trPr>
          <w:cantSplit/>
        </w:trPr>
        <w:tc>
          <w:tcPr>
            <w:tcW w:type="pct" w:w="2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Backend framework</w:t>
            </w:r>
          </w:p>
        </w:tc>
        <w:tc>
          <w:tcPr>
            <w:tcW w:type="pct" w:w="33%"/>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NestJS (Node.js 22 LTS, TypeScript)</w:t>
            </w:r>
          </w:p>
        </w:tc>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Opinionated module system; first-class DI; matches frontend language; strong OpenAPI generation</w:t>
            </w:r>
          </w:p>
        </w:tc>
      </w:tr>
      <w:tr>
        <w:trPr>
          <w:cantSplit/>
        </w:trPr>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API style</w:t>
            </w:r>
          </w:p>
        </w:tc>
        <w:tc>
          <w:tcPr>
            <w:tcW w:type="pct" w:w="33%"/>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REST (primary) + GraphQL (BFF) + Webhooks + WebSocket</w:t>
            </w:r>
          </w:p>
        </w:tc>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REST for partner integrations; GraphQL for portal; WebSocket for negotiation latency</w:t>
            </w:r>
          </w:p>
        </w:tc>
      </w:tr>
      <w:tr>
        <w:trPr>
          <w:cantSplit/>
        </w:trPr>
        <w:tc>
          <w:tcPr>
            <w:tcW w:type="pct" w:w="2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Primary database</w:t>
            </w:r>
          </w:p>
        </w:tc>
        <w:tc>
          <w:tcPr>
            <w:tcW w:type="pct" w:w="33%"/>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PostgreSQL 16</w:t>
            </w:r>
          </w:p>
        </w:tc>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ACID guarantees for trade ledger; JSONB for flexible metadata; Row-Level Security for tenant isolation</w:t>
            </w:r>
          </w:p>
        </w:tc>
      </w:tr>
      <w:tr>
        <w:trPr>
          <w:cantSplit/>
        </w:trPr>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Cache</w:t>
            </w:r>
          </w:p>
        </w:tc>
        <w:tc>
          <w:tcPr>
            <w:tcW w:type="pct" w:w="33%"/>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Redis 7 (cluster mode)</w:t>
            </w:r>
          </w:p>
        </w:tc>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Session store, rate-limit counters, real-time negotiation state</w:t>
            </w:r>
          </w:p>
        </w:tc>
      </w:tr>
      <w:tr>
        <w:trPr>
          <w:cantSplit/>
        </w:trPr>
        <w:tc>
          <w:tcPr>
            <w:tcW w:type="pct" w:w="2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Search</w:t>
            </w:r>
          </w:p>
        </w:tc>
        <w:tc>
          <w:tcPr>
            <w:tcW w:type="pct" w:w="33%"/>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Elasticsearch 8</w:t>
            </w:r>
          </w:p>
        </w:tc>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Lot discovery, full-text on member directory, audit-log search</w:t>
            </w:r>
          </w:p>
        </w:tc>
      </w:tr>
      <w:tr>
        <w:trPr>
          <w:cantSplit/>
        </w:trPr>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Event bus</w:t>
            </w:r>
          </w:p>
        </w:tc>
        <w:tc>
          <w:tcPr>
            <w:tcW w:type="pct" w:w="33%"/>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Apache Kafka (AWS MSK)</w:t>
            </w:r>
          </w:p>
        </w:tc>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Domain events for audit log, anomaly detection, notification fan-out; 7-year retention</w:t>
            </w:r>
          </w:p>
        </w:tc>
      </w:tr>
      <w:tr>
        <w:trPr>
          <w:cantSplit/>
        </w:trPr>
        <w:tc>
          <w:tcPr>
            <w:tcW w:type="pct" w:w="2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Object storage</w:t>
            </w:r>
          </w:p>
        </w:tc>
        <w:tc>
          <w:tcPr>
            <w:tcW w:type="pct" w:w="33%"/>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S3 + KMS encryption</w:t>
            </w:r>
          </w:p>
        </w:tc>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Document storage with lifecycle to Glacier for archival</w:t>
            </w:r>
          </w:p>
        </w:tc>
      </w:tr>
      <w:tr>
        <w:trPr>
          <w:cantSplit/>
        </w:trPr>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Identity</w:t>
            </w:r>
          </w:p>
        </w:tc>
        <w:tc>
          <w:tcPr>
            <w:tcW w:type="pct" w:w="33%"/>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Auth0 (B2B tenant)</w:t>
            </w:r>
          </w:p>
        </w:tc>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Enterprise agreement in place; supports organization-level RBAC</w:t>
            </w:r>
          </w:p>
        </w:tc>
      </w:tr>
      <w:tr>
        <w:trPr>
          <w:cantSplit/>
        </w:trPr>
        <w:tc>
          <w:tcPr>
            <w:tcW w:type="pct" w:w="2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Container orchestration</w:t>
            </w:r>
          </w:p>
        </w:tc>
        <w:tc>
          <w:tcPr>
            <w:tcW w:type="pct" w:w="33%"/>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EKS (managed Kubernetes)</w:t>
            </w:r>
          </w:p>
        </w:tc>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Multi-AZ, autoscaling, mature ecosystem</w:t>
            </w:r>
          </w:p>
        </w:tc>
      </w:tr>
      <w:tr>
        <w:trPr>
          <w:cantSplit/>
        </w:trPr>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CI/CD</w:t>
            </w:r>
          </w:p>
        </w:tc>
        <w:tc>
          <w:tcPr>
            <w:tcW w:type="pct" w:w="33%"/>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GitHub Actions + Argo CD (GitOps)</w:t>
            </w:r>
          </w:p>
        </w:tc>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Branch-driven builds; declarative K8s deployments</w:t>
            </w:r>
          </w:p>
        </w:tc>
      </w:tr>
      <w:tr>
        <w:trPr>
          <w:cantSplit/>
        </w:trPr>
        <w:tc>
          <w:tcPr>
            <w:tcW w:type="pct" w:w="2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Observability</w:t>
            </w:r>
          </w:p>
        </w:tc>
        <w:tc>
          <w:tcPr>
            <w:tcW w:type="pct" w:w="33%"/>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Datadog (APM + logs + metrics) + Sentry</w:t>
            </w:r>
          </w:p>
        </w:tc>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Unified observability; strong OpenTelemetry support</w:t>
            </w:r>
          </w:p>
        </w:tc>
      </w:tr>
      <w:tr>
        <w:trPr>
          <w:cantSplit/>
        </w:trPr>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IaC</w:t>
            </w:r>
          </w:p>
        </w:tc>
        <w:tc>
          <w:tcPr>
            <w:tcW w:type="pct" w:w="33%"/>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Terraform + Helm</w:t>
            </w:r>
          </w:p>
        </w:tc>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Cloud-agnostic; Helm for K8s release management</w:t>
            </w:r>
          </w:p>
        </w:tc>
      </w:tr>
      <w:tr>
        <w:trPr>
          <w:cantSplit/>
        </w:trPr>
        <w:tc>
          <w:tcPr>
            <w:tcW w:type="pct" w:w="2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Cloud</w:t>
            </w:r>
          </w:p>
        </w:tc>
        <w:tc>
          <w:tcPr>
            <w:tcW w:type="pct" w:w="33%"/>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(af-west-1 primary, eu-west-1 DR)</w:t>
            </w:r>
          </w:p>
        </w:tc>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African region for Ghana data residency; EU region for DR</w:t>
            </w:r>
          </w:p>
        </w:tc>
      </w:tr>
    </w:tbl>
    <w:p>
      <w:pPr>
        <w:pStyle w:val="Heading2"/>
        <w:spacing w:after="160" w:before="360" w:line="312"/>
      </w:pPr>
      <w:bookmarkStart w:id="100059" w:name="_Toc100059"/>
      <w:r>
        <w:rPr>
          <w:rFonts w:ascii="Calibri" w:eastAsia="Calibri"/>
          <w:b/>
          <w:bCs/>
          <w:color w:val="1A2B4A"/>
          <w:sz w:val="28"/>
          <w:szCs w:val="28"/>
        </w:rPr>
        <w:t xml:space="preserve">4.2 High-Level Component Map</w:t>
      </w:r>
      <w:bookmarkEnd w:id="100059"/>
    </w:p>
    <w:p>
      <w:pPr>
        <w:spacing w:after="120" w:line="312"/>
        <w:ind w:firstLine="0"/>
        <w:jc w:val="both"/>
      </w:pPr>
      <w:r>
        <w:rPr>
          <w:rFonts w:ascii="Calibri" w:eastAsia="Calibri"/>
          <w:color w:val="1F2937"/>
          <w:sz w:val="22"/>
          <w:szCs w:val="22"/>
        </w:rPr>
        <w:t xml:space="preserve">The platform is organized into five tiers: Client tier (PWA + Chamber Admin Console); Edge tier (CloudFront + WAF); API tier (Kong Gateway + Auth0); Service tier (EKS-hosted NestJS services with Integration Adapters and Background Workers); Data tier (PostgreSQL, Redis, Kafka, Elasticsearch, S3). All stateful services span three Availability Zones with synchronous replication for RDS. Partner integrations (banks, vaults, assay labs, government APIs) are abstracted behind Strategy-pattern interfaces so one provider can be swapped for another — directly mitigating Charter Risk R2 (escrow partner withdrawal).</w:t>
      </w:r>
    </w:p>
    <w:p>
      <w:pPr>
        <w:pStyle w:val="Heading2"/>
        <w:spacing w:after="160" w:before="360" w:line="312"/>
      </w:pPr>
      <w:bookmarkStart w:id="100060" w:name="_Toc100060"/>
      <w:r>
        <w:rPr>
          <w:rFonts w:ascii="Calibri" w:eastAsia="Calibri"/>
          <w:b/>
          <w:bCs/>
          <w:color w:val="1A2B4A"/>
          <w:sz w:val="28"/>
          <w:szCs w:val="28"/>
        </w:rPr>
        <w:t xml:space="preserve">4.3 Data Model — Core Entities</w:t>
      </w:r>
      <w:bookmarkEnd w:id="100060"/>
    </w:p>
    <w:p>
      <w:pPr>
        <w:spacing w:after="120" w:line="312"/>
        <w:ind w:firstLine="0"/>
        <w:jc w:val="both"/>
      </w:pPr>
      <w:r>
        <w:rPr>
          <w:rFonts w:ascii="Calibri" w:eastAsia="Calibri"/>
          <w:color w:val="1F2937"/>
          <w:sz w:val="22"/>
          <w:szCs w:val="22"/>
        </w:rPr>
        <w:t xml:space="preserve">The data model is organized around six core aggregates: Organization (members with tier, license, KYC status); GoldLot (weight, purity, serial number, provenance chain); RFQ/Auction + Bid; Trade + Escrow + Contract; TradeEvent (immutable audit); ComplianceAlert + AlertEvent. Each aggregate has a defined state machine (see Document 5).</w:t>
      </w:r>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22%"/>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Aggregate</w:t>
            </w:r>
          </w:p>
        </w:tc>
        <w:tc>
          <w:tcPr>
            <w:tcW w:type="pct" w:w="48%"/>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Key Fields</w:t>
            </w:r>
          </w:p>
        </w:tc>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Owning Service</w:t>
            </w:r>
          </w:p>
        </w:tc>
      </w:tr>
      <w:tr>
        <w:trPr>
          <w:cantSplit/>
        </w:trPr>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Organization</w:t>
            </w:r>
          </w:p>
        </w:tc>
        <w:tc>
          <w:tcPr>
            <w:tcW w:type="pct" w:w="4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id, name, tier (TIER_1/TIER_2/SELLER), status, kyc_status</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Member Service</w:t>
            </w:r>
          </w:p>
        </w:tc>
      </w:tr>
      <w:tr>
        <w:trPr>
          <w:cantSplit/>
        </w:trPr>
        <w:tc>
          <w:tcPr>
            <w:tcW w:type="pct" w:w="2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GoldLot</w:t>
            </w:r>
          </w:p>
        </w:tc>
        <w:tc>
          <w:tcPr>
            <w:tcW w:type="pct" w:w="4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id, seller_org_id, weight_grams, purity, serial_number, status</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Lot Service</w:t>
            </w:r>
          </w:p>
        </w:tc>
      </w:tr>
      <w:tr>
        <w:trPr>
          <w:cantSplit/>
        </w:trPr>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RFQ / Auction</w:t>
            </w:r>
          </w:p>
        </w:tc>
        <w:tc>
          <w:tcPr>
            <w:tcW w:type="pct" w:w="4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id, lot_id, buyer_org_id, asking_price_usd, status</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RFQ Engine / Auction Engine</w:t>
            </w:r>
          </w:p>
        </w:tc>
      </w:tr>
      <w:tr>
        <w:trPr>
          <w:cantSplit/>
        </w:trPr>
        <w:tc>
          <w:tcPr>
            <w:tcW w:type="pct" w:w="2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Bid</w:t>
            </w:r>
          </w:p>
        </w:tc>
        <w:tc>
          <w:tcPr>
            <w:tcW w:type="pct" w:w="4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id, rfq_id, bidder_org_id, amount_usd, status</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RFQ / Auction Engine</w:t>
            </w:r>
          </w:p>
        </w:tc>
      </w:tr>
      <w:tr>
        <w:trPr>
          <w:cantSplit/>
        </w:trPr>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w:t>
            </w:r>
          </w:p>
        </w:tc>
        <w:tc>
          <w:tcPr>
            <w:tcW w:type="pct" w:w="4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id, lot_id, buyer_org_id, seller_org_id, amount_usd, status, settled_at</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 Service</w:t>
            </w:r>
          </w:p>
        </w:tc>
      </w:tr>
      <w:tr>
        <w:trPr>
          <w:cantSplit/>
        </w:trPr>
        <w:tc>
          <w:tcPr>
            <w:tcW w:type="pct" w:w="2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Escrow</w:t>
            </w:r>
          </w:p>
        </w:tc>
        <w:tc>
          <w:tcPr>
            <w:tcW w:type="pct" w:w="4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id, trade_id, bank_account_id, amount_usd, status, bank_reference</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Escrow Service</w:t>
            </w:r>
          </w:p>
        </w:tc>
      </w:tr>
      <w:tr>
        <w:trPr>
          <w:cantSplit/>
        </w:trPr>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TradeEvent</w:t>
            </w:r>
          </w:p>
        </w:tc>
        <w:tc>
          <w:tcPr>
            <w:tcW w:type="pct" w:w="4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id, trade_id, event_type, event_payload, hash_anchor, occurred_at</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Audit Log Service</w:t>
            </w:r>
          </w:p>
        </w:tc>
      </w:tr>
      <w:tr>
        <w:trPr>
          <w:cantSplit/>
        </w:trPr>
        <w:tc>
          <w:tcPr>
            <w:tcW w:type="pct" w:w="2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ComplianceAlert</w:t>
            </w:r>
          </w:p>
        </w:tc>
        <w:tc>
          <w:tcPr>
            <w:tcW w:type="pct" w:w="4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id, triggered_by_trade_id, severity, status, signals</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Compliance Service</w:t>
            </w:r>
          </w:p>
        </w:tc>
      </w:tr>
    </w:tbl>
    <w:p>
      <w:pPr>
        <w:pStyle w:val="Heading2"/>
        <w:spacing w:after="160" w:before="360" w:line="312"/>
      </w:pPr>
      <w:bookmarkStart w:id="100061" w:name="_Toc100061"/>
      <w:r>
        <w:rPr>
          <w:rFonts w:ascii="Calibri" w:eastAsia="Calibri"/>
          <w:b/>
          <w:bCs/>
          <w:color w:val="1A2B4A"/>
          <w:sz w:val="28"/>
          <w:szCs w:val="28"/>
        </w:rPr>
        <w:t xml:space="preserve">4.4 Design Patterns</w:t>
      </w:r>
      <w:bookmarkEnd w:id="100061"/>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Pattern</w:t>
            </w:r>
          </w:p>
        </w:tc>
        <w:tc>
          <w:tcPr>
            <w:tcW w:type="pct" w:w="4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Where Applied</w:t>
            </w:r>
          </w:p>
        </w:tc>
        <w:tc>
          <w:tcPr>
            <w:tcW w:type="pct" w:w="3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Why</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Domain-Driven Design (DDD)</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Core domain services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Complex business rules require rich domain models, not anemic CRUD</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Event Sourcing (partial)</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 Compliance Alert aggregates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Audit-defensible history; replayable for investigations</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CQRS</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Lot read model (Elasticsearch); write model (PostgreSQL)</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Optimization for high-read lot discovery</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Repository + Unit of Work</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All data access layers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Testability; consistency boundaries per aggregate</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Strategy</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EscrowProvider, PaymentProvider, NotificationProvider, AssayProvider</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Vendor-agnostic — provider swap mitigates Charter Risk R2</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Outbox Pattern</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All services publishing to Kafka</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Guarantees atomic DB write + event publish (no dual-write inconsistency)</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Saga (choreography)</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 lifecycle (8+ stages)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Long-running distributed transaction without 2PC</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Materialized View</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Analytics rollups for compliance dashboard</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Decouples heavy read queries from trade-write hot path</w:t>
            </w:r>
          </w:p>
        </w:tc>
      </w:tr>
    </w:tbl>
    <w:p>
      <w:pPr>
        <w:pStyle w:val="Heading2"/>
        <w:spacing w:after="160" w:before="360" w:line="312"/>
      </w:pPr>
      <w:bookmarkStart w:id="100062" w:name="_Toc100062"/>
      <w:r>
        <w:rPr>
          <w:rFonts w:ascii="Calibri" w:eastAsia="Calibri"/>
          <w:b/>
          <w:bCs/>
          <w:color w:val="1A2B4A"/>
          <w:sz w:val="28"/>
          <w:szCs w:val="28"/>
        </w:rPr>
        <w:t xml:space="preserve">4.5 API Design</w:t>
      </w:r>
      <w:bookmarkEnd w:id="100062"/>
    </w:p>
    <w:p>
      <w:pPr>
        <w:pStyle w:val="Heading3"/>
        <w:spacing w:after="120" w:before="240" w:line="312"/>
      </w:pPr>
      <w:bookmarkStart w:id="100063" w:name="_Toc100063"/>
      <w:r>
        <w:rPr>
          <w:rFonts w:ascii="Calibri" w:eastAsia="Calibri"/>
          <w:b/>
          <w:bCs/>
          <w:color w:val="1A2B4A"/>
          <w:sz w:val="24"/>
          <w:szCs w:val="24"/>
        </w:rPr>
        <w:t xml:space="preserve">Conventions</w:t>
      </w:r>
      <w:bookmarkEnd w:id="100063"/>
    </w:p>
    <w:p>
      <w:pPr>
        <w:pStyle w:val="ListParagraph"/>
        <w:numPr>
          <w:ilvl w:val="0"/>
          <w:numId w:val="1"/>
        </w:numPr>
        <w:spacing w:after="80" w:line="312"/>
      </w:pPr>
      <w:r>
        <w:rPr>
          <w:rFonts w:ascii="Calibri" w:eastAsia="Calibri"/>
          <w:color w:val="1F2937"/>
          <w:sz w:val="22"/>
          <w:szCs w:val="22"/>
        </w:rPr>
        <w:t xml:space="preserve">HTTPS only (TLS 1.3 minimum). JSON format with ISO 8601 UTC timestamps and decimal-string monetary amounts.</w:t>
      </w:r>
    </w:p>
    <w:p>
      <w:pPr>
        <w:pStyle w:val="ListParagraph"/>
        <w:numPr>
          <w:ilvl w:val="0"/>
          <w:numId w:val="1"/>
        </w:numPr>
        <w:spacing w:after="80" w:line="312"/>
      </w:pPr>
      <w:r>
        <w:rPr>
          <w:rFonts w:ascii="Calibri" w:eastAsia="Calibri"/>
          <w:color w:val="1F2937"/>
          <w:sz w:val="22"/>
          <w:szCs w:val="22"/>
        </w:rPr>
        <w:t xml:space="preserve">URL versioning (/v1/, /v2/). Backward-compatible changes within major version; breaking changes require new major with 12-month overlap.</w:t>
      </w:r>
    </w:p>
    <w:p>
      <w:pPr>
        <w:pStyle w:val="ListParagraph"/>
        <w:numPr>
          <w:ilvl w:val="0"/>
          <w:numId w:val="1"/>
        </w:numPr>
        <w:spacing w:after="80" w:line="312"/>
      </w:pPr>
      <w:r>
        <w:rPr>
          <w:rFonts w:ascii="Calibri" w:eastAsia="Calibri"/>
          <w:color w:val="1F2937"/>
          <w:sz w:val="22"/>
          <w:szCs w:val="22"/>
        </w:rPr>
        <w:t xml:space="preserve">Cursor-based pagination. Idempotency-Key header required for all POST that creates resources or triggers side effects (24-hour idempotency window).</w:t>
      </w:r>
    </w:p>
    <w:p>
      <w:pPr>
        <w:pStyle w:val="ListParagraph"/>
        <w:numPr>
          <w:ilvl w:val="0"/>
          <w:numId w:val="1"/>
        </w:numPr>
        <w:spacing w:after="80" w:line="312"/>
      </w:pPr>
      <w:r>
        <w:rPr>
          <w:rFonts w:ascii="Calibri" w:eastAsia="Calibri"/>
          <w:color w:val="1F2937"/>
          <w:sz w:val="22"/>
          <w:szCs w:val="22"/>
        </w:rPr>
        <w:t xml:space="preserve">Rate limiting: token-bucket per API key. Errors use RFC 7807 Problem Details format.</w:t>
      </w:r>
    </w:p>
    <w:p>
      <w:pPr>
        <w:pStyle w:val="Heading3"/>
        <w:spacing w:after="120" w:before="240" w:line="312"/>
      </w:pPr>
      <w:bookmarkStart w:id="100064" w:name="_Toc100064"/>
      <w:r>
        <w:rPr>
          <w:rFonts w:ascii="Calibri" w:eastAsia="Calibri"/>
          <w:b/>
          <w:bCs/>
          <w:color w:val="1A2B4A"/>
          <w:sz w:val="24"/>
          <w:szCs w:val="24"/>
        </w:rPr>
        <w:t xml:space="preserve">Authentication</w:t>
      </w:r>
      <w:bookmarkEnd w:id="100064"/>
    </w:p>
    <w:p>
      <w:pPr>
        <w:spacing w:after="120" w:line="312"/>
        <w:ind w:firstLine="0"/>
        <w:jc w:val="both"/>
      </w:pPr>
      <w:r>
        <w:rPr>
          <w:rFonts w:ascii="Calibri" w:eastAsia="Calibri"/>
          <w:color w:val="1F2937"/>
          <w:sz w:val="22"/>
          <w:szCs w:val="22"/>
        </w:rPr>
        <w:t xml:space="preserve">Auth0 B2B with Organizations — one Auth0 Organization per Chamber member Organization. Authorization Code + PKCE for the PWA; Client Credentials for machine-to-machine (Tier 1 ERP integration, government API adapters). JWT (RS256), 1-hour access tokens; refresh tokens 30-day sliding window. RBAC model: roles scoped per Organization (org.admin, org.trader, org.compliance, org.viewer) and globally (chamber.compliance, chamber.executive, chamber.ops). MFA required for org.admin, all Chamber roles, and any trade action above US$100K.</w:t>
      </w:r>
    </w:p>
    <w:p>
      <w:pPr>
        <w:pStyle w:val="Heading3"/>
        <w:spacing w:after="120" w:before="240" w:line="312"/>
      </w:pPr>
      <w:bookmarkStart w:id="100065" w:name="_Toc100065"/>
      <w:r>
        <w:rPr>
          <w:rFonts w:ascii="Calibri" w:eastAsia="Calibri"/>
          <w:b/>
          <w:bCs/>
          <w:color w:val="1A2B4A"/>
          <w:sz w:val="24"/>
          <w:szCs w:val="24"/>
        </w:rPr>
        <w:t xml:space="preserve">Key Endpoints (Selected)</w:t>
      </w:r>
      <w:bookmarkEnd w:id="100065"/>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4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Endpoint</w:t>
            </w:r>
          </w:p>
        </w:tc>
        <w:tc>
          <w:tcPr>
            <w:tcW w:type="pct" w:w="3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Purpose</w:t>
            </w:r>
          </w:p>
        </w:tc>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Backs User Flow</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POST /v1/organizations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Create new member organization</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UF-01 Onboarding</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POST /v1/organizations/{id}/kyc/submit</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Submit KYC form</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UF-01 Onboarding</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POST /v1/lots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Create a new gold lot</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UF-02 Lot Creation</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POST /v1/lots/{id}/publish</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Publish lot to qualified buyers</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UF-02 Lot Creation</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POST /v1/rfqs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Submit RFQ with asking price</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UF-03 RFQ Submission</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POST /v1/rfqs/{id}/bids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Submit a bid</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UF-03 RFQ Submission</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POST /v1/rfqs/{id}/negotiate</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Submit counter-offer</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UF-03 RFQ Submission</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POST /v1/rfqs/{id}/accept</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Accept terms; trade created</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UF-03 RFQ Submission</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POST /v1/trades/{id}/escrow/fund</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Trigger bank escrow funding</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UF-05 Escrow Funding</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POST /v1/trades/{id}/escrow/release</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Release escrow to seller</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UF-05 Escrow Funding</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POST /v1/trades/{id}/freeze</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Freeze trade (compliance only)</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UF-08 Compliance Investigation</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GET /v1/compliance/alerts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List compliance alerts</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UF-08 Compliance Investigation</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POST /v1/compliance/alerts/{id}/events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Acknowledge / escalate / file SAR</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UF-08 Compliance Investigation</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POST /v1/exports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Initiate export documentation workflow</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UF-07 Export Documentation</w:t>
            </w:r>
          </w:p>
        </w:tc>
      </w:tr>
    </w:tbl>
    <w:p>
      <w:pPr>
        <w:pStyle w:val="Heading2"/>
        <w:spacing w:after="160" w:before="360" w:line="312"/>
      </w:pPr>
      <w:bookmarkStart w:id="100066" w:name="_Toc100066"/>
      <w:r>
        <w:rPr>
          <w:rFonts w:ascii="Calibri" w:eastAsia="Calibri"/>
          <w:b/>
          <w:bCs/>
          <w:color w:val="1A2B4A"/>
          <w:sz w:val="28"/>
          <w:szCs w:val="28"/>
        </w:rPr>
        <w:t xml:space="preserve">4.6 Architecture Decision Records (ADRs)</w:t>
      </w:r>
      <w:bookmarkEnd w:id="100066"/>
    </w:p>
    <w:p>
      <w:pPr>
        <w:pStyle w:val="Heading3"/>
        <w:spacing w:after="120" w:before="240" w:line="312"/>
      </w:pPr>
      <w:bookmarkStart w:id="100067" w:name="_Toc100067"/>
      <w:r>
        <w:rPr>
          <w:rFonts w:ascii="Calibri" w:eastAsia="Calibri"/>
          <w:b/>
          <w:bCs/>
          <w:color w:val="1A2B4A"/>
          <w:sz w:val="24"/>
          <w:szCs w:val="24"/>
        </w:rPr>
        <w:t xml:space="preserve">ADR-001 — Adopt Event-Driven SOA over Monolith</w:t>
      </w:r>
      <w:bookmarkEnd w:id="100067"/>
    </w:p>
    <w:p>
      <w:pPr>
        <w:spacing w:after="120" w:line="312"/>
        <w:ind w:firstLine="0"/>
        <w:jc w:val="both"/>
      </w:pPr>
      <w:r>
        <w:rPr>
          <w:rFonts w:ascii="Calibri" w:eastAsia="Calibri"/>
          <w:color w:val="1F2937"/>
          <w:sz w:val="22"/>
          <w:szCs w:val="22"/>
        </w:rPr>
        <w:t xml:space="preserve">Context: The platform spans heterogeneous concerns (member onboarding, trade lifecycle, escrow, compliance) with sharply different scaling profiles. Compliance requires a 24-hour detection-to-action SLA. SOC 2 Type II is mandatory.</w:t>
      </w:r>
    </w:p>
    <w:p>
      <w:pPr>
        <w:spacing w:after="120" w:line="312"/>
        <w:ind w:firstLine="0"/>
        <w:jc w:val="both"/>
      </w:pPr>
      <w:r>
        <w:rPr>
          <w:rFonts w:ascii="Calibri" w:eastAsia="Calibri"/>
          <w:color w:val="1F2937"/>
          <w:sz w:val="22"/>
          <w:szCs w:val="22"/>
        </w:rPr>
        <w:t xml:space="preserve">Decision: Event-driven service-oriented architecture (not full microservices) with Kafka as the event backbone, the Outbox pattern for atomic DB writes + event publish, and Saga choreography for the trade lifecycle. One PostgreSQL cluster shared across services via separate schemas; no cross-service direct DB access.</w:t>
      </w:r>
    </w:p>
    <w:p>
      <w:pPr>
        <w:spacing w:after="120" w:line="312"/>
        <w:ind w:firstLine="0"/>
        <w:jc w:val="both"/>
      </w:pPr>
      <w:r>
        <w:rPr>
          <w:rFonts w:ascii="Calibri" w:eastAsia="Calibri"/>
          <w:color w:val="1F2937"/>
          <w:sz w:val="22"/>
          <w:szCs w:val="22"/>
        </w:rPr>
        <w:t xml:space="preserve">Consequences: (+) Independent scaling; (+) intrinsic audit trail; (+) compliance can subscribe to all trade events without coupling. (−) Operational complexity; (−) distributed-systems pitfalls (eventual consistency, idempotency).</w:t>
      </w:r>
    </w:p>
    <w:p>
      <w:pPr>
        <w:pStyle w:val="Heading3"/>
        <w:spacing w:after="120" w:before="240" w:line="312"/>
      </w:pPr>
      <w:bookmarkStart w:id="100068" w:name="_Toc100068"/>
      <w:r>
        <w:rPr>
          <w:rFonts w:ascii="Calibri" w:eastAsia="Calibri"/>
          <w:b/>
          <w:bCs/>
          <w:color w:val="1A2B4A"/>
          <w:sz w:val="24"/>
          <w:szCs w:val="24"/>
        </w:rPr>
        <w:t xml:space="preserve">ADR-002 — Use Auth0 B2B for Identity</w:t>
      </w:r>
      <w:bookmarkEnd w:id="100068"/>
    </w:p>
    <w:p>
      <w:pPr>
        <w:spacing w:after="120" w:line="312"/>
        <w:ind w:firstLine="0"/>
        <w:jc w:val="both"/>
      </w:pPr>
      <w:r>
        <w:rPr>
          <w:rFonts w:ascii="Calibri" w:eastAsia="Calibri"/>
          <w:color w:val="1F2937"/>
          <w:sz w:val="22"/>
          <w:szCs w:val="22"/>
        </w:rPr>
        <w:t xml:space="preserve">Context: Platform requires organization-scoped RBAC, MFA, SSO for Tier 1 buyers (SAML), per-organization IP allowlisting. Charter §8 C2 mandates Auth0.</w:t>
      </w:r>
    </w:p>
    <w:p>
      <w:pPr>
        <w:spacing w:after="120" w:line="312"/>
        <w:ind w:firstLine="0"/>
        <w:jc w:val="both"/>
      </w:pPr>
      <w:r>
        <w:rPr>
          <w:rFonts w:ascii="Calibri" w:eastAsia="Calibri"/>
          <w:color w:val="1F2937"/>
          <w:sz w:val="22"/>
          <w:szCs w:val="22"/>
        </w:rPr>
        <w:t xml:space="preserve">Decision: Auth0 B2B with Organizations. One Auth0 Organization per AurumX Organization. Custom claims for fine-grained permissions. SAML/OIDC enterprise connections for Tier 1 buyers; Auth0-hosted login branded for the Chamber.</w:t>
      </w:r>
    </w:p>
    <w:p>
      <w:pPr>
        <w:spacing w:after="120" w:line="312"/>
        <w:ind w:firstLine="0"/>
        <w:jc w:val="both"/>
      </w:pPr>
      <w:r>
        <w:rPr>
          <w:rFonts w:ascii="Calibri" w:eastAsia="Calibri"/>
          <w:color w:val="1F2937"/>
          <w:sz w:val="22"/>
          <w:szCs w:val="22"/>
        </w:rPr>
        <w:t xml:space="preserve">Consequences: (+) SOC 2 already in place for Auth0; (+) MFA and SSO built-in. (−) Vendor lock-in; (−) per-MAU pricing can scale steeply.</w:t>
      </w:r>
    </w:p>
    <w:p>
      <w:pPr>
        <w:pStyle w:val="Heading3"/>
        <w:spacing w:after="120" w:before="240" w:line="312"/>
      </w:pPr>
      <w:bookmarkStart w:id="100069" w:name="_Toc100069"/>
      <w:r>
        <w:rPr>
          <w:rFonts w:ascii="Calibri" w:eastAsia="Calibri"/>
          <w:b/>
          <w:bCs/>
          <w:color w:val="1A2B4A"/>
          <w:sz w:val="24"/>
          <w:szCs w:val="24"/>
        </w:rPr>
        <w:t xml:space="preserve">ADR-003 — Use Kafka (AWS MSK) over RabbitMQ/SQS</w:t>
      </w:r>
      <w:bookmarkEnd w:id="100069"/>
    </w:p>
    <w:p>
      <w:pPr>
        <w:spacing w:after="120" w:line="312"/>
        <w:ind w:firstLine="0"/>
        <w:jc w:val="both"/>
      </w:pPr>
      <w:r>
        <w:rPr>
          <w:rFonts w:ascii="Calibri" w:eastAsia="Calibri"/>
          <w:color w:val="1F2937"/>
          <w:sz w:val="22"/>
          <w:szCs w:val="22"/>
        </w:rPr>
        <w:t xml:space="preserve">Context: Trade lifecycle is a long-running saga with 8+ stages. Compliance must replay any trade's full event history on demand for investigation and SOC 2 audit. Throughput forecast: ~500 events/sec peak, ~50 events/sec average — modest, but replayability is critical.</w:t>
      </w:r>
    </w:p>
    <w:p>
      <w:pPr>
        <w:spacing w:after="120" w:line="312"/>
        <w:ind w:firstLine="0"/>
        <w:jc w:val="both"/>
      </w:pPr>
      <w:r>
        <w:rPr>
          <w:rFonts w:ascii="Calibri" w:eastAsia="Calibri"/>
          <w:color w:val="1F2937"/>
          <w:sz w:val="22"/>
          <w:szCs w:val="22"/>
        </w:rPr>
        <w:t xml:space="preserve">Decision: Apache Kafka (AWS MSK Standard, 3-broker multi-AZ) as the event backbone. Outbox pattern for atomic DB write + event publish. Log-compacted audit-log topic as canonical replay source. Retention: 7 years.</w:t>
      </w:r>
    </w:p>
    <w:p>
      <w:pPr>
        <w:spacing w:after="120" w:line="312"/>
        <w:ind w:firstLine="0"/>
        <w:jc w:val="both"/>
      </w:pPr>
      <w:r>
        <w:rPr>
          <w:rFonts w:ascii="Calibri" w:eastAsia="Calibri"/>
          <w:color w:val="1F2937"/>
          <w:sz w:val="22"/>
          <w:szCs w:val="22"/>
        </w:rPr>
        <w:t xml:space="preserve">Consequences: (+) Replayable event history — direct enabler for compliance; (+) multiple consumers without coupling. (−) MSK operational cost (~US$1,800/month baseline).</w:t>
      </w:r>
    </w:p>
    <w:p>
      <w:pPr>
        <w:pStyle w:val="Heading3"/>
        <w:spacing w:after="120" w:before="240" w:line="312"/>
      </w:pPr>
      <w:bookmarkStart w:id="100070" w:name="_Toc100070"/>
      <w:r>
        <w:rPr>
          <w:rFonts w:ascii="Calibri" w:eastAsia="Calibri"/>
          <w:b/>
          <w:bCs/>
          <w:color w:val="1A2B4A"/>
          <w:sz w:val="24"/>
          <w:szCs w:val="24"/>
        </w:rPr>
        <w:t xml:space="preserve">ADR-004 — Use the Outbox Pattern for Atomic Event Publish</w:t>
      </w:r>
      <w:bookmarkEnd w:id="100070"/>
    </w:p>
    <w:p>
      <w:pPr>
        <w:spacing w:after="120" w:line="312"/>
        <w:ind w:firstLine="0"/>
        <w:jc w:val="both"/>
      </w:pPr>
      <w:r>
        <w:rPr>
          <w:rFonts w:ascii="Calibri" w:eastAsia="Calibri"/>
          <w:color w:val="1F2937"/>
          <w:sz w:val="22"/>
          <w:szCs w:val="22"/>
        </w:rPr>
        <w:t xml:space="preserve">Context: With event-driven architecture (ADR-001) and Kafka (ADR-003), the dual-write problem arises: if a service writes to PostgreSQL and then publishes to Kafka, a failure between the two leaves the system inconsistent. For an audited financial platform, this is unacceptable.</w:t>
      </w:r>
    </w:p>
    <w:p>
      <w:pPr>
        <w:spacing w:after="120" w:line="312"/>
        <w:ind w:firstLine="0"/>
        <w:jc w:val="both"/>
      </w:pPr>
      <w:r>
        <w:rPr>
          <w:rFonts w:ascii="Calibri" w:eastAsia="Calibri"/>
          <w:color w:val="1F2937"/>
          <w:sz w:val="22"/>
          <w:szCs w:val="22"/>
        </w:rPr>
        <w:t xml:space="preserve">Decision: Every service that publishes events uses the Outbox pattern — in a single DB transaction, write the domain aggregate AND insert a row into the service's local outbox table; a separate worker reads the outbox and publishes to Kafka. Idempotent consumers deduplicate by event ID.</w:t>
      </w:r>
    </w:p>
    <w:p>
      <w:pPr>
        <w:spacing w:after="120" w:line="312"/>
        <w:ind w:firstLine="0"/>
        <w:jc w:val="both"/>
      </w:pPr>
      <w:r>
        <w:rPr>
          <w:rFonts w:ascii="Calibri" w:eastAsia="Calibri"/>
          <w:color w:val="1F2937"/>
          <w:sz w:val="22"/>
          <w:szCs w:val="22"/>
        </w:rPr>
        <w:t xml:space="preserve">Consequences: (+) Atomicity guarantee between DB state and event stream; (+) recoverable from any failure. (−) Adds an outbox table per service; (−) slight write-latency increase.</w:t>
      </w:r>
    </w:p>
    <w:p>
      <w:pPr>
        <w:pStyle w:val="Heading3"/>
        <w:spacing w:after="120" w:before="240" w:line="312"/>
      </w:pPr>
      <w:bookmarkStart w:id="100071" w:name="_Toc100071"/>
      <w:r>
        <w:rPr>
          <w:rFonts w:ascii="Calibri" w:eastAsia="Calibri"/>
          <w:b/>
          <w:bCs/>
          <w:color w:val="1A2B4A"/>
          <w:sz w:val="24"/>
          <w:szCs w:val="24"/>
        </w:rPr>
        <w:t xml:space="preserve">ADR-005 — Next.js PWA, No Native Apps in Phases 1–4</w:t>
      </w:r>
      <w:bookmarkEnd w:id="100071"/>
    </w:p>
    <w:p>
      <w:pPr>
        <w:spacing w:after="120" w:line="312"/>
        <w:ind w:firstLine="0"/>
        <w:jc w:val="both"/>
      </w:pPr>
      <w:r>
        <w:rPr>
          <w:rFonts w:ascii="Calibri" w:eastAsia="Calibri"/>
          <w:color w:val="1F2937"/>
          <w:sz w:val="22"/>
          <w:szCs w:val="22"/>
        </w:rPr>
        <w:t xml:space="preserve">Context: Persona coverage spans Kwame (desktop-required), Abena (mobile-first), and Ibrahim (mobile-only on 3G). Native iOS+Android require 2 separate codebases and App Store review cycles.</w:t>
      </w:r>
    </w:p>
    <w:p>
      <w:pPr>
        <w:spacing w:after="120" w:line="312"/>
        <w:ind w:firstLine="0"/>
        <w:jc w:val="both"/>
      </w:pPr>
      <w:r>
        <w:rPr>
          <w:rFonts w:ascii="Calibri" w:eastAsia="Calibri"/>
          <w:color w:val="1F2937"/>
          <w:sz w:val="22"/>
          <w:szCs w:val="22"/>
        </w:rPr>
        <w:t xml:space="preserve">Decision: Build entire member-facing UI as a Next.js PWA — server-rendered pages for first-paint performance on low-bandwidth connections; service worker for offline-tolerant document capture; responsive design with mobile-first patterns. Push notifications via Web Push API with SMS/WhatsApp fallback.</w:t>
      </w:r>
    </w:p>
    <w:p>
      <w:pPr>
        <w:spacing w:after="120" w:line="312"/>
        <w:ind w:firstLine="0"/>
        <w:jc w:val="both"/>
      </w:pPr>
      <w:r>
        <w:rPr>
          <w:rFonts w:ascii="Calibri" w:eastAsia="Calibri"/>
          <w:color w:val="1F2937"/>
          <w:sz w:val="22"/>
          <w:szCs w:val="22"/>
        </w:rPr>
        <w:t xml:space="preserve">Consequences: (+) Single codebase across desktop, tablet, mobile; (+) no App Store review cycles. (−) Some Tier 1 buyers may push back; mitigated by excellent PWA experience and API access for SAP integration.</w:t>
      </w:r>
    </w:p>
    <w:p>
      <w:pPr>
        <w:pStyle w:val="Heading1"/>
        <w:spacing w:after="240" w:before="480" w:line="312"/>
      </w:pPr>
      <w:bookmarkStart w:id="100072" w:name="_Toc100072"/>
      <w:r>
        <w:rPr>
          <w:rFonts w:ascii="Calibri" w:eastAsia="Calibri"/>
          <w:b/>
          <w:bCs/>
          <w:color w:val="1A2B4A"/>
          <w:sz w:val="36"/>
          <w:szCs w:val="36"/>
        </w:rPr>
        <w:t xml:space="preserve">Document 5 — User Flows &amp; System Flows</w:t>
      </w:r>
      <w:bookmarkEnd w:id="100072"/>
    </w:p>
    <w:p>
      <w:pPr>
        <w:spacing w:after="120" w:line="312"/>
        <w:ind w:firstLine="0"/>
        <w:jc w:val="both"/>
      </w:pPr>
      <w:r>
        <w:rPr>
          <w:rFonts w:ascii="Calibri" w:eastAsia="Calibri"/>
          <w:color w:val="1F2937"/>
          <w:sz w:val="22"/>
          <w:szCs w:val="22"/>
        </w:rPr>
        <w:t xml:space="preserve">This document describes how users move through the product (screen-by-screen flows with branches and edge cases) and how their actions translate into system behavior (requests across services, sequence diagrams, state transitions). Each user flow is mapped to its primary persona, journey stage, and backing API endpoints. Nine user flows and seven state machines are covered.</w:t>
      </w:r>
    </w:p>
    <w:p>
      <w:pPr>
        <w:pStyle w:val="Heading2"/>
        <w:spacing w:after="160" w:before="360" w:line="312"/>
      </w:pPr>
      <w:bookmarkStart w:id="100073" w:name="_Toc100073"/>
      <w:r>
        <w:rPr>
          <w:rFonts w:ascii="Calibri" w:eastAsia="Calibri"/>
          <w:b/>
          <w:bCs/>
          <w:color w:val="1A2B4A"/>
          <w:sz w:val="28"/>
          <w:szCs w:val="28"/>
        </w:rPr>
        <w:t xml:space="preserve">5.1 User Flows</w:t>
      </w:r>
      <w:bookmarkEnd w:id="100073"/>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gridCol w:w="100"/>
      </w:tblGrid>
      <w:tr>
        <w:trPr>
          <w:cantSplit/>
          <w:tblHeader/>
        </w:trPr>
        <w:tc>
          <w:tcPr>
            <w:tcW w:type="pct" w:w="8%"/>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w:t>
            </w:r>
          </w:p>
        </w:tc>
        <w:tc>
          <w:tcPr>
            <w:tcW w:type="pct" w:w="38%"/>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Flow</w:t>
            </w:r>
          </w:p>
        </w:tc>
        <w:tc>
          <w:tcPr>
            <w:tcW w:type="pct" w:w="27%"/>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Primary Persona</w:t>
            </w:r>
          </w:p>
        </w:tc>
        <w:tc>
          <w:tcPr>
            <w:tcW w:type="pct" w:w="27%"/>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Journey Stage</w:t>
            </w:r>
          </w:p>
        </w:tc>
      </w:tr>
      <w:tr>
        <w:trPr>
          <w:cantSplit/>
        </w:trPr>
        <w:tc>
          <w:tcPr>
            <w:tcW w:type="pct" w:w="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UF-01</w:t>
            </w:r>
          </w:p>
        </w:tc>
        <w:tc>
          <w:tcPr>
            <w:tcW w:type="pct" w:w="3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Member Onboarding</w:t>
            </w:r>
          </w:p>
        </w:tc>
        <w:tc>
          <w:tcPr>
            <w:tcW w:type="pct" w:w="27%"/>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Ibrahim, Abena, Kwame</w:t>
            </w:r>
          </w:p>
        </w:tc>
        <w:tc>
          <w:tcPr>
            <w:tcW w:type="pct" w:w="27%"/>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J1/2/3 Stage 1</w:t>
            </w:r>
          </w:p>
        </w:tc>
      </w:tr>
      <w:tr>
        <w:trPr>
          <w:cantSplit/>
        </w:trPr>
        <w:tc>
          <w:tcPr>
            <w:tcW w:type="pct" w:w="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UF-02</w:t>
            </w:r>
          </w:p>
        </w:tc>
        <w:tc>
          <w:tcPr>
            <w:tcW w:type="pct" w:w="3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Lot Creation &amp; Listing</w:t>
            </w:r>
          </w:p>
        </w:tc>
        <w:tc>
          <w:tcPr>
            <w:tcW w:type="pct" w:w="27%"/>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Ibrahim</w:t>
            </w:r>
          </w:p>
        </w:tc>
        <w:tc>
          <w:tcPr>
            <w:tcW w:type="pct" w:w="27%"/>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J3 Stage 2</w:t>
            </w:r>
          </w:p>
        </w:tc>
      </w:tr>
      <w:tr>
        <w:trPr>
          <w:cantSplit/>
        </w:trPr>
        <w:tc>
          <w:tcPr>
            <w:tcW w:type="pct" w:w="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UF-03</w:t>
            </w:r>
          </w:p>
        </w:tc>
        <w:tc>
          <w:tcPr>
            <w:tcW w:type="pct" w:w="3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RFQ Submission &amp; Negotiation</w:t>
            </w:r>
          </w:p>
        </w:tc>
        <w:tc>
          <w:tcPr>
            <w:tcW w:type="pct" w:w="27%"/>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Kwame, Abena</w:t>
            </w:r>
          </w:p>
        </w:tc>
        <w:tc>
          <w:tcPr>
            <w:tcW w:type="pct" w:w="27%"/>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J1/2 Stage 3</w:t>
            </w:r>
          </w:p>
        </w:tc>
      </w:tr>
      <w:tr>
        <w:trPr>
          <w:cantSplit/>
        </w:trPr>
        <w:tc>
          <w:tcPr>
            <w:tcW w:type="pct" w:w="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UF-04</w:t>
            </w:r>
          </w:p>
        </w:tc>
        <w:tc>
          <w:tcPr>
            <w:tcW w:type="pct" w:w="3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Auction (Timed, Reverse, Sealed-Bid)</w:t>
            </w:r>
          </w:p>
        </w:tc>
        <w:tc>
          <w:tcPr>
            <w:tcW w:type="pct" w:w="27%"/>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Kwame, Abena</w:t>
            </w:r>
          </w:p>
        </w:tc>
        <w:tc>
          <w:tcPr>
            <w:tcW w:type="pct" w:w="27%"/>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J1/2 Stage 3 (alt)</w:t>
            </w:r>
          </w:p>
        </w:tc>
      </w:tr>
      <w:tr>
        <w:trPr>
          <w:cantSplit/>
        </w:trPr>
        <w:tc>
          <w:tcPr>
            <w:tcW w:type="pct" w:w="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UF-05</w:t>
            </w:r>
          </w:p>
        </w:tc>
        <w:tc>
          <w:tcPr>
            <w:tcW w:type="pct" w:w="3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Escrow Funding &amp; Settlement</w:t>
            </w:r>
          </w:p>
        </w:tc>
        <w:tc>
          <w:tcPr>
            <w:tcW w:type="pct" w:w="27%"/>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Kwame, Abena, Ibrahim</w:t>
            </w:r>
          </w:p>
        </w:tc>
        <w:tc>
          <w:tcPr>
            <w:tcW w:type="pct" w:w="27%"/>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J1/2/3 Stage 4</w:t>
            </w:r>
          </w:p>
        </w:tc>
      </w:tr>
      <w:tr>
        <w:trPr>
          <w:cantSplit/>
        </w:trPr>
        <w:tc>
          <w:tcPr>
            <w:tcW w:type="pct" w:w="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UF-06</w:t>
            </w:r>
          </w:p>
        </w:tc>
        <w:tc>
          <w:tcPr>
            <w:tcW w:type="pct" w:w="3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Assay Request &amp; Certification</w:t>
            </w:r>
          </w:p>
        </w:tc>
        <w:tc>
          <w:tcPr>
            <w:tcW w:type="pct" w:w="27%"/>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Abena, Chamber</w:t>
            </w:r>
          </w:p>
        </w:tc>
        <w:tc>
          <w:tcPr>
            <w:tcW w:type="pct" w:w="27%"/>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J2 Stage 3</w:t>
            </w:r>
          </w:p>
        </w:tc>
      </w:tr>
      <w:tr>
        <w:trPr>
          <w:cantSplit/>
        </w:trPr>
        <w:tc>
          <w:tcPr>
            <w:tcW w:type="pct" w:w="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UF-07</w:t>
            </w:r>
          </w:p>
        </w:tc>
        <w:tc>
          <w:tcPr>
            <w:tcW w:type="pct" w:w="3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Export Documentation Bundle</w:t>
            </w:r>
          </w:p>
        </w:tc>
        <w:tc>
          <w:tcPr>
            <w:tcW w:type="pct" w:w="27%"/>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Abena</w:t>
            </w:r>
          </w:p>
        </w:tc>
        <w:tc>
          <w:tcPr>
            <w:tcW w:type="pct" w:w="27%"/>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J2 Stage 4</w:t>
            </w:r>
          </w:p>
        </w:tc>
      </w:tr>
      <w:tr>
        <w:trPr>
          <w:cantSplit/>
        </w:trPr>
        <w:tc>
          <w:tcPr>
            <w:tcW w:type="pct" w:w="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UF-08</w:t>
            </w:r>
          </w:p>
        </w:tc>
        <w:tc>
          <w:tcPr>
            <w:tcW w:type="pct" w:w="3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Compliance Investigation</w:t>
            </w:r>
          </w:p>
        </w:tc>
        <w:tc>
          <w:tcPr>
            <w:tcW w:type="pct" w:w="27%"/>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Efua</w:t>
            </w:r>
          </w:p>
        </w:tc>
        <w:tc>
          <w:tcPr>
            <w:tcW w:type="pct" w:w="27%"/>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J4 Stage 2</w:t>
            </w:r>
          </w:p>
        </w:tc>
      </w:tr>
      <w:tr>
        <w:trPr>
          <w:cantSplit/>
        </w:trPr>
        <w:tc>
          <w:tcPr>
            <w:tcW w:type="pct" w:w="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UF-09</w:t>
            </w:r>
          </w:p>
        </w:tc>
        <w:tc>
          <w:tcPr>
            <w:tcW w:type="pct" w:w="3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Dispute Resolution</w:t>
            </w:r>
          </w:p>
        </w:tc>
        <w:tc>
          <w:tcPr>
            <w:tcW w:type="pct" w:w="27%"/>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All</w:t>
            </w:r>
          </w:p>
        </w:tc>
        <w:tc>
          <w:tcPr>
            <w:tcW w:type="pct" w:w="27%"/>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Cross-journey</w:t>
            </w:r>
          </w:p>
        </w:tc>
      </w:tr>
    </w:tbl>
    <w:p>
      <w:pPr>
        <w:pStyle w:val="Heading2"/>
        <w:spacing w:after="160" w:before="360" w:line="312"/>
      </w:pPr>
      <w:bookmarkStart w:id="100074" w:name="_Toc100074"/>
      <w:r>
        <w:rPr>
          <w:rFonts w:ascii="Calibri" w:eastAsia="Calibri"/>
          <w:b/>
          <w:bCs/>
          <w:color w:val="1A2B4A"/>
          <w:sz w:val="28"/>
          <w:szCs w:val="28"/>
        </w:rPr>
        <w:t xml:space="preserve">5.2 UF-03 — RFQ Submission &amp; Negotiation (Detail)</w:t>
      </w:r>
      <w:bookmarkEnd w:id="100074"/>
    </w:p>
    <w:p>
      <w:pPr>
        <w:spacing w:after="120" w:line="312"/>
        <w:ind w:firstLine="0"/>
        <w:jc w:val="both"/>
      </w:pPr>
      <w:r>
        <w:rPr>
          <w:rFonts w:ascii="Calibri" w:eastAsia="Calibri"/>
          <w:color w:val="1F2937"/>
          <w:sz w:val="22"/>
          <w:szCs w:val="22"/>
        </w:rPr>
        <w:t xml:space="preserve">The buyer browses Lots or receives a Tier 1 priority alert. On the lot detail page, the buyer submits an RFQ with an asking price (Tier 1 priority) or a bid (Tier 2 open). The seller is notified via WhatsApp + SMS. The seller accepts, counters, or rejects. Counter-offers iterate (max 5 rounds). On acceptance, a Trade is created (status PENDING_ESCROW). Both parties are notified with escrow funding instructions.</w:t>
      </w:r>
    </w:p>
    <w:p>
      <w:pPr>
        <w:pStyle w:val="Heading3"/>
        <w:spacing w:after="120" w:before="240" w:line="312"/>
      </w:pPr>
      <w:bookmarkStart w:id="100075" w:name="_Toc100075"/>
      <w:r>
        <w:rPr>
          <w:rFonts w:ascii="Calibri" w:eastAsia="Calibri"/>
          <w:b/>
          <w:bCs/>
          <w:color w:val="1A2B4A"/>
          <w:sz w:val="24"/>
          <w:szCs w:val="24"/>
        </w:rPr>
        <w:t xml:space="preserve">Decision Points &amp; Edge Cases</w:t>
      </w:r>
      <w:bookmarkEnd w:id="100075"/>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Decision Point</w:t>
            </w:r>
          </w:p>
        </w:tc>
        <w:tc>
          <w:tcPr>
            <w:tcW w:type="pct" w:w="3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Logic</w:t>
            </w:r>
          </w:p>
        </w:tc>
        <w:tc>
          <w:tcPr>
            <w:tcW w:type="pct" w:w="3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UX Implication</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Tier 1 priority alert (4h exclusivity)</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Tier 1 buyers receive lot notifications 4h before Tier 2</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Prominent countdown timer in negotiation UI</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Counter-offer limits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Max 5 counter-offers per RFQ to prevent stalling</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Counter after 5th rejected: maximum reached message</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Auto-expiry</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RFQ expires 24h after creation if not accepted</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Seller sees countdown; buyer sees expires in X hours</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High-value trade threshold</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Trades &gt; US$100K require MFA re-authentication</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Please confirm MFA code to accept this trade above US$100,000</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Buyer not on seller's preferred panel</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Warning shown but trade permitted</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Subtle warning: This buyer is not on your preferred panel</w:t>
            </w:r>
          </w:p>
        </w:tc>
      </w:tr>
    </w:tbl>
    <w:p>
      <w:pPr>
        <w:pStyle w:val="Heading2"/>
        <w:spacing w:after="160" w:before="360" w:line="312"/>
      </w:pPr>
      <w:bookmarkStart w:id="100076" w:name="_Toc100076"/>
      <w:r>
        <w:rPr>
          <w:rFonts w:ascii="Calibri" w:eastAsia="Calibri"/>
          <w:b/>
          <w:bCs/>
          <w:color w:val="1A2B4A"/>
          <w:sz w:val="28"/>
          <w:szCs w:val="28"/>
        </w:rPr>
        <w:t xml:space="preserve">5.3 UF-05 — Escrow Funding &amp; Settlement (Detail)</w:t>
      </w:r>
      <w:bookmarkEnd w:id="100076"/>
    </w:p>
    <w:p>
      <w:pPr>
        <w:spacing w:after="120" w:line="312"/>
        <w:ind w:firstLine="0"/>
        <w:jc w:val="both"/>
      </w:pPr>
      <w:r>
        <w:rPr>
          <w:rFonts w:ascii="Calibri" w:eastAsia="Calibri"/>
          <w:color w:val="1F2937"/>
          <w:sz w:val="22"/>
          <w:szCs w:val="22"/>
        </w:rPr>
        <w:t xml:space="preserve">Trade is created (status PENDING_ESCROW). Buyer taps Fund Escrow. If bank account not pre-authorized, mini onboarding. Confirm funding amount + bank account last4. If amount &gt; US$100K, MFA challenge. POST /v1/trades/{id}/escrow/fund triggers bank adapter. Bank adapter calls partner bank API. On success, status FUNDED; both parties notified. Seller arranges armored transport via platform. Vault confirms receipt via operator API. Assay requested; certificate auto-attached. Title transfers on-platform. Escrow auto-released to seller bank account (or seller confirms receipt). Status SETTLED. Immutable audit entry + analytics event recorded.</w:t>
      </w:r>
    </w:p>
    <w:p>
      <w:pPr>
        <w:pStyle w:val="Heading3"/>
        <w:spacing w:after="120" w:before="240" w:line="312"/>
      </w:pPr>
      <w:bookmarkStart w:id="100077" w:name="_Toc100077"/>
      <w:r>
        <w:rPr>
          <w:rFonts w:ascii="Calibri" w:eastAsia="Calibri"/>
          <w:b/>
          <w:bCs/>
          <w:color w:val="1A2B4A"/>
          <w:sz w:val="24"/>
          <w:szCs w:val="24"/>
        </w:rPr>
        <w:t xml:space="preserve">Edge Cases</w:t>
      </w:r>
      <w:bookmarkEnd w:id="100077"/>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tblGrid>
      <w:tr>
        <w:trPr>
          <w:cantSplit/>
          <w:tblHeader/>
        </w:trPr>
        <w:tc>
          <w:tcPr>
            <w:tcW w:type="pct" w:w="3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Edge Case</w:t>
            </w:r>
          </w:p>
        </w:tc>
        <w:tc>
          <w:tcPr>
            <w:tcW w:type="pct" w:w="6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Handling</w:t>
            </w:r>
          </w:p>
        </w:tc>
      </w:tr>
      <w:tr>
        <w:trPr>
          <w:cantSplit/>
        </w:trPr>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Buyer's bank API is down</w:t>
            </w:r>
          </w:p>
        </w:tc>
        <w:tc>
          <w:tcPr>
            <w:tcW w:type="pct" w:w="6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Bank adapter falls back to secondary partner bank (Charter Risk R2 mitigation); if both down, escrow marked BANK_PENDING, retry every 30 min for 4 hours</w:t>
            </w:r>
          </w:p>
        </w:tc>
      </w:tr>
      <w:tr>
        <w:trPr>
          <w:cantSplit/>
        </w:trPr>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Vault receipt delayed &gt; 24h</w:t>
            </w:r>
          </w:p>
        </w:tc>
        <w:tc>
          <w:tcPr>
            <w:tcW w:type="pct" w:w="6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Auto-alert to Chamber ops + seller + buyer; investigation workflow triggered</w:t>
            </w:r>
          </w:p>
        </w:tc>
      </w:tr>
      <w:tr>
        <w:trPr>
          <w:cantSplit/>
        </w:trPr>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Assay result purity differs &gt; 0.5% from declared</w:t>
            </w:r>
          </w:p>
        </w:tc>
        <w:tc>
          <w:tcPr>
            <w:tcW w:type="pct" w:w="6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Auto-pause settlement; both parties notified; renegotiation workflow triggered</w:t>
            </w:r>
          </w:p>
        </w:tc>
      </w:tr>
      <w:tr>
        <w:trPr>
          <w:cantSplit/>
        </w:trPr>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Compliance hold placed during escrow</w:t>
            </w:r>
          </w:p>
        </w:tc>
        <w:tc>
          <w:tcPr>
            <w:tcW w:type="pct" w:w="6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Escrow status FROZEN; trade status COMPLIANCE_HOLD; only Compliance Officer can release</w:t>
            </w:r>
          </w:p>
        </w:tc>
      </w:tr>
      <w:tr>
        <w:trPr>
          <w:cantSplit/>
        </w:trPr>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Buyer disputes delivery (gold damaged/missing)</w:t>
            </w:r>
          </w:p>
        </w:tc>
        <w:tc>
          <w:tcPr>
            <w:tcW w:type="pct" w:w="6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 status DISPUTED; escrow held; dispute workflow UF-09 triggered</w:t>
            </w:r>
          </w:p>
        </w:tc>
      </w:tr>
    </w:tbl>
    <w:p>
      <w:pPr>
        <w:pStyle w:val="Heading2"/>
        <w:spacing w:after="160" w:before="360" w:line="312"/>
      </w:pPr>
      <w:bookmarkStart w:id="100078" w:name="_Toc100078"/>
      <w:r>
        <w:rPr>
          <w:rFonts w:ascii="Calibri" w:eastAsia="Calibri"/>
          <w:b/>
          <w:bCs/>
          <w:color w:val="1A2B4A"/>
          <w:sz w:val="28"/>
          <w:szCs w:val="28"/>
        </w:rPr>
        <w:t xml:space="preserve">5.4 Sequence Diagram — RFQ Submission to Escrow Funding</w:t>
      </w:r>
      <w:bookmarkEnd w:id="100078"/>
    </w:p>
    <w:p>
      <w:pPr>
        <w:spacing w:after="120" w:line="312"/>
        <w:ind w:firstLine="0"/>
        <w:jc w:val="both"/>
      </w:pPr>
      <w:r>
        <w:rPr>
          <w:rFonts w:ascii="Calibri" w:eastAsia="Calibri"/>
          <w:color w:val="1F2937"/>
          <w:sz w:val="22"/>
          <w:szCs w:val="22"/>
        </w:rPr>
        <w:t xml:space="preserve">Buyer (Kwame) submits RFQ via PWA → API Gateway → RFQ Engine. RFQ Engine validates eligibility, writes RFQ aggregate + outbox row, publishes event "rfq.submitted" to Kafka. Notification Service consumes event and notifies Seller (Ibrahim) via WhatsApp + SMS. Seller submits counter-offer via PWA → Negotiation Service → DB write → Kafka event → WebSocket push to Buyer in real-time. Buyer accepts → RFQ Engine creates Trade via Trade Service → DB write (Trade aggregate, status PENDING_ESCROW) + outbox → Kafka event "trade.created" → Notification Service notifies both parties with escrow funding instructions. Buyer funds escrow → Escrow Service writes Escrow aggregate (PENDING) + outbox → calls Bank Adapter → Bank API. Bank responds 202 Accepted (async webhook will confirm funding). Bank later calls webhook → Escrow Service updates status to FUNDED → Kafka event "escrow.funded" → notifications + audit log.</w:t>
      </w:r>
    </w:p>
    <w:p>
      <w:pPr>
        <w:pStyle w:val="Heading2"/>
        <w:spacing w:after="160" w:before="360" w:line="312"/>
      </w:pPr>
      <w:bookmarkStart w:id="100079" w:name="_Toc100079"/>
      <w:r>
        <w:rPr>
          <w:rFonts w:ascii="Calibri" w:eastAsia="Calibri"/>
          <w:b/>
          <w:bCs/>
          <w:color w:val="1A2B4A"/>
          <w:sz w:val="28"/>
          <w:szCs w:val="28"/>
        </w:rPr>
        <w:t xml:space="preserve">5.5 State Diagrams</w:t>
      </w:r>
      <w:bookmarkEnd w:id="100079"/>
    </w:p>
    <w:p>
      <w:pPr>
        <w:pStyle w:val="Heading3"/>
        <w:spacing w:after="120" w:before="240" w:line="312"/>
      </w:pPr>
      <w:bookmarkStart w:id="100080" w:name="_Toc100080"/>
      <w:r>
        <w:rPr>
          <w:rFonts w:ascii="Calibri" w:eastAsia="Calibri"/>
          <w:b/>
          <w:bCs/>
          <w:color w:val="1A2B4A"/>
          <w:sz w:val="24"/>
          <w:szCs w:val="24"/>
        </w:rPr>
        <w:t xml:space="preserve">Gold Lot State Machine</w:t>
      </w:r>
      <w:bookmarkEnd w:id="100080"/>
    </w:p>
    <w:p>
      <w:pPr>
        <w:spacing w:after="120" w:line="312"/>
        <w:ind w:firstLine="0"/>
        <w:jc w:val="both"/>
      </w:pPr>
      <w:r>
        <w:rPr>
          <w:rFonts w:ascii="Calibri" w:eastAsia="Calibri"/>
          <w:color w:val="1F2937"/>
          <w:sz w:val="22"/>
          <w:szCs w:val="22"/>
        </w:rPr>
        <w:t xml:space="preserve">Lot lifecycle: DRAFT → LISTED → UNDER_OFFER → IN_NEGOTIATION → IN_ESCROW → DELIVERED → SETTLED. Side states: EXPIRED (7 days no offers), CANCELLED (seller withdraws), DISPUTED (dispute opened). A lot can transition from DISPUTED back to SETTLED (release) or to CANCELLED (refund).</w:t>
      </w:r>
    </w:p>
    <w:p>
      <w:pPr>
        <w:pStyle w:val="Heading3"/>
        <w:spacing w:after="120" w:before="240" w:line="312"/>
      </w:pPr>
      <w:bookmarkStart w:id="100081" w:name="_Toc100081"/>
      <w:r>
        <w:rPr>
          <w:rFonts w:ascii="Calibri" w:eastAsia="Calibri"/>
          <w:b/>
          <w:bCs/>
          <w:color w:val="1A2B4A"/>
          <w:sz w:val="24"/>
          <w:szCs w:val="24"/>
        </w:rPr>
        <w:t xml:space="preserve">Trade State Machine</w:t>
      </w:r>
      <w:bookmarkEnd w:id="100081"/>
    </w:p>
    <w:p>
      <w:pPr>
        <w:spacing w:after="120" w:line="312"/>
        <w:ind w:firstLine="0"/>
        <w:jc w:val="both"/>
      </w:pPr>
      <w:r>
        <w:rPr>
          <w:rFonts w:ascii="Calibri" w:eastAsia="Calibri"/>
          <w:color w:val="1F2937"/>
          <w:sz w:val="22"/>
          <w:szCs w:val="22"/>
        </w:rPr>
        <w:t xml:space="preserve">Trade lifecycle: PENDING_ESCROW → ESCROW_FUNDED → DELIVERED → ASSAYED → TITLE_TRANSFERRED → SETTLED. Side states: CANCELLED (buyer fails to fund within 24h), COMPLIANCE_HOLD (compliance freeze), DISPUTED. From COMPLIANCE_HOLD, can return to ESCROW_FUNDED (cleared) or transition to CANCELLED (refund). From DISPUTED, can transition to SETTLED (release) or CANCELLED (refund).</w:t>
      </w:r>
    </w:p>
    <w:p>
      <w:pPr>
        <w:pStyle w:val="Heading3"/>
        <w:spacing w:after="120" w:before="240" w:line="312"/>
      </w:pPr>
      <w:bookmarkStart w:id="100082" w:name="_Toc100082"/>
      <w:r>
        <w:rPr>
          <w:rFonts w:ascii="Calibri" w:eastAsia="Calibri"/>
          <w:b/>
          <w:bCs/>
          <w:color w:val="1A2B4A"/>
          <w:sz w:val="24"/>
          <w:szCs w:val="24"/>
        </w:rPr>
        <w:t xml:space="preserve">Auction State Machine</w:t>
      </w:r>
      <w:bookmarkEnd w:id="100082"/>
    </w:p>
    <w:p>
      <w:pPr>
        <w:spacing w:after="120" w:line="312"/>
        <w:ind w:firstLine="0"/>
        <w:jc w:val="both"/>
      </w:pPr>
      <w:r>
        <w:rPr>
          <w:rFonts w:ascii="Calibri" w:eastAsia="Calibri"/>
          <w:color w:val="1F2937"/>
          <w:sz w:val="22"/>
          <w:szCs w:val="22"/>
        </w:rPr>
        <w:t xml:space="preserve">Auction lifecycle: SCHEDULED → LIVE → CLOSED → AWARDED → TRADE_CREATED. Side states: NO_SALE (reserve not met), CANCELLED (seller cancels with penalty), DISPUTED (winner fails to fund).</w:t>
      </w:r>
    </w:p>
    <w:p>
      <w:pPr>
        <w:pStyle w:val="Heading3"/>
        <w:spacing w:after="120" w:before="240" w:line="312"/>
      </w:pPr>
      <w:bookmarkStart w:id="100083" w:name="_Toc100083"/>
      <w:r>
        <w:rPr>
          <w:rFonts w:ascii="Calibri" w:eastAsia="Calibri"/>
          <w:b/>
          <w:bCs/>
          <w:color w:val="1A2B4A"/>
          <w:sz w:val="24"/>
          <w:szCs w:val="24"/>
        </w:rPr>
        <w:t xml:space="preserve">Escrow State Machine</w:t>
      </w:r>
      <w:bookmarkEnd w:id="100083"/>
    </w:p>
    <w:p>
      <w:pPr>
        <w:spacing w:after="120" w:line="312"/>
        <w:ind w:firstLine="0"/>
        <w:jc w:val="both"/>
      </w:pPr>
      <w:r>
        <w:rPr>
          <w:rFonts w:ascii="Calibri" w:eastAsia="Calibri"/>
          <w:color w:val="1F2937"/>
          <w:sz w:val="22"/>
          <w:szCs w:val="22"/>
        </w:rPr>
        <w:t xml:space="preserve">Escrow lifecycle: PENDING → FUNDED → RELEASED_TO_SELLER (or REFUNDED_TO_BUYER). Side states: FAILED (bank rejects funding), EXPIRED (24h no funding), FROZEN (compliance hold). From FROZEN, can transition to RELEASED_TO_SELLER (cleared) or REFUNDED_TO_BUYER (escalation to refund).</w:t>
      </w:r>
    </w:p>
    <w:p>
      <w:pPr>
        <w:pStyle w:val="Heading3"/>
        <w:spacing w:after="120" w:before="240" w:line="312"/>
      </w:pPr>
      <w:bookmarkStart w:id="100084" w:name="_Toc100084"/>
      <w:r>
        <w:rPr>
          <w:rFonts w:ascii="Calibri" w:eastAsia="Calibri"/>
          <w:b/>
          <w:bCs/>
          <w:color w:val="1A2B4A"/>
          <w:sz w:val="24"/>
          <w:szCs w:val="24"/>
        </w:rPr>
        <w:t xml:space="preserve">Compliance Alert State Machine</w:t>
      </w:r>
      <w:bookmarkEnd w:id="100084"/>
    </w:p>
    <w:p>
      <w:pPr>
        <w:spacing w:after="120" w:line="312"/>
        <w:ind w:firstLine="0"/>
        <w:jc w:val="both"/>
      </w:pPr>
      <w:r>
        <w:rPr>
          <w:rFonts w:ascii="Calibri" w:eastAsia="Calibri"/>
          <w:color w:val="1F2937"/>
          <w:sz w:val="22"/>
          <w:szCs w:val="22"/>
        </w:rPr>
        <w:t xml:space="preserve">Alert lifecycle: OPEN → INVESTIGATING → ESCALATED → FILED_SAR → MONITORED → CLEARED. Side transitions: INVESTIGATING → CLEARED (false positive); ESCALATED → CLEARED (council dismisses); MONITORED → ESCALATED (new pattern detected).</w:t>
      </w:r>
    </w:p>
    <w:p>
      <w:pPr>
        <w:pStyle w:val="Heading1"/>
        <w:spacing w:after="240" w:before="480" w:line="312"/>
      </w:pPr>
      <w:bookmarkStart w:id="100085" w:name="_Toc100085"/>
      <w:r>
        <w:rPr>
          <w:rFonts w:ascii="Calibri" w:eastAsia="Calibri"/>
          <w:b/>
          <w:bCs/>
          <w:color w:val="1A2B4A"/>
          <w:sz w:val="36"/>
          <w:szCs w:val="36"/>
        </w:rPr>
        <w:t xml:space="preserve">Document 6 — Development &amp; Operations Documentation</w:t>
      </w:r>
      <w:bookmarkEnd w:id="100085"/>
    </w:p>
    <w:p>
      <w:pPr>
        <w:spacing w:after="120" w:line="312"/>
        <w:ind w:firstLine="0"/>
        <w:jc w:val="both"/>
      </w:pPr>
      <w:r>
        <w:rPr>
          <w:rFonts w:ascii="Calibri" w:eastAsia="Calibri"/>
          <w:color w:val="1F2937"/>
          <w:sz w:val="22"/>
          <w:szCs w:val="22"/>
        </w:rPr>
        <w:t xml:space="preserve">This document is the engineering how-to: README template, environment variables, coding standards, deployment runbook, CI/CD pipeline documentation, monitoring and alerting, and disaster recovery. It is written for engineers joining the project and for SREs operating the platform in production.</w:t>
      </w:r>
    </w:p>
    <w:p>
      <w:pPr>
        <w:pStyle w:val="Heading2"/>
        <w:spacing w:after="160" w:before="360" w:line="312"/>
      </w:pPr>
      <w:bookmarkStart w:id="100086" w:name="_Toc100086"/>
      <w:r>
        <w:rPr>
          <w:rFonts w:ascii="Calibri" w:eastAsia="Calibri"/>
          <w:b/>
          <w:bCs/>
          <w:color w:val="1A2B4A"/>
          <w:sz w:val="28"/>
          <w:szCs w:val="28"/>
        </w:rPr>
        <w:t xml:space="preserve">6.1 Repository Structure</w:t>
      </w:r>
      <w:bookmarkEnd w:id="100086"/>
    </w:p>
    <w:p>
      <w:pPr>
        <w:spacing w:after="120" w:line="312"/>
        <w:ind w:firstLine="0"/>
        <w:jc w:val="both"/>
      </w:pPr>
      <w:r>
        <w:rPr>
          <w:rFonts w:ascii="Calibri" w:eastAsia="Calibri"/>
          <w:color w:val="1F2937"/>
          <w:sz w:val="22"/>
          <w:szCs w:val="22"/>
        </w:rPr>
        <w:t xml:space="preserve">The platform is a pnpm monorepo managed by Turborepo. Apps (portal, admin, marketing) live under /apps; NestJS services live under /services; shared packages (types, config, UI, domain primitives, test utils) live under /packages; infrastructure (Terraform, Helm, Argo CD manifests) lives under /infra; documentation (OpenAPI specs, ADRs, runbooks) lives under /docs. Each service is independently deployable and owns its own data.</w:t>
      </w:r>
    </w:p>
    <w:p>
      <w:pPr>
        <w:pStyle w:val="Heading2"/>
        <w:spacing w:after="160" w:before="360" w:line="312"/>
      </w:pPr>
      <w:bookmarkStart w:id="100087" w:name="_Toc100087"/>
      <w:r>
        <w:rPr>
          <w:rFonts w:ascii="Calibri" w:eastAsia="Calibri"/>
          <w:b/>
          <w:bCs/>
          <w:color w:val="1A2B4A"/>
          <w:sz w:val="28"/>
          <w:szCs w:val="28"/>
        </w:rPr>
        <w:t xml:space="preserve">6.2 Environment Variables (Selected)</w:t>
      </w:r>
      <w:bookmarkEnd w:id="100087"/>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gridCol w:w="100"/>
      </w:tblGrid>
      <w:tr>
        <w:trPr>
          <w:cantSplit/>
          <w:tblHeader/>
        </w:trPr>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Variable</w:t>
            </w:r>
          </w:p>
        </w:tc>
        <w:tc>
          <w:tcPr>
            <w:tcW w:type="pct" w:w="1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Required</w:t>
            </w:r>
          </w:p>
        </w:tc>
        <w:tc>
          <w:tcPr>
            <w:tcW w:type="pct" w:w="3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Description</w:t>
            </w:r>
          </w:p>
        </w:tc>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Source</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NODE_ENV</w:t>
            </w:r>
          </w:p>
        </w:tc>
        <w:tc>
          <w:tcPr>
            <w:tcW w:type="pct" w:w="1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Yes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development | staging | production</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Deployment env</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DATABASE_URL</w:t>
            </w:r>
          </w:p>
        </w:tc>
        <w:tc>
          <w:tcPr>
            <w:tcW w:type="pct" w:w="1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Yes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PostgreSQL connection string</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Secrets Manager: aurumx/{env}/db/master</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REDIS_URL</w:t>
            </w:r>
          </w:p>
        </w:tc>
        <w:tc>
          <w:tcPr>
            <w:tcW w:type="pct" w:w="1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Yes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Redis cluster URL</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Secrets Manager: aurumx/{env}/redis</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KAFKA_BROKERS</w:t>
            </w:r>
          </w:p>
        </w:tc>
        <w:tc>
          <w:tcPr>
            <w:tcW w:type="pct" w:w="1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Yes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Comma-separated Kafka broker list</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Secrets Manager: aurumx/{env}/kafka</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S3_DOCUMENTS_BUCKET</w:t>
            </w:r>
          </w:p>
        </w:tc>
        <w:tc>
          <w:tcPr>
            <w:tcW w:type="pct" w:w="1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Yes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Bucket for KYC docs, contracts, assay certs</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aurumx-{env}-documents-{region}</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AWS_REGION</w:t>
            </w:r>
          </w:p>
        </w:tc>
        <w:tc>
          <w:tcPr>
            <w:tcW w:type="pct" w:w="1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Yes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region (af-west-1 prod / eu-west-1 DR)</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Config</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JWKS_URI</w:t>
            </w:r>
          </w:p>
        </w:tc>
        <w:tc>
          <w:tcPr>
            <w:tcW w:type="pct" w:w="1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Yes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Auth0 JWKS endpoint</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{JWT_ISSUER}.well-known/jwks.json</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DATADOG_API_KEY</w:t>
            </w:r>
          </w:p>
        </w:tc>
        <w:tc>
          <w:tcPr>
            <w:tcW w:type="pct" w:w="1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Yes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Datadog ingestion key</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Secrets Manager: aurumx/{env}/datadog</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SENTRY_DSN</w:t>
            </w:r>
          </w:p>
        </w:tc>
        <w:tc>
          <w:tcPr>
            <w:tcW w:type="pct" w:w="1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Yes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Sentry project DSN</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Secrets Manager: aurumx/{env}/sentry</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STANBIC_API_KEY</w:t>
            </w:r>
          </w:p>
        </w:tc>
        <w:tc>
          <w:tcPr>
            <w:tcW w:type="pct" w:w="1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Yes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Stanbank escrow API key</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Secrets Manager: aurumx/{env}/bank/stanbic</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PMMC_API_KEY</w:t>
            </w:r>
          </w:p>
        </w:tc>
        <w:tc>
          <w:tcPr>
            <w:tcW w:type="pct" w:w="1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Yes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PMMC export permit API</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Secrets Manager: aurumx/{env}/pmmc</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BOG_FX_API_KEY</w:t>
            </w:r>
          </w:p>
        </w:tc>
        <w:tc>
          <w:tcPr>
            <w:tcW w:type="pct" w:w="1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Yes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Bank of Ghana FX approval API</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Secrets Manager: aurumx/{env}/bog-fx</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TWILIO_AUTH_TOKEN</w:t>
            </w:r>
          </w:p>
        </w:tc>
        <w:tc>
          <w:tcPr>
            <w:tcW w:type="pct" w:w="1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Yes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Twilio WhatsApp + SMS</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Secrets Manager: aurumx/{env}/twilio</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AUDIT_LOG_HASH_CHAIN_SALT</w:t>
            </w:r>
          </w:p>
        </w:tc>
        <w:tc>
          <w:tcPr>
            <w:tcW w:type="pct" w:w="1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Yes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Per-env salt for hash anchoring</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Secrets Manager — read denied to SRE</w:t>
            </w:r>
          </w:p>
        </w:tc>
      </w:tr>
    </w:tbl>
    <w:p>
      <w:pPr>
        <w:pStyle w:val="Heading2"/>
        <w:spacing w:after="160" w:before="360" w:line="312"/>
      </w:pPr>
      <w:bookmarkStart w:id="100088" w:name="_Toc100088"/>
      <w:r>
        <w:rPr>
          <w:rFonts w:ascii="Calibri" w:eastAsia="Calibri"/>
          <w:b/>
          <w:bCs/>
          <w:color w:val="1A2B4A"/>
          <w:sz w:val="28"/>
          <w:szCs w:val="28"/>
        </w:rPr>
        <w:t xml:space="preserve">6.3 Coding Standards</w:t>
      </w:r>
      <w:bookmarkEnd w:id="100088"/>
    </w:p>
    <w:p>
      <w:pPr>
        <w:pStyle w:val="Heading3"/>
        <w:spacing w:after="120" w:before="240" w:line="312"/>
      </w:pPr>
      <w:bookmarkStart w:id="100089" w:name="_Toc100089"/>
      <w:r>
        <w:rPr>
          <w:rFonts w:ascii="Calibri" w:eastAsia="Calibri"/>
          <w:b/>
          <w:bCs/>
          <w:color w:val="1A2B4A"/>
          <w:sz w:val="24"/>
          <w:szCs w:val="24"/>
        </w:rPr>
        <w:t xml:space="preserve">Naming Conventions</w:t>
      </w:r>
      <w:bookmarkEnd w:id="100089"/>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Element</w:t>
            </w:r>
          </w:p>
        </w:tc>
        <w:tc>
          <w:tcPr>
            <w:tcW w:type="pct" w:w="3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Convention</w:t>
            </w:r>
          </w:p>
        </w:tc>
        <w:tc>
          <w:tcPr>
            <w:tcW w:type="pct" w:w="4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Example</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Files (TypeScript)</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kebab-case.ts</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bank-adapter.ts</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Folders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kebab-case</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services/escrow/</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Classes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PascalCase</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TradeService, EscrowAggregate</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Interfaces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PascalCase, no I prefix</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EscrowProvider</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Functions / methods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camelCase</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fundEscrow(), validateKyc()</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Variables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camelCase</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tradeId, sellerOrgId</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Constants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UPPER_SNAKE_CASE</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MAX_NEGOTIATION_ROUNDS = 5</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Database tables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snake_case, plural</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organizations, gold_lots</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Database columns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snake_case</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seller_org_id, created_at</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Kafka topics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&lt;domain&gt;.&lt;event-type&gt;.v&lt;n&gt;</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trade.created.v1</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API paths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kebab-case, plural nouns</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/v1/gold-lots</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JSON fields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camelCase</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sellerOrgId, tradeId</w:t>
            </w:r>
          </w:p>
        </w:tc>
      </w:tr>
    </w:tbl>
    <w:p>
      <w:pPr>
        <w:pStyle w:val="Heading3"/>
        <w:spacing w:after="120" w:before="240" w:line="312"/>
      </w:pPr>
      <w:bookmarkStart w:id="100090" w:name="_Toc100090"/>
      <w:r>
        <w:rPr>
          <w:rFonts w:ascii="Calibri" w:eastAsia="Calibri"/>
          <w:b/>
          <w:bCs/>
          <w:color w:val="1A2B4A"/>
          <w:sz w:val="24"/>
          <w:szCs w:val="24"/>
        </w:rPr>
        <w:t xml:space="preserve">Git Branching — Trunk-Based Development</w:t>
      </w:r>
      <w:bookmarkEnd w:id="100090"/>
    </w:p>
    <w:p>
      <w:pPr>
        <w:spacing w:after="120" w:line="312"/>
        <w:ind w:firstLine="0"/>
        <w:jc w:val="both"/>
      </w:pPr>
      <w:r>
        <w:rPr>
          <w:rFonts w:ascii="Calibri" w:eastAsia="Calibri"/>
          <w:color w:val="1F2937"/>
          <w:sz w:val="22"/>
          <w:szCs w:val="22"/>
        </w:rPr>
        <w:t xml:space="preserve">Trunk-based development with short-lived feature branches: branch from main with naming &lt;type&gt;/&lt;scope&gt;-&lt;short-desc&gt;; open PR against main; require 2 reviewers (Security &amp; Compliance Engineer required for security-sensitive paths: services/escrow/**, services/compliance/**, services/audit-log/**, infra/terraform/**); CI must pass (lint, typecheck, unit, integration, e2e smoke, SAST, dependency scan, Terraform plan); squash-and-merge to main with Conventional Commit message; delete feature branch after merge.</w:t>
      </w:r>
    </w:p>
    <w:p>
      <w:pPr>
        <w:pStyle w:val="Heading3"/>
        <w:spacing w:after="120" w:before="240" w:line="312"/>
      </w:pPr>
      <w:bookmarkStart w:id="100091" w:name="_Toc100091"/>
      <w:r>
        <w:rPr>
          <w:rFonts w:ascii="Calibri" w:eastAsia="Calibri"/>
          <w:b/>
          <w:bCs/>
          <w:color w:val="1A2B4A"/>
          <w:sz w:val="24"/>
          <w:szCs w:val="24"/>
        </w:rPr>
        <w:t xml:space="preserve">Code Review Checklist</w:t>
      </w:r>
      <w:bookmarkEnd w:id="100091"/>
    </w:p>
    <w:p>
      <w:pPr>
        <w:pStyle w:val="ListParagraph"/>
        <w:numPr>
          <w:ilvl w:val="0"/>
          <w:numId w:val="1"/>
        </w:numPr>
        <w:spacing w:after="80" w:line="312"/>
      </w:pPr>
      <w:r>
        <w:rPr>
          <w:rFonts w:ascii="Calibri" w:eastAsia="Calibri"/>
          <w:color w:val="1F2937"/>
          <w:sz w:val="22"/>
          <w:szCs w:val="22"/>
        </w:rPr>
        <w:t xml:space="preserve">Functionality: does the change do what the PR says? Are edge cases covered?</w:t>
      </w:r>
    </w:p>
    <w:p>
      <w:pPr>
        <w:pStyle w:val="ListParagraph"/>
        <w:numPr>
          <w:ilvl w:val="0"/>
          <w:numId w:val="1"/>
        </w:numPr>
        <w:spacing w:after="80" w:line="312"/>
      </w:pPr>
      <w:r>
        <w:rPr>
          <w:rFonts w:ascii="Calibri" w:eastAsia="Calibri"/>
          <w:color w:val="1F2937"/>
          <w:sz w:val="22"/>
          <w:szCs w:val="22"/>
        </w:rPr>
        <w:t xml:space="preserve">Tests: are unit + integration tests added? Do they exercise the new behavior?</w:t>
      </w:r>
    </w:p>
    <w:p>
      <w:pPr>
        <w:pStyle w:val="ListParagraph"/>
        <w:numPr>
          <w:ilvl w:val="0"/>
          <w:numId w:val="1"/>
        </w:numPr>
        <w:spacing w:after="80" w:line="312"/>
      </w:pPr>
      <w:r>
        <w:rPr>
          <w:rFonts w:ascii="Calibri" w:eastAsia="Calibri"/>
          <w:color w:val="1F2937"/>
          <w:sz w:val="22"/>
          <w:szCs w:val="22"/>
        </w:rPr>
        <w:t xml:space="preserve">Architecture: respects service boundaries (Doc 4 §2.4)? No cross-service DB access?</w:t>
      </w:r>
    </w:p>
    <w:p>
      <w:pPr>
        <w:pStyle w:val="ListParagraph"/>
        <w:numPr>
          <w:ilvl w:val="0"/>
          <w:numId w:val="1"/>
        </w:numPr>
        <w:spacing w:after="80" w:line="312"/>
      </w:pPr>
      <w:r>
        <w:rPr>
          <w:rFonts w:ascii="Calibri" w:eastAsia="Calibri"/>
          <w:color w:val="1F2937"/>
          <w:sz w:val="22"/>
          <w:szCs w:val="22"/>
        </w:rPr>
        <w:t xml:space="preserve">API contracts: if endpoints changed, OpenAPI spec updated? Breaking changes flagged?</w:t>
      </w:r>
    </w:p>
    <w:p>
      <w:pPr>
        <w:pStyle w:val="ListParagraph"/>
        <w:numPr>
          <w:ilvl w:val="0"/>
          <w:numId w:val="1"/>
        </w:numPr>
        <w:spacing w:after="80" w:line="312"/>
      </w:pPr>
      <w:r>
        <w:rPr>
          <w:rFonts w:ascii="Calibri" w:eastAsia="Calibri"/>
          <w:color w:val="1F2937"/>
          <w:sz w:val="22"/>
          <w:szCs w:val="22"/>
        </w:rPr>
        <w:t xml:space="preserve">Data model: if schema changed, is there a backward-compatible migration?</w:t>
      </w:r>
    </w:p>
    <w:p>
      <w:pPr>
        <w:pStyle w:val="ListParagraph"/>
        <w:numPr>
          <w:ilvl w:val="0"/>
          <w:numId w:val="1"/>
        </w:numPr>
        <w:spacing w:after="80" w:line="312"/>
      </w:pPr>
      <w:r>
        <w:rPr>
          <w:rFonts w:ascii="Calibri" w:eastAsia="Calibri"/>
          <w:color w:val="1F2937"/>
          <w:sz w:val="22"/>
          <w:szCs w:val="22"/>
        </w:rPr>
        <w:t xml:space="preserve">Idempotency: if endpoint has side effects, does it use Idempotency-Key?</w:t>
      </w:r>
    </w:p>
    <w:p>
      <w:pPr>
        <w:pStyle w:val="ListParagraph"/>
        <w:numPr>
          <w:ilvl w:val="0"/>
          <w:numId w:val="1"/>
        </w:numPr>
        <w:spacing w:after="80" w:line="312"/>
      </w:pPr>
      <w:r>
        <w:rPr>
          <w:rFonts w:ascii="Calibri" w:eastAsia="Calibri"/>
          <w:color w:val="1F2937"/>
          <w:sz w:val="22"/>
          <w:szCs w:val="22"/>
        </w:rPr>
        <w:t xml:space="preserve">Security: no secrets? No SQL injection? RBAC enforced? Input validated?</w:t>
      </w:r>
    </w:p>
    <w:p>
      <w:pPr>
        <w:pStyle w:val="ListParagraph"/>
        <w:numPr>
          <w:ilvl w:val="0"/>
          <w:numId w:val="1"/>
        </w:numPr>
        <w:spacing w:after="80" w:line="312"/>
      </w:pPr>
      <w:r>
        <w:rPr>
          <w:rFonts w:ascii="Calibri" w:eastAsia="Calibri"/>
          <w:color w:val="1F2937"/>
          <w:sz w:val="22"/>
          <w:szCs w:val="22"/>
        </w:rPr>
        <w:t xml:space="preserve">Observability: structured logs? Metrics emitted? Traces propagated?</w:t>
      </w:r>
    </w:p>
    <w:p>
      <w:pPr>
        <w:pStyle w:val="ListParagraph"/>
        <w:numPr>
          <w:ilvl w:val="0"/>
          <w:numId w:val="1"/>
        </w:numPr>
        <w:spacing w:after="80" w:line="312"/>
      </w:pPr>
      <w:r>
        <w:rPr>
          <w:rFonts w:ascii="Calibri" w:eastAsia="Calibri"/>
          <w:color w:val="1F2937"/>
          <w:sz w:val="22"/>
          <w:szCs w:val="22"/>
        </w:rPr>
        <w:t xml:space="preserve">Performance: no N+1 queries? No unbounded result sets?</w:t>
      </w:r>
    </w:p>
    <w:p>
      <w:pPr>
        <w:pStyle w:val="ListParagraph"/>
        <w:numPr>
          <w:ilvl w:val="0"/>
          <w:numId w:val="1"/>
        </w:numPr>
        <w:spacing w:after="80" w:line="312"/>
      </w:pPr>
      <w:r>
        <w:rPr>
          <w:rFonts w:ascii="Calibri" w:eastAsia="Calibri"/>
          <w:color w:val="1F2937"/>
          <w:sz w:val="22"/>
          <w:szCs w:val="22"/>
        </w:rPr>
        <w:t xml:space="preserve">Error handling: domain errors used? RFC 7807 format? No leaked stack traces?</w:t>
      </w:r>
    </w:p>
    <w:p>
      <w:pPr>
        <w:pStyle w:val="Heading2"/>
        <w:spacing w:after="160" w:before="360" w:line="312"/>
      </w:pPr>
      <w:bookmarkStart w:id="100092" w:name="_Toc100092"/>
      <w:r>
        <w:rPr>
          <w:rFonts w:ascii="Calibri" w:eastAsia="Calibri"/>
          <w:b/>
          <w:bCs/>
          <w:color w:val="1A2B4A"/>
          <w:sz w:val="28"/>
          <w:szCs w:val="28"/>
        </w:rPr>
        <w:t xml:space="preserve">6.4 Deployment Runbook</w:t>
      </w:r>
      <w:bookmarkEnd w:id="100092"/>
    </w:p>
    <w:p>
      <w:pPr>
        <w:pStyle w:val="Heading3"/>
        <w:spacing w:after="120" w:before="240" w:line="312"/>
      </w:pPr>
      <w:bookmarkStart w:id="100093" w:name="_Toc100093"/>
      <w:r>
        <w:rPr>
          <w:rFonts w:ascii="Calibri" w:eastAsia="Calibri"/>
          <w:b/>
          <w:bCs/>
          <w:color w:val="1A2B4A"/>
          <w:sz w:val="24"/>
          <w:szCs w:val="24"/>
        </w:rPr>
        <w:t xml:space="preserve">Environments</w:t>
      </w:r>
      <w:bookmarkEnd w:id="100093"/>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gridCol w:w="100"/>
      </w:tblGrid>
      <w:tr>
        <w:trPr>
          <w:cantSplit/>
          <w:tblHeader/>
        </w:trPr>
        <w:tc>
          <w:tcPr>
            <w:tcW w:type="pct" w:w="1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Environment</w:t>
            </w:r>
          </w:p>
        </w:tc>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Purpose</w:t>
            </w:r>
          </w:p>
        </w:tc>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AWS Account</w:t>
            </w:r>
          </w:p>
        </w:tc>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Region</w:t>
            </w:r>
          </w:p>
        </w:tc>
      </w:tr>
      <w:tr>
        <w:trPr>
          <w:cantSplit/>
        </w:trPr>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dev (local)</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Engineer local dev</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N/A</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N/A</w:t>
            </w:r>
          </w:p>
        </w:tc>
      </w:tr>
      <w:tr>
        <w:trPr>
          <w:cantSplit/>
        </w:trPr>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staging</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Pre-prod, UAT</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aurumx-staging</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af-west-1</w:t>
            </w:r>
          </w:p>
        </w:tc>
      </w:tr>
      <w:tr>
        <w:trPr>
          <w:cantSplit/>
        </w:trPr>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prod</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Production</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aurumx-prod</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af-west-1 (primary), eu-west-1 (DR)</w:t>
            </w:r>
          </w:p>
        </w:tc>
      </w:tr>
    </w:tbl>
    <w:p>
      <w:pPr>
        <w:pStyle w:val="Heading3"/>
        <w:spacing w:after="120" w:before="240" w:line="312"/>
      </w:pPr>
      <w:bookmarkStart w:id="100094" w:name="_Toc100094"/>
      <w:r>
        <w:rPr>
          <w:rFonts w:ascii="Calibri" w:eastAsia="Calibri"/>
          <w:b/>
          <w:bCs/>
          <w:color w:val="1A2B4A"/>
          <w:sz w:val="24"/>
          <w:szCs w:val="24"/>
        </w:rPr>
        <w:t xml:space="preserve">Deploy to Production (Manual Approval Required)</w:t>
      </w:r>
      <w:bookmarkEnd w:id="100094"/>
    </w:p>
    <w:p>
      <w:pPr>
        <w:spacing w:after="120" w:line="312"/>
        <w:ind w:firstLine="0"/>
        <w:jc w:val="both"/>
      </w:pPr>
      <w:r>
        <w:rPr>
          <w:rFonts w:ascii="Calibri" w:eastAsia="Calibri"/>
          <w:color w:val="1F2937"/>
          <w:sz w:val="22"/>
          <w:szCs w:val="22"/>
        </w:rPr>
        <w:t xml:space="preserve">Production deploys require Change Advisory Board approval. Process: (1) Create release tag (e.g., v1.4.0); (2) GitHub Actions workflow builds container images, pushes to ECR, updates Helm values in infra/argocd/prod/, opens PR to argocd-config repo; (3) After PR approval + merge, Argo CD syncs to prod with rolling update (3-replica min, maxSurge=1, maxUnavailable=0); (4) Health checks (readiness probe) gate rollout; auto-rollback if rollout exceeds 5 min or readiness fails; (5) Post-deploy verification via Datadog APM error-rate check, Datadog Synthetics, and Playwright smoke tests against prod URL.</w:t>
      </w:r>
    </w:p>
    <w:p>
      <w:pPr>
        <w:pStyle w:val="Heading3"/>
        <w:spacing w:after="120" w:before="240" w:line="312"/>
      </w:pPr>
      <w:bookmarkStart w:id="100095" w:name="_Toc100095"/>
      <w:r>
        <w:rPr>
          <w:rFonts w:ascii="Calibri" w:eastAsia="Calibri"/>
          <w:b/>
          <w:bCs/>
          <w:color w:val="1A2B4A"/>
          <w:sz w:val="24"/>
          <w:szCs w:val="24"/>
        </w:rPr>
        <w:t xml:space="preserve">Rollback Procedure</w:t>
      </w:r>
      <w:bookmarkEnd w:id="100095"/>
    </w:p>
    <w:p>
      <w:pPr>
        <w:spacing w:after="120" w:line="312"/>
        <w:ind w:firstLine="0"/>
        <w:jc w:val="both"/>
      </w:pPr>
      <w:r>
        <w:rPr>
          <w:rFonts w:ascii="Calibri" w:eastAsia="Calibri"/>
          <w:color w:val="1F2937"/>
          <w:sz w:val="22"/>
          <w:szCs w:val="22"/>
        </w:rPr>
        <w:t xml:space="preserve">Application rollback: Argo CD rollback to previous revision, or revert the PR that updated Helm values and let Argo CD auto-sync to reverted state. Database rollback is the last resort — forward-only migration model means we deploy a NEW migration that reverses the previous one; never restore from backup in prod unless data corruption is confirmed. Feature flag kill switch is the fastest rollback for behavior changes (LaunchDarkly toggle, effect global within 60 seconds).</w:t>
      </w:r>
    </w:p>
    <w:p>
      <w:pPr>
        <w:pStyle w:val="Heading2"/>
        <w:spacing w:after="160" w:before="360" w:line="312"/>
      </w:pPr>
      <w:bookmarkStart w:id="100096" w:name="_Toc100096"/>
      <w:r>
        <w:rPr>
          <w:rFonts w:ascii="Calibri" w:eastAsia="Calibri"/>
          <w:b/>
          <w:bCs/>
          <w:color w:val="1A2B4A"/>
          <w:sz w:val="28"/>
          <w:szCs w:val="28"/>
        </w:rPr>
        <w:t xml:space="preserve">6.5 CI/CD Pipeline</w:t>
      </w:r>
      <w:bookmarkEnd w:id="100096"/>
    </w:p>
    <w:p>
      <w:pPr>
        <w:spacing w:after="120" w:line="312"/>
        <w:ind w:firstLine="0"/>
        <w:jc w:val="both"/>
      </w:pPr>
      <w:r>
        <w:rPr>
          <w:rFonts w:ascii="Calibri" w:eastAsia="Calibri"/>
          <w:color w:val="1F2937"/>
          <w:sz w:val="22"/>
          <w:szCs w:val="22"/>
        </w:rPr>
        <w:t xml:space="preserve">GitHub Actions + Argo CD pipeline. Stages: lint + format check → typecheck → unit tests + coverage gate → integration tests (Testcontainers) → SAST (Snyk) → dependency scan → container build + scan (Trivy) → e2e smoke (Playwright) → Terraform plan (if infra/ changed) → PR review (2+ reviewers) → merge to main → build + push to ECR → Argo CD auto-deploy to staging → smoke tests staging → manual release tag → CAB approval → Argo CD sync to prod → smoke tests prod → notify stakeholders.</w:t>
      </w:r>
    </w:p>
    <w:p>
      <w:pPr>
        <w:pStyle w:val="Heading3"/>
        <w:spacing w:after="120" w:before="240" w:line="312"/>
      </w:pPr>
      <w:bookmarkStart w:id="100097" w:name="_Toc100097"/>
      <w:r>
        <w:rPr>
          <w:rFonts w:ascii="Calibri" w:eastAsia="Calibri"/>
          <w:b/>
          <w:bCs/>
          <w:color w:val="1A2B4A"/>
          <w:sz w:val="24"/>
          <w:szCs w:val="24"/>
        </w:rPr>
        <w:t xml:space="preserve">Quality Gates</w:t>
      </w:r>
      <w:bookmarkEnd w:id="100097"/>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4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Gate</w:t>
            </w:r>
          </w:p>
        </w:tc>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Threshold</w:t>
            </w:r>
          </w:p>
        </w:tc>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Enforcement</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Unit test coverage (critical services)</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90% lines</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CI fails PR</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Unit test coverage (other services)</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80% lines</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CI fails PR</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E2E test coverage for trade flows</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100% of UF-01 through UF-09</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CI fails PR</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Snyk SAST</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No high or critical findings</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CI fails PR (override only with Security Eng sign-off)</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Trivy container scan</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No critical vulnerabilities</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CI fails deploy</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Dependency scan</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No high/critical CVEs unfixed &gt; 30 days</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CI fails PR</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Bundle size (PWA)</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200 KB gzipped (initial route)</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CI warns; blocks on regression &gt; 10%</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Lighthouse PWA score</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90 (perf, a11y, best practices, SEO)</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CI warns on regression</w:t>
            </w:r>
          </w:p>
        </w:tc>
      </w:tr>
    </w:tbl>
    <w:p>
      <w:pPr>
        <w:pStyle w:val="Heading2"/>
        <w:spacing w:after="160" w:before="360" w:line="312"/>
      </w:pPr>
      <w:bookmarkStart w:id="100098" w:name="_Toc100098"/>
      <w:r>
        <w:rPr>
          <w:rFonts w:ascii="Calibri" w:eastAsia="Calibri"/>
          <w:b/>
          <w:bCs/>
          <w:color w:val="1A2B4A"/>
          <w:sz w:val="28"/>
          <w:szCs w:val="28"/>
        </w:rPr>
        <w:t xml:space="preserve">6.6 Monitoring, Logging &amp; Alerting</w:t>
      </w:r>
      <w:bookmarkEnd w:id="100098"/>
    </w:p>
    <w:p>
      <w:pPr>
        <w:pStyle w:val="Heading3"/>
        <w:spacing w:after="120" w:before="240" w:line="312"/>
      </w:pPr>
      <w:bookmarkStart w:id="100099" w:name="_Toc100099"/>
      <w:r>
        <w:rPr>
          <w:rFonts w:ascii="Calibri" w:eastAsia="Calibri"/>
          <w:b/>
          <w:bCs/>
          <w:color w:val="1A2B4A"/>
          <w:sz w:val="24"/>
          <w:szCs w:val="24"/>
        </w:rPr>
        <w:t xml:space="preserve">Observability Stack</w:t>
      </w:r>
      <w:bookmarkEnd w:id="100099"/>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gridCol w:w="100"/>
      </w:tblGrid>
      <w:tr>
        <w:trPr>
          <w:cantSplit/>
          <w:tblHeader/>
        </w:trPr>
        <w:tc>
          <w:tcPr>
            <w:tcW w:type="pct" w:w="22%"/>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Pillar</w:t>
            </w:r>
          </w:p>
        </w:tc>
        <w:tc>
          <w:tcPr>
            <w:tcW w:type="pct" w:w="28%"/>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Tool</w:t>
            </w:r>
          </w:p>
        </w:tc>
        <w:tc>
          <w:tcPr>
            <w:tcW w:type="pct" w:w="22%"/>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Retention</w:t>
            </w:r>
          </w:p>
        </w:tc>
        <w:tc>
          <w:tcPr>
            <w:tcW w:type="pct" w:w="28%"/>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Purpose</w:t>
            </w:r>
          </w:p>
        </w:tc>
      </w:tr>
      <w:tr>
        <w:trPr>
          <w:cantSplit/>
        </w:trPr>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Metrics</w:t>
            </w:r>
          </w:p>
        </w:tc>
        <w:tc>
          <w:tcPr>
            <w:tcW w:type="pct" w:w="2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Datadog Metrics</w:t>
            </w:r>
          </w:p>
        </w:tc>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15 months</w:t>
            </w:r>
          </w:p>
        </w:tc>
        <w:tc>
          <w:tcPr>
            <w:tcW w:type="pct" w:w="2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Time-series metrics for infra + app</w:t>
            </w:r>
          </w:p>
        </w:tc>
      </w:tr>
      <w:tr>
        <w:trPr>
          <w:cantSplit/>
        </w:trPr>
        <w:tc>
          <w:tcPr>
            <w:tcW w:type="pct" w:w="2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Logs</w:t>
            </w:r>
          </w:p>
        </w:tc>
        <w:tc>
          <w:tcPr>
            <w:tcW w:type="pct" w:w="2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Datadog Logs</w:t>
            </w:r>
          </w:p>
        </w:tc>
        <w:tc>
          <w:tcPr>
            <w:tcW w:type="pct" w:w="2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90 days hot, 2 years cold</w:t>
            </w:r>
          </w:p>
        </w:tc>
        <w:tc>
          <w:tcPr>
            <w:tcW w:type="pct" w:w="2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Structured application + audit logs</w:t>
            </w:r>
          </w:p>
        </w:tc>
      </w:tr>
      <w:tr>
        <w:trPr>
          <w:cantSplit/>
        </w:trPr>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Traces</w:t>
            </w:r>
          </w:p>
        </w:tc>
        <w:tc>
          <w:tcPr>
            <w:tcW w:type="pct" w:w="2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Datadog APM (OpenTelemetry)</w:t>
            </w:r>
          </w:p>
        </w:tc>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30 days</w:t>
            </w:r>
          </w:p>
        </w:tc>
        <w:tc>
          <w:tcPr>
            <w:tcW w:type="pct" w:w="2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Distributed tracing across services</w:t>
            </w:r>
          </w:p>
        </w:tc>
      </w:tr>
      <w:tr>
        <w:trPr>
          <w:cantSplit/>
        </w:trPr>
        <w:tc>
          <w:tcPr>
            <w:tcW w:type="pct" w:w="2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Errors</w:t>
            </w:r>
          </w:p>
        </w:tc>
        <w:tc>
          <w:tcPr>
            <w:tcW w:type="pct" w:w="2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Sentry</w:t>
            </w:r>
          </w:p>
        </w:tc>
        <w:tc>
          <w:tcPr>
            <w:tcW w:type="pct" w:w="2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90 days</w:t>
            </w:r>
          </w:p>
        </w:tc>
        <w:tc>
          <w:tcPr>
            <w:tcW w:type="pct" w:w="2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Frontend + backend error aggregation</w:t>
            </w:r>
          </w:p>
        </w:tc>
      </w:tr>
      <w:tr>
        <w:trPr>
          <w:cantSplit/>
        </w:trPr>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Uptime</w:t>
            </w:r>
          </w:p>
        </w:tc>
        <w:tc>
          <w:tcPr>
            <w:tcW w:type="pct" w:w="2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Datadog Synthetics</w:t>
            </w:r>
          </w:p>
        </w:tc>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30 days</w:t>
            </w:r>
          </w:p>
        </w:tc>
        <w:tc>
          <w:tcPr>
            <w:tcW w:type="pct" w:w="2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Proactive endpoint checks</w:t>
            </w:r>
          </w:p>
        </w:tc>
      </w:tr>
      <w:tr>
        <w:trPr>
          <w:cantSplit/>
        </w:trPr>
        <w:tc>
          <w:tcPr>
            <w:tcW w:type="pct" w:w="2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Real user monitoring</w:t>
            </w:r>
          </w:p>
        </w:tc>
        <w:tc>
          <w:tcPr>
            <w:tcW w:type="pct" w:w="2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Datadog RUM</w:t>
            </w:r>
          </w:p>
        </w:tc>
        <w:tc>
          <w:tcPr>
            <w:tcW w:type="pct" w:w="2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30 days</w:t>
            </w:r>
          </w:p>
        </w:tc>
        <w:tc>
          <w:tcPr>
            <w:tcW w:type="pct" w:w="2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Frontend performance + errors</w:t>
            </w:r>
          </w:p>
        </w:tc>
      </w:tr>
      <w:tr>
        <w:trPr>
          <w:cantSplit/>
        </w:trPr>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Security alerts</w:t>
            </w:r>
          </w:p>
        </w:tc>
        <w:tc>
          <w:tcPr>
            <w:tcW w:type="pct" w:w="2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GuardDuty + Datadog Cloud SIEM</w:t>
            </w:r>
          </w:p>
        </w:tc>
        <w:tc>
          <w:tcPr>
            <w:tcW w:type="pct" w:w="2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13 months</w:t>
            </w:r>
          </w:p>
        </w:tc>
        <w:tc>
          <w:tcPr>
            <w:tcW w:type="pct" w:w="2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Threat detection</w:t>
            </w:r>
          </w:p>
        </w:tc>
      </w:tr>
    </w:tbl>
    <w:p>
      <w:pPr>
        <w:pStyle w:val="Heading3"/>
        <w:spacing w:after="120" w:before="240" w:line="312"/>
      </w:pPr>
      <w:bookmarkStart w:id="100100" w:name="_Toc100100"/>
      <w:r>
        <w:rPr>
          <w:rFonts w:ascii="Calibri" w:eastAsia="Calibri"/>
          <w:b/>
          <w:bCs/>
          <w:color w:val="1A2B4A"/>
          <w:sz w:val="24"/>
          <w:szCs w:val="24"/>
        </w:rPr>
        <w:t xml:space="preserve">Key SLOs</w:t>
      </w:r>
      <w:bookmarkEnd w:id="100100"/>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4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SLO</w:t>
            </w:r>
          </w:p>
        </w:tc>
        <w:tc>
          <w:tcPr>
            <w:tcW w:type="pct" w:w="3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Target</w:t>
            </w:r>
          </w:p>
        </w:tc>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Error Budget (Monthly)</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API availability (per region)</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99.95%</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22 min</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API p95 latency (read endpoints)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500 ms</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N/A (latency SLO)</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API p95 latency (write endpoints, non-escrow)</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1.5 s</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N/A</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API error rate (5xx)</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&lt; 0.1%</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N/A</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Audit log integrity (hash chain)</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100% (no breaks)</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0 (zero tolerance)</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Kafka consumer lag (compliance)</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&lt; 30 s</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5 min/month</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Escrow funding success rate</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99.5%</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22 min/month degraded</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Compliance alert ack time (HIGH/CRITICAL)</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1 hour, 95th percentile</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5 events/month over SLA</w:t>
            </w:r>
          </w:p>
        </w:tc>
      </w:tr>
    </w:tbl>
    <w:p>
      <w:pPr>
        <w:pStyle w:val="Heading3"/>
        <w:spacing w:after="120" w:before="240" w:line="312"/>
      </w:pPr>
      <w:bookmarkStart w:id="100101" w:name="_Toc100101"/>
      <w:r>
        <w:rPr>
          <w:rFonts w:ascii="Calibri" w:eastAsia="Calibri"/>
          <w:b/>
          <w:bCs/>
          <w:color w:val="1A2B4A"/>
          <w:sz w:val="24"/>
          <w:szCs w:val="24"/>
        </w:rPr>
        <w:t xml:space="preserve">Alert Triggers (Selected)</w:t>
      </w:r>
      <w:bookmarkEnd w:id="100101"/>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3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Alert</w:t>
            </w:r>
          </w:p>
        </w:tc>
        <w:tc>
          <w:tcPr>
            <w:tcW w:type="pct" w:w="5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Trigger Condition</w:t>
            </w:r>
          </w:p>
        </w:tc>
        <w:tc>
          <w:tcPr>
            <w:tcW w:type="pct" w:w="1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Severity</w:t>
            </w:r>
          </w:p>
        </w:tc>
      </w:tr>
      <w:tr>
        <w:trPr>
          <w:cantSplit/>
        </w:trPr>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HighErrorRate</w:t>
            </w:r>
          </w:p>
        </w:tc>
        <w:tc>
          <w:tcPr>
            <w:tcW w:type="pct" w:w="5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5xx error rate &gt; 1% for 5 min</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SEV-2</w:t>
            </w:r>
          </w:p>
        </w:tc>
      </w:tr>
      <w:tr>
        <w:trPr>
          <w:cantSplit/>
        </w:trPr>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PodCrashLooping</w:t>
            </w:r>
          </w:p>
        </w:tc>
        <w:tc>
          <w:tcPr>
            <w:tcW w:type="pct" w:w="5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Any pod in CrashLoopBackOff for 5 min</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SEV-2</w:t>
            </w:r>
          </w:p>
        </w:tc>
      </w:tr>
      <w:tr>
        <w:trPr>
          <w:cantSplit/>
        </w:trPr>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DatabaseCPUHigh</w:t>
            </w:r>
          </w:p>
        </w:tc>
        <w:tc>
          <w:tcPr>
            <w:tcW w:type="pct" w:w="5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RDS CPU &gt; 80% for 5 min</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SEV-3</w:t>
            </w:r>
          </w:p>
        </w:tc>
      </w:tr>
      <w:tr>
        <w:trPr>
          <w:cantSplit/>
        </w:trPr>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KafkaConsumerLagHigh</w:t>
            </w:r>
          </w:p>
        </w:tc>
        <w:tc>
          <w:tcPr>
            <w:tcW w:type="pct" w:w="5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Lag &gt; 1000 messages for 5 min (compliance topic)</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SEV-2</w:t>
            </w:r>
          </w:p>
        </w:tc>
      </w:tr>
      <w:tr>
        <w:trPr>
          <w:cantSplit/>
        </w:trPr>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EscrowFundingFailure</w:t>
            </w:r>
          </w:p>
        </w:tc>
        <w:tc>
          <w:tcPr>
            <w:tcW w:type="pct" w:w="5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Escrow funding failure rate &gt; 2% for 15 min</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SEV-1</w:t>
            </w:r>
          </w:p>
        </w:tc>
      </w:tr>
      <w:tr>
        <w:trPr>
          <w:cantSplit/>
        </w:trPr>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AuditLogHashChainBreak</w:t>
            </w:r>
          </w:p>
        </w:tc>
        <w:tc>
          <w:tcPr>
            <w:tcW w:type="pct" w:w="5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ANY hash chain integrity check failure</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SEV-1</w:t>
            </w:r>
          </w:p>
        </w:tc>
      </w:tr>
      <w:tr>
        <w:trPr>
          <w:cantSplit/>
        </w:trPr>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Auth0Outage</w:t>
            </w:r>
          </w:p>
        </w:tc>
        <w:tc>
          <w:tcPr>
            <w:tcW w:type="pct" w:w="5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Auth0 health check fails for 2 min</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SEV-1</w:t>
            </w:r>
          </w:p>
        </w:tc>
      </w:tr>
      <w:tr>
        <w:trPr>
          <w:cantSplit/>
        </w:trPr>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ComplianceAlertAckBreach</w:t>
            </w:r>
          </w:p>
        </w:tc>
        <w:tc>
          <w:tcPr>
            <w:tcW w:type="pct" w:w="5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HIGH/CRITICAL compliance alert unack &gt; 1 hour</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SEV-2</w:t>
            </w:r>
          </w:p>
        </w:tc>
      </w:tr>
      <w:tr>
        <w:trPr>
          <w:cantSplit/>
        </w:trPr>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GuardDutyHighSeverityFinding</w:t>
            </w:r>
          </w:p>
        </w:tc>
        <w:tc>
          <w:tcPr>
            <w:tcW w:type="pct" w:w="5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Any GuardDuty HIGH finding</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SEV-1</w:t>
            </w:r>
          </w:p>
        </w:tc>
      </w:tr>
    </w:tbl>
    <w:p>
      <w:pPr>
        <w:pStyle w:val="Heading2"/>
        <w:spacing w:after="160" w:before="360" w:line="312"/>
      </w:pPr>
      <w:bookmarkStart w:id="100102" w:name="_Toc100102"/>
      <w:r>
        <w:rPr>
          <w:rFonts w:ascii="Calibri" w:eastAsia="Calibri"/>
          <w:b/>
          <w:bCs/>
          <w:color w:val="1A2B4A"/>
          <w:sz w:val="28"/>
          <w:szCs w:val="28"/>
        </w:rPr>
        <w:t xml:space="preserve">6.7 Disaster Recovery &amp; Backup</w:t>
      </w:r>
      <w:bookmarkEnd w:id="100102"/>
    </w:p>
    <w:p>
      <w:pPr>
        <w:pStyle w:val="Heading3"/>
        <w:spacing w:after="120" w:before="240" w:line="312"/>
      </w:pPr>
      <w:bookmarkStart w:id="100103" w:name="_Toc100103"/>
      <w:r>
        <w:rPr>
          <w:rFonts w:ascii="Calibri" w:eastAsia="Calibri"/>
          <w:b/>
          <w:bCs/>
          <w:color w:val="1A2B4A"/>
          <w:sz w:val="24"/>
          <w:szCs w:val="24"/>
        </w:rPr>
        <w:t xml:space="preserve">Backup Strategy</w:t>
      </w:r>
      <w:bookmarkEnd w:id="100103"/>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gridCol w:w="100"/>
      </w:tblGrid>
      <w:tr>
        <w:trPr>
          <w:cantSplit/>
          <w:tblHeader/>
        </w:trPr>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Data Type</w:t>
            </w:r>
          </w:p>
        </w:tc>
        <w:tc>
          <w:tcPr>
            <w:tcW w:type="pct" w:w="3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Backup Method</w:t>
            </w:r>
          </w:p>
        </w:tc>
        <w:tc>
          <w:tcPr>
            <w:tcW w:type="pct" w:w="2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Frequency</w:t>
            </w:r>
          </w:p>
        </w:tc>
        <w:tc>
          <w:tcPr>
            <w:tcW w:type="pct" w:w="1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Retention</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PostgreSQL (RDS)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Automated snapshot + PITR (Point-in-Time Recovery)</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Daily snapshots; PITR every 5 min</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Snapshots 30 days; PITR 14 days</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PostgreSQL (cross-region)</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Cross-region automated snapshot copy</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Daily</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30 days in eu-west-1</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S3 documents (KYC, contracts, assay certs)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S3 Cross-Region Replication (CRR)</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Continuous</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7 years (regulatory)</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S3 audit log (WORM)</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S3 Object Lock (Compliance mode)</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On write</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7 years</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Kafka audit log topic</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Log compaction + S3 archival</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Continuous</w:t>
            </w:r>
          </w:p>
        </w:tc>
        <w:tc>
          <w:tcPr>
            <w:tcW w:type="pct" w:w="1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7 years</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EKS cluster state</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Argo CD GitOps (state in Git) + EKS etcd snapshot</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Continuous (Git) + daily (etcd)</w:t>
            </w:r>
          </w:p>
        </w:tc>
        <w:tc>
          <w:tcPr>
            <w:tcW w:type="pct" w:w="1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Git: indefinite; etcd: 30 days</w:t>
            </w:r>
          </w:p>
        </w:tc>
      </w:tr>
    </w:tbl>
    <w:p>
      <w:pPr>
        <w:pStyle w:val="Heading3"/>
        <w:spacing w:after="120" w:before="240" w:line="312"/>
      </w:pPr>
      <w:bookmarkStart w:id="100104" w:name="_Toc100104"/>
      <w:r>
        <w:rPr>
          <w:rFonts w:ascii="Calibri" w:eastAsia="Calibri"/>
          <w:b/>
          <w:bCs/>
          <w:color w:val="1A2B4A"/>
          <w:sz w:val="24"/>
          <w:szCs w:val="24"/>
        </w:rPr>
        <w:t xml:space="preserve">RTO and RPO</w:t>
      </w:r>
      <w:bookmarkEnd w:id="100104"/>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gridCol w:w="100"/>
      </w:tblGrid>
      <w:tr>
        <w:trPr>
          <w:cantSplit/>
          <w:tblHeader/>
        </w:trPr>
        <w:tc>
          <w:tcPr>
            <w:tcW w:type="pct" w:w="1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Tier</w:t>
            </w:r>
          </w:p>
        </w:tc>
        <w:tc>
          <w:tcPr>
            <w:tcW w:type="pct" w:w="5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Workload</w:t>
            </w:r>
          </w:p>
        </w:tc>
        <w:tc>
          <w:tcPr>
            <w:tcW w:type="pct" w:w="2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RTO</w:t>
            </w:r>
          </w:p>
        </w:tc>
        <w:tc>
          <w:tcPr>
            <w:tcW w:type="pct" w:w="2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RPO</w:t>
            </w:r>
          </w:p>
        </w:tc>
      </w:tr>
      <w:tr>
        <w:trPr>
          <w:cantSplit/>
        </w:trPr>
        <w:tc>
          <w:tcPr>
            <w:tcW w:type="pct" w:w="1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Tier 0</w:t>
            </w:r>
          </w:p>
        </w:tc>
        <w:tc>
          <w:tcPr>
            <w:tcW w:type="pct" w:w="5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 Escrow, Audit Log</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4 hours</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5 minutes</w:t>
            </w:r>
          </w:p>
        </w:tc>
      </w:tr>
      <w:tr>
        <w:trPr>
          <w:cantSplit/>
        </w:trPr>
        <w:tc>
          <w:tcPr>
            <w:tcW w:type="pct" w:w="1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Tier 1</w:t>
            </w:r>
          </w:p>
        </w:tc>
        <w:tc>
          <w:tcPr>
            <w:tcW w:type="pct" w:w="5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Member, RFQ, Auction, Negotiation</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8 hours</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15 minutes</w:t>
            </w:r>
          </w:p>
        </w:tc>
      </w:tr>
      <w:tr>
        <w:trPr>
          <w:cantSplit/>
        </w:trPr>
        <w:tc>
          <w:tcPr>
            <w:tcW w:type="pct" w:w="1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Tier 2</w:t>
            </w:r>
          </w:p>
        </w:tc>
        <w:tc>
          <w:tcPr>
            <w:tcW w:type="pct" w:w="5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Analytics, Notification, Export Doc</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24 hours</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1 hour</w:t>
            </w:r>
          </w:p>
        </w:tc>
      </w:tr>
      <w:tr>
        <w:trPr>
          <w:cantSplit/>
        </w:trPr>
        <w:tc>
          <w:tcPr>
            <w:tcW w:type="pct" w:w="1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Tier 3</w:t>
            </w:r>
          </w:p>
        </w:tc>
        <w:tc>
          <w:tcPr>
            <w:tcW w:type="pct" w:w="5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Marketing site, internal tools</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48 hours</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 24 hours</w:t>
            </w:r>
          </w:p>
        </w:tc>
      </w:tr>
    </w:tbl>
    <w:p>
      <w:pPr>
        <w:pStyle w:val="Heading3"/>
        <w:spacing w:after="120" w:before="240" w:line="312"/>
      </w:pPr>
      <w:bookmarkStart w:id="100105" w:name="_Toc100105"/>
      <w:r>
        <w:rPr>
          <w:rFonts w:ascii="Calibri" w:eastAsia="Calibri"/>
          <w:b/>
          <w:bCs/>
          <w:color w:val="1A2B4A"/>
          <w:sz w:val="24"/>
          <w:szCs w:val="24"/>
        </w:rPr>
        <w:t xml:space="preserve">Cross-Region DR Failover (Full Region Loss)</w:t>
      </w:r>
      <w:bookmarkEnd w:id="100105"/>
    </w:p>
    <w:p>
      <w:pPr>
        <w:spacing w:after="120" w:line="312"/>
        <w:ind w:firstLine="0"/>
        <w:jc w:val="both"/>
      </w:pPr>
      <w:r>
        <w:rPr>
          <w:rFonts w:ascii="Calibri" w:eastAsia="Calibri"/>
          <w:color w:val="1F2937"/>
          <w:sz w:val="22"/>
          <w:szCs w:val="22"/>
        </w:rPr>
        <w:t xml:space="preserve">Triggers: AWS region outage; regional disaster; major security incident requiring full region rebuild. Procedure: (1) Declare DR activation (Vendor PM + Chamber Exec); (2) Promote DR read replica in eu-west-1; (3) Restore S3 documents (CRR is continuous; verify count); (4) Start Kafka MirrorMaker2 to bridge events from primary region; (5) Update DNS (Route 53) to point api.aurumx.gh to DR region's ALB; (6) Verify DR endpoints; (7) Notify all stakeholders. Estimated RTO: 2–4 hours (most of which is DNS propagation + verification).</w:t>
      </w:r>
    </w:p>
    <w:p>
      <w:pPr>
        <w:pStyle w:val="Heading1"/>
        <w:spacing w:after="240" w:before="480" w:line="312"/>
      </w:pPr>
      <w:bookmarkStart w:id="100106" w:name="_Toc100106"/>
      <w:r>
        <w:rPr>
          <w:rFonts w:ascii="Calibri" w:eastAsia="Calibri"/>
          <w:b/>
          <w:bCs/>
          <w:color w:val="1A2B4A"/>
          <w:sz w:val="36"/>
          <w:szCs w:val="36"/>
        </w:rPr>
        <w:t xml:space="preserve">Document 7 — Security &amp; Compliance</w:t>
      </w:r>
      <w:bookmarkEnd w:id="100106"/>
    </w:p>
    <w:p>
      <w:pPr>
        <w:spacing w:after="120" w:line="312"/>
        <w:ind w:firstLine="0"/>
        <w:jc w:val="both"/>
      </w:pPr>
      <w:r>
        <w:rPr>
          <w:rFonts w:ascii="Calibri" w:eastAsia="Calibri"/>
          <w:color w:val="1F2937"/>
          <w:sz w:val="22"/>
          <w:szCs w:val="22"/>
        </w:rPr>
        <w:t xml:space="preserve">This document covers the security architecture, secrets management, compliance notes for relevant regulations (Ghana DPA 2012, BoG AML/CFT, FATF Recommendation 22, OECD Annex II, SOC 2), incident response, and audit &amp; assurance. It is written for security reviewers, compliance officers, and external auditors.</w:t>
      </w:r>
    </w:p>
    <w:p>
      <w:pPr>
        <w:pStyle w:val="Heading2"/>
        <w:spacing w:after="160" w:before="360" w:line="312"/>
      </w:pPr>
      <w:bookmarkStart w:id="100107" w:name="_Toc100107"/>
      <w:r>
        <w:rPr>
          <w:rFonts w:ascii="Calibri" w:eastAsia="Calibri"/>
          <w:b/>
          <w:bCs/>
          <w:color w:val="1A2B4A"/>
          <w:sz w:val="28"/>
          <w:szCs w:val="28"/>
        </w:rPr>
        <w:t xml:space="preserve">7.1 Security Principles</w:t>
      </w:r>
      <w:bookmarkEnd w:id="100107"/>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w:t>
            </w:r>
          </w:p>
        </w:tc>
        <w:tc>
          <w:tcPr>
            <w:tcW w:type="pct" w:w="3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Principle</w:t>
            </w:r>
          </w:p>
        </w:tc>
        <w:tc>
          <w:tcPr>
            <w:tcW w:type="pct" w:w="6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How Implemented</w:t>
            </w:r>
          </w:p>
        </w:tc>
      </w:tr>
      <w:tr>
        <w:trPr>
          <w:cantSplit/>
        </w:trPr>
        <w:tc>
          <w:tcPr>
            <w:tcW w:type="pct" w:w="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S1</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Zero Trust — every request authenticated, authorized, inspected</w:t>
            </w:r>
          </w:p>
        </w:tc>
        <w:tc>
          <w:tcPr>
            <w:tcW w:type="pct" w:w="6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mTLS between services; OAuth/JWT at edge; deny-default network policies in EKS</w:t>
            </w:r>
          </w:p>
        </w:tc>
      </w:tr>
      <w:tr>
        <w:trPr>
          <w:cantSplit/>
        </w:trPr>
        <w:tc>
          <w:tcPr>
            <w:tcW w:type="pct" w:w="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S2</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Defense in Depth — multiple independent controls</w:t>
            </w:r>
          </w:p>
        </w:tc>
        <w:tc>
          <w:tcPr>
            <w:tcW w:type="pct" w:w="6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WAF + ALB + service-level RBAC + DB row-level security + field-level encryption for PII</w:t>
            </w:r>
          </w:p>
        </w:tc>
      </w:tr>
      <w:tr>
        <w:trPr>
          <w:cantSplit/>
        </w:trPr>
        <w:tc>
          <w:tcPr>
            <w:tcW w:type="pct" w:w="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S3</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Least Privilege — minimum permissions needed</w:t>
            </w:r>
          </w:p>
        </w:tc>
        <w:tc>
          <w:tcPr>
            <w:tcW w:type="pct" w:w="6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IAM roles scoped per service; Auth0 RBAC with fine-grained scopes; PostgreSQL RLS policies</w:t>
            </w:r>
          </w:p>
        </w:tc>
      </w:tr>
      <w:tr>
        <w:trPr>
          <w:cantSplit/>
        </w:trPr>
        <w:tc>
          <w:tcPr>
            <w:tcW w:type="pct" w:w="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S4</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Audit Everything — every state-changing action logged</w:t>
            </w:r>
          </w:p>
        </w:tc>
        <w:tc>
          <w:tcPr>
            <w:tcW w:type="pct" w:w="6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Audit Log Service; 7-year retention; hash-anchored chain</w:t>
            </w:r>
          </w:p>
        </w:tc>
      </w:tr>
      <w:tr>
        <w:trPr>
          <w:cantSplit/>
        </w:trPr>
        <w:tc>
          <w:tcPr>
            <w:tcW w:type="pct" w:w="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S5</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Encrypt Everywhere — at rest, in transit, in processing</w:t>
            </w:r>
          </w:p>
        </w:tc>
        <w:tc>
          <w:tcPr>
            <w:tcW w:type="pct" w:w="6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TLS 1.3 in transit; KMS-managed encryption at rest; field-level encryption for PII</w:t>
            </w:r>
          </w:p>
        </w:tc>
      </w:tr>
      <w:tr>
        <w:trPr>
          <w:cantSplit/>
        </w:trPr>
        <w:tc>
          <w:tcPr>
            <w:tcW w:type="pct" w:w="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S6</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Secure by Default — secure configurations are default</w:t>
            </w:r>
          </w:p>
        </w:tc>
        <w:tc>
          <w:tcPr>
            <w:tcW w:type="pct" w:w="6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Security linters in CI; pre-commit hooks; CSP-enabled PWA; HSTS preload</w:t>
            </w:r>
          </w:p>
        </w:tc>
      </w:tr>
      <w:tr>
        <w:trPr>
          <w:cantSplit/>
        </w:trPr>
        <w:tc>
          <w:tcPr>
            <w:tcW w:type="pct" w:w="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S7</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Assume Breach — design assumes perimeter will be breached</w:t>
            </w:r>
          </w:p>
        </w:tc>
        <w:tc>
          <w:tcPr>
            <w:tcW w:type="pct" w:w="6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Network segmentation; per-service accounts; Secrets Manager auto-rotation; canary tokens</w:t>
            </w:r>
          </w:p>
        </w:tc>
      </w:tr>
    </w:tbl>
    <w:p>
      <w:pPr>
        <w:pStyle w:val="Heading2"/>
        <w:spacing w:after="160" w:before="360" w:line="312"/>
      </w:pPr>
      <w:bookmarkStart w:id="100108" w:name="_Toc100108"/>
      <w:r>
        <w:rPr>
          <w:rFonts w:ascii="Calibri" w:eastAsia="Calibri"/>
          <w:b/>
          <w:bCs/>
          <w:color w:val="1A2B4A"/>
          <w:sz w:val="28"/>
          <w:szCs w:val="28"/>
        </w:rPr>
        <w:t xml:space="preserve">7.2 Authentication &amp; Authorization</w:t>
      </w:r>
      <w:bookmarkEnd w:id="100108"/>
    </w:p>
    <w:p>
      <w:pPr>
        <w:pStyle w:val="Heading3"/>
        <w:spacing w:after="120" w:before="240" w:line="312"/>
      </w:pPr>
      <w:bookmarkStart w:id="100109" w:name="_Toc100109"/>
      <w:r>
        <w:rPr>
          <w:rFonts w:ascii="Calibri" w:eastAsia="Calibri"/>
          <w:b/>
          <w:bCs/>
          <w:color w:val="1A2B4A"/>
          <w:sz w:val="24"/>
          <w:szCs w:val="24"/>
        </w:rPr>
        <w:t xml:space="preserve">Authentication Mechanism</w:t>
      </w:r>
      <w:bookmarkEnd w:id="100109"/>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Layer</w:t>
            </w:r>
          </w:p>
        </w:tc>
        <w:tc>
          <w:tcPr>
            <w:tcW w:type="pct" w:w="4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Mechanism</w:t>
            </w:r>
          </w:p>
        </w:tc>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Provider</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Member-facing PWA</w:t>
            </w:r>
          </w:p>
        </w:tc>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OAuth 2.0 Authorization Code + PKCE; OpenID Connect</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Auth0 B2B</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Tier 1 machine-to-machine (SAP integration)</w:t>
            </w:r>
          </w:p>
        </w:tc>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OAuth 2.0 Client Credentials; mTLS for high-value buyers</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Auth0 B2B</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Chamber staff</w:t>
            </w:r>
          </w:p>
        </w:tc>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SAML SSO with Chamber's IdP (Microsoft Entra ID); MFA required</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Auth0 federated to Entra ID</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Service-to-service (internal)</w:t>
            </w:r>
          </w:p>
        </w:tc>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mTLS via SPIFFE/SPIRE; short-lived (1 hour) JWTs</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SPIRE cluster</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Partner inbound webhooks</w:t>
            </w:r>
          </w:p>
        </w:tc>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HMAC-SHA256 signature + shared secret + IP allowlisting</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Custom (per partner)</w:t>
            </w:r>
          </w:p>
        </w:tc>
      </w:tr>
    </w:tbl>
    <w:p>
      <w:pPr>
        <w:pStyle w:val="Heading3"/>
        <w:spacing w:after="120" w:before="240" w:line="312"/>
      </w:pPr>
      <w:bookmarkStart w:id="100110" w:name="_Toc100110"/>
      <w:r>
        <w:rPr>
          <w:rFonts w:ascii="Calibri" w:eastAsia="Calibri"/>
          <w:b/>
          <w:bCs/>
          <w:color w:val="1A2B4A"/>
          <w:sz w:val="24"/>
          <w:szCs w:val="24"/>
        </w:rPr>
        <w:t xml:space="preserve">MFA Requirements</w:t>
      </w:r>
      <w:bookmarkEnd w:id="100110"/>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tblGrid>
      <w:tr>
        <w:trPr>
          <w:cantSplit/>
          <w:tblHeader/>
        </w:trPr>
        <w:tc>
          <w:tcPr>
            <w:tcW w:type="pct" w:w="6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Action</w:t>
            </w:r>
          </w:p>
        </w:tc>
        <w:tc>
          <w:tcPr>
            <w:tcW w:type="pct" w:w="4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MFA Required</w:t>
            </w:r>
          </w:p>
        </w:tc>
      </w:tr>
      <w:tr>
        <w:trPr>
          <w:cantSplit/>
        </w:trPr>
        <w:tc>
          <w:tcPr>
            <w:tcW w:type="pct" w:w="6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Member login (org.admin)</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Step-up: TOTP or passwordless</w:t>
            </w:r>
          </w:p>
        </w:tc>
      </w:tr>
      <w:tr>
        <w:trPr>
          <w:cantSplit/>
        </w:trPr>
        <w:tc>
          <w:tcPr>
            <w:tcW w:type="pct" w:w="6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Member login (org.trader, org.viewer)</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Optional</w:t>
            </w:r>
          </w:p>
        </w:tc>
      </w:tr>
      <w:tr>
        <w:trPr>
          <w:cantSplit/>
        </w:trPr>
        <w:tc>
          <w:tcPr>
            <w:tcW w:type="pct" w:w="6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Chamber staff login</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Required always</w:t>
            </w:r>
          </w:p>
        </w:tc>
      </w:tr>
      <w:tr>
        <w:trPr>
          <w:cantSplit/>
        </w:trPr>
        <w:tc>
          <w:tcPr>
            <w:tcW w:type="pct" w:w="6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 acceptance ≥ US$100K</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Step-up MFA (TOTP or WebAuthn)</w:t>
            </w:r>
          </w:p>
        </w:tc>
      </w:tr>
      <w:tr>
        <w:trPr>
          <w:cantSplit/>
        </w:trPr>
        <w:tc>
          <w:tcPr>
            <w:tcW w:type="pct" w:w="6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 acceptance ≥ US$500K</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WebAuthn (hardware key) required</w:t>
            </w:r>
          </w:p>
        </w:tc>
      </w:tr>
      <w:tr>
        <w:trPr>
          <w:cantSplit/>
        </w:trPr>
        <w:tc>
          <w:tcPr>
            <w:tcW w:type="pct" w:w="6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Compliance freeze / SAR filing</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WebAuthn required</w:t>
            </w:r>
          </w:p>
        </w:tc>
      </w:tr>
      <w:tr>
        <w:trPr>
          <w:cantSplit/>
        </w:trPr>
        <w:tc>
          <w:tcPr>
            <w:tcW w:type="pct" w:w="6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Production deployments</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WebAuthn required for deploying engineer</w:t>
            </w:r>
          </w:p>
        </w:tc>
      </w:tr>
      <w:tr>
        <w:trPr>
          <w:cantSplit/>
        </w:trPr>
        <w:tc>
          <w:tcPr>
            <w:tcW w:type="pct" w:w="6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Production DB access</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WebAuthn + just-in-time approval (max 4-hour session)</w:t>
            </w:r>
          </w:p>
        </w:tc>
      </w:tr>
    </w:tbl>
    <w:p>
      <w:pPr>
        <w:pStyle w:val="Heading2"/>
        <w:spacing w:after="160" w:before="360" w:line="312"/>
      </w:pPr>
      <w:bookmarkStart w:id="100111" w:name="_Toc100111"/>
      <w:r>
        <w:rPr>
          <w:rFonts w:ascii="Calibri" w:eastAsia="Calibri"/>
          <w:b/>
          <w:bCs/>
          <w:color w:val="1A2B4A"/>
          <w:sz w:val="28"/>
          <w:szCs w:val="28"/>
        </w:rPr>
        <w:t xml:space="preserve">7.3 Data Encryption</w:t>
      </w:r>
      <w:bookmarkEnd w:id="100111"/>
    </w:p>
    <w:p>
      <w:pPr>
        <w:pStyle w:val="Heading3"/>
        <w:spacing w:after="120" w:before="240" w:line="312"/>
      </w:pPr>
      <w:bookmarkStart w:id="100112" w:name="_Toc100112"/>
      <w:r>
        <w:rPr>
          <w:rFonts w:ascii="Calibri" w:eastAsia="Calibri"/>
          <w:b/>
          <w:bCs/>
          <w:color w:val="1A2B4A"/>
          <w:sz w:val="24"/>
          <w:szCs w:val="24"/>
        </w:rPr>
        <w:t xml:space="preserve">Encryption at Rest</w:t>
      </w:r>
      <w:bookmarkEnd w:id="100112"/>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Data Store</w:t>
            </w:r>
          </w:p>
        </w:tc>
        <w:tc>
          <w:tcPr>
            <w:tcW w:type="pct" w:w="3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Encryption Method</w:t>
            </w:r>
          </w:p>
        </w:tc>
        <w:tc>
          <w:tcPr>
            <w:tcW w:type="pct" w:w="4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Key Management</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PostgreSQL (RDS)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AES-256, TDE</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KMS — customer-managed key (CMK) with annual rotation</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Redis (ElastiCache)</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AES-256 at-rest encryption</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KMS — CMK</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Kafka (MSK)</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AES-256 in-transit + at-rest</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KMS — CMK</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S3 documents</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AES-256 SSE-KMS</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KMS — CMK (separate from RDS for blast-radius isolation)</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S3 audit log (WORM)</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SSE-KMS + Object Lock (Compliance mode, 7-year)</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KMS — CMK (never exposed to app code)</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Secrets Manager</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AWS-managed + envelope encryption with CMK</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KMS — CMK</w:t>
            </w:r>
          </w:p>
        </w:tc>
      </w:tr>
    </w:tbl>
    <w:p>
      <w:pPr>
        <w:pStyle w:val="Heading3"/>
        <w:spacing w:after="120" w:before="240" w:line="312"/>
      </w:pPr>
      <w:bookmarkStart w:id="100113" w:name="_Toc100113"/>
      <w:r>
        <w:rPr>
          <w:rFonts w:ascii="Calibri" w:eastAsia="Calibri"/>
          <w:b/>
          <w:bCs/>
          <w:color w:val="1A2B4A"/>
          <w:sz w:val="24"/>
          <w:szCs w:val="24"/>
        </w:rPr>
        <w:t xml:space="preserve">Field-Level Encryption (PII)</w:t>
      </w:r>
      <w:bookmarkEnd w:id="100113"/>
    </w:p>
    <w:p>
      <w:pPr>
        <w:spacing w:after="120" w:line="312"/>
        <w:ind w:firstLine="0"/>
        <w:jc w:val="both"/>
      </w:pPr>
      <w:r>
        <w:rPr>
          <w:rFonts w:ascii="Calibri" w:eastAsia="Calibri"/>
          <w:color w:val="1F2937"/>
          <w:sz w:val="22"/>
          <w:szCs w:val="22"/>
        </w:rPr>
        <w:t xml:space="preserve">Specific PII columns receive additional application-layer encryption using envelope encryption (AES-256-GCM with per-row data keys, envelope-encrypted with KMS CMK). Includes: members.email, members.phone, members.identity_document_number, organizations.beneficial_owners (JSONB), bank_accounts.account_full_number (tokenized; only last4 in plaintext), assay_certificates.lab_internal_reference.</w:t>
      </w:r>
    </w:p>
    <w:p>
      <w:pPr>
        <w:pStyle w:val="Heading2"/>
        <w:spacing w:after="160" w:before="360" w:line="312"/>
      </w:pPr>
      <w:bookmarkStart w:id="100114" w:name="_Toc100114"/>
      <w:r>
        <w:rPr>
          <w:rFonts w:ascii="Calibri" w:eastAsia="Calibri"/>
          <w:b/>
          <w:bCs/>
          <w:color w:val="1A2B4A"/>
          <w:sz w:val="28"/>
          <w:szCs w:val="28"/>
        </w:rPr>
        <w:t xml:space="preserve">7.4 Audit Trail &amp; Tamper Evidence</w:t>
      </w:r>
      <w:bookmarkEnd w:id="100114"/>
    </w:p>
    <w:p>
      <w:pPr>
        <w:spacing w:after="120" w:line="312"/>
        <w:ind w:firstLine="0"/>
        <w:jc w:val="both"/>
      </w:pPr>
      <w:r>
        <w:rPr>
          <w:rFonts w:ascii="Calibri" w:eastAsia="Calibri"/>
          <w:color w:val="1F2937"/>
          <w:sz w:val="22"/>
          <w:szCs w:val="22"/>
        </w:rPr>
        <w:t xml:space="preserve">The Audit Log Service is the canonical audit trail. Five design choices ensure tamper evidence:</w:t>
      </w:r>
    </w:p>
    <w:p>
      <w:pPr>
        <w:pStyle w:val="ListParagraph"/>
        <w:numPr>
          <w:ilvl w:val="0"/>
          <w:numId w:val="1"/>
        </w:numPr>
        <w:spacing w:after="80" w:line="312"/>
      </w:pPr>
      <w:r>
        <w:rPr>
          <w:rFonts w:ascii="Calibri" w:eastAsia="Calibri"/>
          <w:color w:val="1F2937"/>
          <w:sz w:val="22"/>
          <w:szCs w:val="22"/>
        </w:rPr>
        <w:t xml:space="preserve">Append-only — no UPDATE or DELETE operations exposed; PostgreSQL triggers reject them.</w:t>
      </w:r>
    </w:p>
    <w:p>
      <w:pPr>
        <w:pStyle w:val="ListParagraph"/>
        <w:numPr>
          <w:ilvl w:val="0"/>
          <w:numId w:val="1"/>
        </w:numPr>
        <w:spacing w:after="80" w:line="312"/>
      </w:pPr>
      <w:r>
        <w:rPr>
          <w:rFonts w:ascii="Calibri" w:eastAsia="Calibri"/>
          <w:color w:val="1F2937"/>
          <w:sz w:val="22"/>
          <w:szCs w:val="22"/>
        </w:rPr>
        <w:t xml:space="preserve">Hash-anchored chain — each event includes previous_event_hash and current_hash = SHA256(salt + previous_hash + event_payload + timestamp). Salt is stored only in Secrets Manager, never accessible to the application layer at read time.</w:t>
      </w:r>
    </w:p>
    <w:p>
      <w:pPr>
        <w:pStyle w:val="ListParagraph"/>
        <w:numPr>
          <w:ilvl w:val="0"/>
          <w:numId w:val="1"/>
        </w:numPr>
        <w:spacing w:after="80" w:line="312"/>
      </w:pPr>
      <w:r>
        <w:rPr>
          <w:rFonts w:ascii="Calibri" w:eastAsia="Calibri"/>
          <w:color w:val="1F2937"/>
          <w:sz w:val="22"/>
          <w:szCs w:val="22"/>
        </w:rPr>
        <w:t xml:space="preserve">Multi-layer storage — live in Kafka compacted topic → warm in S3 with Object Lock (Compliance mode) → cold in S3 in DR region via CRR. Object Lock prevents even root account deletion for the 7-year retention period.</w:t>
      </w:r>
    </w:p>
    <w:p>
      <w:pPr>
        <w:pStyle w:val="ListParagraph"/>
        <w:numPr>
          <w:ilvl w:val="0"/>
          <w:numId w:val="1"/>
        </w:numPr>
        <w:spacing w:after="80" w:line="312"/>
      </w:pPr>
      <w:r>
        <w:rPr>
          <w:rFonts w:ascii="Calibri" w:eastAsia="Calibri"/>
          <w:color w:val="1F2937"/>
          <w:sz w:val="22"/>
          <w:szCs w:val="22"/>
        </w:rPr>
        <w:t xml:space="preserve">Continuous verification — background worker recomputes the hash chain every hour. Any break triggers a SEV-1 alert (AuditLogHashChainBreak).</w:t>
      </w:r>
    </w:p>
    <w:p>
      <w:pPr>
        <w:pStyle w:val="ListParagraph"/>
        <w:numPr>
          <w:ilvl w:val="0"/>
          <w:numId w:val="1"/>
        </w:numPr>
        <w:spacing w:after="80" w:line="312"/>
      </w:pPr>
      <w:r>
        <w:rPr>
          <w:rFonts w:ascii="Calibri" w:eastAsia="Calibri"/>
          <w:color w:val="1F2937"/>
          <w:sz w:val="22"/>
          <w:szCs w:val="22"/>
        </w:rPr>
        <w:t xml:space="preserve">Independent reviewer access — Chamber Compliance team has direct read access; they can verify hash integrity independently via the public verification API.</w:t>
      </w:r>
    </w:p>
    <w:p>
      <w:pPr>
        <w:pStyle w:val="Heading2"/>
        <w:spacing w:after="160" w:before="360" w:line="312"/>
      </w:pPr>
      <w:bookmarkStart w:id="100115" w:name="_Toc100115"/>
      <w:r>
        <w:rPr>
          <w:rFonts w:ascii="Calibri" w:eastAsia="Calibri"/>
          <w:b/>
          <w:bCs/>
          <w:color w:val="1A2B4A"/>
          <w:sz w:val="28"/>
          <w:szCs w:val="28"/>
        </w:rPr>
        <w:t xml:space="preserve">7.5 Secrets Management</w:t>
      </w:r>
      <w:bookmarkEnd w:id="100115"/>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gridCol w:w="100"/>
      </w:tblGrid>
      <w:tr>
        <w:trPr>
          <w:cantSplit/>
          <w:tblHeader/>
        </w:trPr>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Secret Type</w:t>
            </w:r>
          </w:p>
        </w:tc>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Store</w:t>
            </w:r>
          </w:p>
        </w:tc>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Rotation</w:t>
            </w:r>
          </w:p>
        </w:tc>
        <w:tc>
          <w:tcPr>
            <w:tcW w:type="pct" w:w="2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Access</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Database master password</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Secrets Manager</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90 days (automatic)</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RDS only</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Database app password (per-service users)</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Secrets Manager</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90 days (automatic)</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Service IAM role only</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Bank API keys</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Secrets Manager</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Annual or per bank schedule</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Escrow Service IAM role only</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Auth0 client secrets</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Secrets Manager</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Annual (manual, Security Eng)</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Member Service + Admin app only</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Webhook HMAC secrets</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Secrets Manager</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Quarterly (joint with partner)</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Notification Service + partner</w:t>
            </w:r>
          </w:p>
        </w:tc>
      </w:tr>
      <w:tr>
        <w:trPr>
          <w:cantSplit/>
        </w:trPr>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Audit log hash salt</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Secrets Manager</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Never rotated (would invalidate chain)</w:t>
            </w:r>
          </w:p>
        </w:tc>
        <w:tc>
          <w:tcPr>
            <w:tcW w:type="pct" w:w="2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Audit Log Service writer only</w:t>
            </w:r>
          </w:p>
        </w:tc>
      </w:tr>
      <w:tr>
        <w:trPr>
          <w:cantSplit/>
        </w:trPr>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TLS private keys</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AWS ACM (managed)</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Auto-renewed</w:t>
            </w:r>
          </w:p>
        </w:tc>
        <w:tc>
          <w:tcPr>
            <w:tcW w:type="pct" w:w="2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ACM only</w:t>
            </w:r>
          </w:p>
        </w:tc>
      </w:tr>
    </w:tbl>
    <w:p>
      <w:pPr>
        <w:pStyle w:val="Heading2"/>
        <w:spacing w:after="160" w:before="360" w:line="312"/>
      </w:pPr>
      <w:bookmarkStart w:id="100116" w:name="_Toc100116"/>
      <w:r>
        <w:rPr>
          <w:rFonts w:ascii="Calibri" w:eastAsia="Calibri"/>
          <w:b/>
          <w:bCs/>
          <w:color w:val="1A2B4A"/>
          <w:sz w:val="28"/>
          <w:szCs w:val="28"/>
        </w:rPr>
        <w:t xml:space="preserve">7.6 Compliance Notes</w:t>
      </w:r>
      <w:bookmarkEnd w:id="100116"/>
    </w:p>
    <w:p>
      <w:pPr>
        <w:pStyle w:val="Heading3"/>
        <w:spacing w:after="120" w:before="240" w:line="312"/>
      </w:pPr>
      <w:bookmarkStart w:id="100117" w:name="_Toc100117"/>
      <w:r>
        <w:rPr>
          <w:rFonts w:ascii="Calibri" w:eastAsia="Calibri"/>
          <w:b/>
          <w:bCs/>
          <w:color w:val="1A2B4A"/>
          <w:sz w:val="24"/>
          <w:szCs w:val="24"/>
        </w:rPr>
        <w:t xml:space="preserve">Regulatory Landscape</w:t>
      </w:r>
      <w:bookmarkEnd w:id="100117"/>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4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Regulation</w:t>
            </w:r>
          </w:p>
        </w:tc>
        <w:tc>
          <w:tcPr>
            <w:tcW w:type="pct" w:w="18%"/>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Jurisdiction</w:t>
            </w:r>
          </w:p>
        </w:tc>
        <w:tc>
          <w:tcPr>
            <w:tcW w:type="pct" w:w="37%"/>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Applicability</w:t>
            </w:r>
          </w:p>
        </w:tc>
      </w:tr>
      <w:tr>
        <w:trPr>
          <w:cantSplit/>
        </w:trPr>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Ghana Data Protection Act, 2012 (Act 843)</w:t>
            </w:r>
          </w:p>
        </w:tc>
        <w:tc>
          <w:tcPr>
            <w:tcW w:type="pct" w:w="1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Ghana</w:t>
            </w:r>
          </w:p>
        </w:tc>
        <w:tc>
          <w:tcPr>
            <w:tcW w:type="pct" w:w="37%"/>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Applies — platform processes personal data of Ghanaian residents</w:t>
            </w:r>
          </w:p>
        </w:tc>
      </w:tr>
      <w:tr>
        <w:trPr>
          <w:cantSplit/>
        </w:trPr>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Bank of Ghana AML/CFT/CPF Directives (2022)</w:t>
            </w:r>
          </w:p>
        </w:tc>
        <w:tc>
          <w:tcPr>
            <w:tcW w:type="pct" w:w="1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Ghana</w:t>
            </w:r>
          </w:p>
        </w:tc>
        <w:tc>
          <w:tcPr>
            <w:tcW w:type="pct" w:w="37%"/>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Applies — escrow integration, gold trading is regulated financial activity</w:t>
            </w:r>
          </w:p>
        </w:tc>
      </w:tr>
      <w:tr>
        <w:trPr>
          <w:cantSplit/>
        </w:trPr>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Ghana Minerals and Mining Act, 2006 (Act 703)</w:t>
            </w:r>
          </w:p>
        </w:tc>
        <w:tc>
          <w:tcPr>
            <w:tcW w:type="pct" w:w="1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Ghana</w:t>
            </w:r>
          </w:p>
        </w:tc>
        <w:tc>
          <w:tcPr>
            <w:tcW w:type="pct" w:w="37%"/>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Applies — gold licensing, export permits</w:t>
            </w:r>
          </w:p>
        </w:tc>
      </w:tr>
      <w:tr>
        <w:trPr>
          <w:cantSplit/>
        </w:trPr>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FATF Recommendation 22 (Precious Metals)</w:t>
            </w:r>
          </w:p>
        </w:tc>
        <w:tc>
          <w:tcPr>
            <w:tcW w:type="pct" w:w="1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International</w:t>
            </w:r>
          </w:p>
        </w:tc>
        <w:tc>
          <w:tcPr>
            <w:tcW w:type="pct" w:w="37%"/>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Applies — Ghana is a FATF member</w:t>
            </w:r>
          </w:p>
        </w:tc>
      </w:tr>
      <w:tr>
        <w:trPr>
          <w:cantSplit/>
        </w:trPr>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OECD Due Diligence Guidance (Annex II)</w:t>
            </w:r>
          </w:p>
        </w:tc>
        <w:tc>
          <w:tcPr>
            <w:tcW w:type="pct" w:w="1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International</w:t>
            </w:r>
          </w:p>
        </w:tc>
        <w:tc>
          <w:tcPr>
            <w:tcW w:type="pct" w:w="37%"/>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Applies — Tier 1 buyers (LBMA refiners) require OECD-aligned due diligence</w:t>
            </w:r>
          </w:p>
        </w:tc>
      </w:tr>
      <w:tr>
        <w:trPr>
          <w:cantSplit/>
        </w:trPr>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LBMA Responsible Gold Guidance</w:t>
            </w:r>
          </w:p>
        </w:tc>
        <w:tc>
          <w:tcPr>
            <w:tcW w:type="pct" w:w="1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International</w:t>
            </w:r>
          </w:p>
        </w:tc>
        <w:tc>
          <w:tcPr>
            <w:tcW w:type="pct" w:w="37%"/>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Indirect — Tier 1 buyers must comply; platform enables their compliance</w:t>
            </w:r>
          </w:p>
        </w:tc>
      </w:tr>
      <w:tr>
        <w:trPr>
          <w:cantSplit/>
        </w:trPr>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SOC 2 Type II</w:t>
            </w:r>
          </w:p>
        </w:tc>
        <w:tc>
          <w:tcPr>
            <w:tcW w:type="pct" w:w="1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International</w:t>
            </w:r>
          </w:p>
        </w:tc>
        <w:tc>
          <w:tcPr>
            <w:tcW w:type="pct" w:w="37%"/>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Applies — vendor-side commitment to Tier 1 buyers</w:t>
            </w:r>
          </w:p>
        </w:tc>
      </w:tr>
      <w:tr>
        <w:trPr>
          <w:cantSplit/>
        </w:trPr>
        <w:tc>
          <w:tcPr>
            <w:tcW w:type="pct" w:w="4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ISO/IEC 27001:2022</w:t>
            </w:r>
          </w:p>
        </w:tc>
        <w:tc>
          <w:tcPr>
            <w:tcW w:type="pct" w:w="1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International</w:t>
            </w:r>
          </w:p>
        </w:tc>
        <w:tc>
          <w:tcPr>
            <w:tcW w:type="pct" w:w="37%"/>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Target — Year 2 (2029)</w:t>
            </w:r>
          </w:p>
        </w:tc>
      </w:tr>
      <w:tr>
        <w:trPr>
          <w:cantSplit/>
        </w:trPr>
        <w:tc>
          <w:tcPr>
            <w:tcW w:type="pct" w:w="4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PCI-DSS</w:t>
            </w:r>
          </w:p>
        </w:tc>
        <w:tc>
          <w:tcPr>
            <w:tcW w:type="pct" w:w="1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International</w:t>
            </w:r>
          </w:p>
        </w:tc>
        <w:tc>
          <w:tcPr>
            <w:tcW w:type="pct" w:w="37%"/>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Out of scope — platform does not accept card payments directly</w:t>
            </w:r>
          </w:p>
        </w:tc>
      </w:tr>
    </w:tbl>
    <w:p>
      <w:pPr>
        <w:pStyle w:val="Heading3"/>
        <w:spacing w:after="120" w:before="240" w:line="312"/>
      </w:pPr>
      <w:bookmarkStart w:id="100118" w:name="_Toc100118"/>
      <w:r>
        <w:rPr>
          <w:rFonts w:ascii="Calibri" w:eastAsia="Calibri"/>
          <w:b/>
          <w:bCs/>
          <w:color w:val="1A2B4A"/>
          <w:sz w:val="24"/>
          <w:szCs w:val="24"/>
        </w:rPr>
        <w:t xml:space="preserve">Ghana Data Protection Act, 2012 (Act 843) — Selected Controls</w:t>
      </w:r>
      <w:bookmarkEnd w:id="100118"/>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tblGrid>
      <w:tr>
        <w:trPr>
          <w:cantSplit/>
          <w:tblHeader/>
        </w:trPr>
        <w:tc>
          <w:tcPr>
            <w:tcW w:type="pct" w:w="3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Requirement</w:t>
            </w:r>
          </w:p>
        </w:tc>
        <w:tc>
          <w:tcPr>
            <w:tcW w:type="pct" w:w="6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How We Comply</w:t>
            </w:r>
          </w:p>
        </w:tc>
      </w:tr>
      <w:tr>
        <w:trPr>
          <w:cantSplit/>
        </w:trPr>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Lawful basis for processing (§17)</w:t>
            </w:r>
          </w:p>
        </w:tc>
        <w:tc>
          <w:tcPr>
            <w:tcW w:type="pct" w:w="6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Contract performance (trade execution); legal obligation (AML, sanctions screening); legitimate interest (member directory)</w:t>
            </w:r>
          </w:p>
        </w:tc>
      </w:tr>
      <w:tr>
        <w:trPr>
          <w:cantSplit/>
        </w:trPr>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Data subject rights — access, rectification, erasure, portability (§33–36)</w:t>
            </w:r>
          </w:p>
        </w:tc>
        <w:tc>
          <w:tcPr>
            <w:tcW w:type="pct" w:w="6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Self-service portal for access + rectification; erasure honored unless legal retention (AML = 7 years); JSON export via API</w:t>
            </w:r>
          </w:p>
        </w:tc>
      </w:tr>
      <w:tr>
        <w:trPr>
          <w:cantSplit/>
        </w:trPr>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Cross-border transfer (§84)</w:t>
            </w:r>
          </w:p>
        </w:tc>
        <w:tc>
          <w:tcPr>
            <w:tcW w:type="pct" w:w="6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Lawful basis documented; Standard Contractual Clauses (SCCs) with AWS; transfer impact assessment completed; primary region af-west-1</w:t>
            </w:r>
          </w:p>
        </w:tc>
      </w:tr>
      <w:tr>
        <w:trPr>
          <w:cantSplit/>
        </w:trPr>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Data breach notification (§38)</w:t>
            </w:r>
          </w:p>
        </w:tc>
        <w:tc>
          <w:tcPr>
            <w:tcW w:type="pct" w:w="6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Notification to Data Protection Commission within 72 hours; affected subjects notified without undue delay</w:t>
            </w:r>
          </w:p>
        </w:tc>
      </w:tr>
      <w:tr>
        <w:trPr>
          <w:cantSplit/>
        </w:trPr>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Data Protection Officer (§24)</w:t>
            </w:r>
          </w:p>
        </w:tc>
        <w:tc>
          <w:tcPr>
            <w:tcW w:type="pct" w:w="6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Vendor-side DPO + Chamber-side DPO (Efua Boateng)</w:t>
            </w:r>
          </w:p>
        </w:tc>
      </w:tr>
      <w:tr>
        <w:trPr>
          <w:cantSplit/>
        </w:trPr>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Retention</w:t>
            </w:r>
          </w:p>
        </w:tc>
        <w:tc>
          <w:tcPr>
            <w:tcW w:type="pct" w:w="6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Personal data retained 7 years post-account-closure (AML requirement); thereafter securely destroyed</w:t>
            </w:r>
          </w:p>
        </w:tc>
      </w:tr>
    </w:tbl>
    <w:p>
      <w:pPr>
        <w:pStyle w:val="Heading3"/>
        <w:spacing w:after="120" w:before="240" w:line="312"/>
      </w:pPr>
      <w:bookmarkStart w:id="100119" w:name="_Toc100119"/>
      <w:r>
        <w:rPr>
          <w:rFonts w:ascii="Calibri" w:eastAsia="Calibri"/>
          <w:b/>
          <w:bCs/>
          <w:color w:val="1A2B4A"/>
          <w:sz w:val="24"/>
          <w:szCs w:val="24"/>
        </w:rPr>
        <w:t xml:space="preserve">Bank of Ghana AML/CFT/CPF Directives — Selected Controls</w:t>
      </w:r>
      <w:bookmarkEnd w:id="100119"/>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tblGrid>
      <w:tr>
        <w:trPr>
          <w:cantSplit/>
          <w:tblHeader/>
        </w:trPr>
        <w:tc>
          <w:tcPr>
            <w:tcW w:type="pct" w:w="3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Requirement</w:t>
            </w:r>
          </w:p>
        </w:tc>
        <w:tc>
          <w:tcPr>
            <w:tcW w:type="pct" w:w="6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How We Comply</w:t>
            </w:r>
          </w:p>
        </w:tc>
      </w:tr>
      <w:tr>
        <w:trPr>
          <w:cantSplit/>
        </w:trPr>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Customer Due Diligence (CDD)</w:t>
            </w:r>
          </w:p>
        </w:tc>
        <w:tc>
          <w:tcPr>
            <w:tcW w:type="pct" w:w="6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Three-tier CDD: Simplified (Tier 2 low-value), Standard (default), Enhanced (PEPs, high-risk jurisdictions, high-value trades ≥ US$100K)</w:t>
            </w:r>
          </w:p>
        </w:tc>
      </w:tr>
      <w:tr>
        <w:trPr>
          <w:cantSplit/>
        </w:trPr>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Beneficial ownership identification</w:t>
            </w:r>
          </w:p>
        </w:tc>
        <w:tc>
          <w:tcPr>
            <w:tcW w:type="pct" w:w="6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Required at onboarding for all organizations. Beneficial owners defined as ≥ 10% ownership or control. Verified against Ghana BO Registry + Chamber registry</w:t>
            </w:r>
          </w:p>
        </w:tc>
      </w:tr>
      <w:tr>
        <w:trPr>
          <w:cantSplit/>
        </w:trPr>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PEP screening</w:t>
            </w:r>
          </w:p>
        </w:tc>
        <w:tc>
          <w:tcPr>
            <w:tcW w:type="pct" w:w="6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All members + beneficial owners screened against PEP database. PEP status triggers Enhanced Due Diligence</w:t>
            </w:r>
          </w:p>
        </w:tc>
      </w:tr>
      <w:tr>
        <w:trPr>
          <w:cantSplit/>
        </w:trPr>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Sanction list screening</w:t>
            </w:r>
          </w:p>
        </w:tc>
        <w:tc>
          <w:tcPr>
            <w:tcW w:type="pct" w:w="6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Daily refresh of OFAC SDN, EU consolidated, UN Security Council, Ghana MoF. Re-screen on every trade event</w:t>
            </w:r>
          </w:p>
        </w:tc>
      </w:tr>
      <w:tr>
        <w:trPr>
          <w:cantSplit/>
        </w:trPr>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Suspicious Transaction Reporting</w:t>
            </w:r>
          </w:p>
        </w:tc>
        <w:tc>
          <w:tcPr>
            <w:tcW w:type="pct" w:w="6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Compliance Officer files SAR with FIC within 24 hours of detection via platform-integrated workflow</w:t>
            </w:r>
          </w:p>
        </w:tc>
      </w:tr>
      <w:tr>
        <w:trPr>
          <w:cantSplit/>
        </w:trPr>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Record keeping (§30)</w:t>
            </w:r>
          </w:p>
        </w:tc>
        <w:tc>
          <w:tcPr>
            <w:tcW w:type="pct" w:w="6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All trade + KYC records retained 7 years; tamper-evident audit log; retrievable within 24 hours for regulatory request</w:t>
            </w:r>
          </w:p>
        </w:tc>
      </w:tr>
    </w:tbl>
    <w:p>
      <w:pPr>
        <w:pStyle w:val="Heading3"/>
        <w:spacing w:after="120" w:before="240" w:line="312"/>
      </w:pPr>
      <w:bookmarkStart w:id="100120" w:name="_Toc100120"/>
      <w:r>
        <w:rPr>
          <w:rFonts w:ascii="Calibri" w:eastAsia="Calibri"/>
          <w:b/>
          <w:bCs/>
          <w:color w:val="1A2B4A"/>
          <w:sz w:val="24"/>
          <w:szCs w:val="24"/>
        </w:rPr>
        <w:t xml:space="preserve">SOC 2 Type II + ISO 27001 Roadmap</w:t>
      </w:r>
      <w:bookmarkEnd w:id="100120"/>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Framework</w:t>
            </w:r>
          </w:p>
        </w:tc>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Status</w:t>
            </w:r>
          </w:p>
        </w:tc>
        <w:tc>
          <w:tcPr>
            <w:tcW w:type="pct" w:w="5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Target</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SOC 2 Type I</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 progress</w:t>
            </w:r>
          </w:p>
        </w:tc>
        <w:tc>
          <w:tcPr>
            <w:tcW w:type="pct" w:w="5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Q1 2028 — readiness Q3 2027; controls operational Q4 2027</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SOC 2 Type II</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In progress</w:t>
            </w:r>
          </w:p>
        </w:tc>
        <w:tc>
          <w:tcPr>
            <w:tcW w:type="pct" w:w="5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Q3 2028 — 12-month observation from Type I (Charter Objective #5)</w:t>
            </w:r>
          </w:p>
        </w:tc>
      </w:tr>
      <w:tr>
        <w:trPr>
          <w:cantSplit/>
        </w:trPr>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ISO 27001:2022</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Planned</w:t>
            </w:r>
          </w:p>
        </w:tc>
        <w:tc>
          <w:tcPr>
            <w:tcW w:type="pct" w:w="5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Year 2 (2029) — gap assessment Q2 2028; certification audit Q4 2028</w:t>
            </w:r>
          </w:p>
        </w:tc>
      </w:tr>
      <w:tr>
        <w:trPr>
          <w:cantSplit/>
        </w:trPr>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ISO 27701 (Privacy)</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Planned</w:t>
            </w:r>
          </w:p>
        </w:tc>
        <w:tc>
          <w:tcPr>
            <w:tcW w:type="pct" w:w="5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Year 3 (2029) — build on ISO 27001</w:t>
            </w:r>
          </w:p>
        </w:tc>
      </w:tr>
    </w:tbl>
    <w:p>
      <w:pPr>
        <w:pStyle w:val="Heading2"/>
        <w:spacing w:after="160" w:before="360" w:line="312"/>
      </w:pPr>
      <w:bookmarkStart w:id="100121" w:name="_Toc100121"/>
      <w:r>
        <w:rPr>
          <w:rFonts w:ascii="Calibri" w:eastAsia="Calibri"/>
          <w:b/>
          <w:bCs/>
          <w:color w:val="1A2B4A"/>
          <w:sz w:val="28"/>
          <w:szCs w:val="28"/>
        </w:rPr>
        <w:t xml:space="preserve">7.7 Incident Response</w:t>
      </w:r>
      <w:bookmarkEnd w:id="100121"/>
    </w:p>
    <w:p>
      <w:pPr>
        <w:pStyle w:val="Heading3"/>
        <w:spacing w:after="120" w:before="240" w:line="312"/>
      </w:pPr>
      <w:bookmarkStart w:id="100122" w:name="_Toc100122"/>
      <w:r>
        <w:rPr>
          <w:rFonts w:ascii="Calibri" w:eastAsia="Calibri"/>
          <w:b/>
          <w:bCs/>
          <w:color w:val="1A2B4A"/>
          <w:sz w:val="24"/>
          <w:szCs w:val="24"/>
        </w:rPr>
        <w:t xml:space="preserve">Severity Definitions</w:t>
      </w:r>
      <w:bookmarkEnd w:id="100122"/>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12%"/>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Severity</w:t>
            </w:r>
          </w:p>
        </w:tc>
        <w:tc>
          <w:tcPr>
            <w:tcW w:type="pct" w:w="48%"/>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Definition</w:t>
            </w:r>
          </w:p>
        </w:tc>
        <w:tc>
          <w:tcPr>
            <w:tcW w:type="pct" w:w="4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Response Time</w:t>
            </w:r>
          </w:p>
        </w:tc>
      </w:tr>
      <w:tr>
        <w:trPr>
          <w:cantSplit/>
        </w:trPr>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SEV-1</w:t>
            </w:r>
          </w:p>
        </w:tc>
        <w:tc>
          <w:tcPr>
            <w:tcW w:type="pct" w:w="4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Production down; data loss; trade-blocking; security breach</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5 min ack, 15 min mitigation start; page on-call + Security Eng + Vendor PM; notify Chamber PMO within 15 min</w:t>
            </w:r>
          </w:p>
        </w:tc>
      </w:tr>
      <w:tr>
        <w:trPr>
          <w:cantSplit/>
        </w:trPr>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SEV-2</w:t>
            </w:r>
          </w:p>
        </w:tc>
        <w:tc>
          <w:tcPr>
            <w:tcW w:type="pct" w:w="4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Significant degradation; trade-friction; non-critical path broken</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30 min ack, 2 hr mitigation; page on-call SRE; notify Chamber PMO within 1 hr</w:t>
            </w:r>
          </w:p>
        </w:tc>
      </w:tr>
      <w:tr>
        <w:trPr>
          <w:cantSplit/>
        </w:trPr>
        <w:tc>
          <w:tcPr>
            <w:tcW w:type="pct" w:w="12%"/>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SEV-3</w:t>
            </w:r>
          </w:p>
        </w:tc>
        <w:tc>
          <w:tcPr>
            <w:tcW w:type="pct" w:w="48%"/>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Minor issue; workaround exists</w:t>
            </w:r>
          </w:p>
        </w:tc>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Next business day</w:t>
            </w:r>
          </w:p>
        </w:tc>
      </w:tr>
      <w:tr>
        <w:trPr>
          <w:cantSplit/>
        </w:trPr>
        <w:tc>
          <w:tcPr>
            <w:tcW w:type="pct" w:w="12%"/>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SEV-4</w:t>
            </w:r>
          </w:p>
        </w:tc>
        <w:tc>
          <w:tcPr>
            <w:tcW w:type="pct" w:w="48%"/>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Cosmetic; non-impactful</w:t>
            </w:r>
          </w:p>
        </w:tc>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Backlog</w:t>
            </w:r>
          </w:p>
        </w:tc>
      </w:tr>
    </w:tbl>
    <w:p>
      <w:pPr>
        <w:pStyle w:val="Heading3"/>
        <w:spacing w:after="120" w:before="240" w:line="312"/>
      </w:pPr>
      <w:bookmarkStart w:id="100123" w:name="_Toc100123"/>
      <w:r>
        <w:rPr>
          <w:rFonts w:ascii="Calibri" w:eastAsia="Calibri"/>
          <w:b/>
          <w:bCs/>
          <w:color w:val="1A2B4A"/>
          <w:sz w:val="24"/>
          <w:szCs w:val="24"/>
        </w:rPr>
        <w:t xml:space="preserve">Notification Timelines</w:t>
      </w:r>
      <w:bookmarkEnd w:id="100123"/>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4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Trigger</w:t>
            </w:r>
          </w:p>
        </w:tc>
        <w:tc>
          <w:tcPr>
            <w:tcW w:type="pct" w:w="3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Recipient</w:t>
            </w:r>
          </w:p>
        </w:tc>
        <w:tc>
          <w:tcPr>
            <w:tcW w:type="pct" w:w="25%"/>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Timeline</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Personal data breach (DPA §38)</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Ghana Data Protection Commission</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Within 72 hours of awareness</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Personal data breach (high risk)</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Affected data subjects</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Without undue delay after DPC notification</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 data breach / suspicious trading</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Bank of Ghana (Financial Stability Dept.)</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Within 24 hours</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Trade data breach (material to Chamber)</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Chamber Executive Council</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Within 4 hours</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Material security incident affecting Tier 1 buyers</w:t>
            </w:r>
          </w:p>
        </w:tc>
        <w:tc>
          <w:tcPr>
            <w:tcW w:type="pct" w:w="3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Affected Tier 1 buyer's compliance team</w:t>
            </w:r>
          </w:p>
        </w:tc>
        <w:tc>
          <w:tcPr>
            <w:tcW w:type="pct" w:w="25%"/>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Within 24 hours (per MSA)</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SOC 2 reportable incident</w:t>
            </w:r>
          </w:p>
        </w:tc>
        <w:tc>
          <w:tcPr>
            <w:tcW w:type="pct" w:w="3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SOC 2 auditor</w:t>
            </w:r>
          </w:p>
        </w:tc>
        <w:tc>
          <w:tcPr>
            <w:tcW w:type="pct" w:w="25%"/>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At next quarterly audit window</w:t>
            </w:r>
          </w:p>
        </w:tc>
      </w:tr>
    </w:tbl>
    <w:p>
      <w:pPr>
        <w:pStyle w:val="Heading2"/>
        <w:spacing w:after="160" w:before="360" w:line="312"/>
      </w:pPr>
      <w:bookmarkStart w:id="100124" w:name="_Toc100124"/>
      <w:r>
        <w:rPr>
          <w:rFonts w:ascii="Calibri" w:eastAsia="Calibri"/>
          <w:b/>
          <w:bCs/>
          <w:color w:val="1A2B4A"/>
          <w:sz w:val="28"/>
          <w:szCs w:val="28"/>
        </w:rPr>
        <w:t xml:space="preserve">7.8 Audit &amp; Assurance</w:t>
      </w:r>
      <w:bookmarkEnd w:id="100124"/>
    </w:p>
    <w:tbl>
      <w:tblPr>
        <w:tblW w:type="pct" w:w="100%"/>
        <w:tblBorders>
          <w:top w:val="single" w:color="1A2B4A" w:sz="8"/>
          <w:left w:val="none" w:color="FFFFFF" w:sz="0"/>
          <w:bottom w:val="single" w:color="1A2B4A" w:sz="8"/>
          <w:right w:val="none" w:color="FFFFFF" w:sz="0"/>
          <w:insideH w:val="single" w:color="E5E7EB" w:sz="1"/>
          <w:insideV w:val="none" w:color="FFFFFF" w:sz="0"/>
        </w:tblBorders>
      </w:tblPr>
      <w:tblGrid>
        <w:gridCol w:w="100"/>
        <w:gridCol w:w="100"/>
        <w:gridCol w:w="100"/>
      </w:tblGrid>
      <w:tr>
        <w:trPr>
          <w:cantSplit/>
          <w:tblHeader/>
        </w:trPr>
        <w:tc>
          <w:tcPr>
            <w:tcW w:type="pct" w:w="4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Audit</w:t>
            </w:r>
          </w:p>
        </w:tc>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Frequency</w:t>
            </w:r>
          </w:p>
        </w:tc>
        <w:tc>
          <w:tcPr>
            <w:tcW w:type="pct" w:w="30%"/>
            <w:shd w:fill="1A2B4A" w:val="clear"/>
            <w:tcMar>
              <w:top w:type="dxa" w:w="100"/>
              <w:left w:type="dxa" w:w="120"/>
              <w:bottom w:type="dxa" w:w="100"/>
              <w:right w:type="dxa" w:w="120"/>
            </w:tcMar>
            <w:vAlign w:val="center"/>
          </w:tcPr>
          <w:p>
            <w:pPr>
              <w:spacing w:line="280"/>
              <w:jc w:val="left"/>
            </w:pPr>
            <w:r>
              <w:rPr>
                <w:rFonts w:ascii="Calibri" w:eastAsia="Calibri"/>
                <w:b/>
                <w:bCs/>
                <w:color w:val="FFFFFF"/>
                <w:sz w:val="20"/>
                <w:szCs w:val="20"/>
              </w:rPr>
              <w:t xml:space="preserve">Owner</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Access review (IAM + Auth0)</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Quarterly</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Security Eng</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Secrets access review</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Quarterly</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Security Eng</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Change management review</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Quarterly</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Vendor PM</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DR test (staging)</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Quarterly</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SRE</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DR test (prod)</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Annually</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SRE + Vendor PM + Chamber PMO</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Audit log integrity test</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Weekly (automated)</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Compliance Eng</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Penetration test</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Annually + on major releases</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Security Eng + Vendor PM</w:t>
            </w:r>
          </w:p>
        </w:tc>
      </w:tr>
      <w:tr>
        <w:trPr>
          <w:cantSplit/>
        </w:trPr>
        <w:tc>
          <w:tcPr>
            <w:tcW w:type="pct" w:w="4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AML compliance audit</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Annually (third-party)</w:t>
            </w:r>
          </w:p>
        </w:tc>
        <w:tc>
          <w:tcPr>
            <w:tcW w:type="pct" w:w="30%"/>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Compliance Officer (Chamber)</w:t>
            </w:r>
          </w:p>
        </w:tc>
      </w:tr>
      <w:tr>
        <w:trPr>
          <w:cantSplit/>
        </w:trPr>
        <w:tc>
          <w:tcPr>
            <w:tcW w:type="pct" w:w="4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Privacy impact assessment</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Annually + on material change</w:t>
            </w:r>
          </w:p>
        </w:tc>
        <w:tc>
          <w:tcPr>
            <w:tcW w:type="pct" w:w="30%"/>
            <w:shd w:fill="F8F9FA" w:val="clear"/>
            <w:tcMar>
              <w:top w:type="dxa" w:w="80"/>
              <w:left w:type="dxa" w:w="120"/>
              <w:bottom w:type="dxa" w:w="80"/>
              <w:right w:type="dxa" w:w="120"/>
            </w:tcMar>
            <w:vAlign w:val="center"/>
          </w:tcPr>
          <w:p>
            <w:pPr>
              <w:spacing w:line="280"/>
              <w:jc w:val="left"/>
            </w:pPr>
            <w:r>
              <w:rPr>
                <w:rFonts w:ascii="Calibri" w:eastAsia="Calibri"/>
                <w:b w:val="false"/>
                <w:bCs w:val="false"/>
                <w:color w:val="1F2937"/>
                <w:sz w:val="20"/>
                <w:szCs w:val="20"/>
              </w:rPr>
              <w:t xml:space="preserve">DPO</w:t>
            </w:r>
          </w:p>
        </w:tc>
      </w:tr>
    </w:tbl>
    <w:p>
      <w:pPr>
        <w:pBdr>
          <w:bottom w:val="single" w:color="B8860B" w:sz="12" w:space="1"/>
        </w:pBdr>
        <w:spacing w:after="120" w:before="120"/>
      </w:pPr>
      <w:r>
        <w:rPr>
          <w:sz w:val="2"/>
          <w:szCs w:val="2"/>
        </w:rPr>
        <w:t xml:space="preserve"/>
      </w:r>
    </w:p>
    <w:p>
      <w:pPr>
        <w:pStyle w:val="Heading2"/>
        <w:spacing w:after="160" w:before="360" w:line="312"/>
      </w:pPr>
      <w:bookmarkStart w:id="100125" w:name="_Toc100125"/>
      <w:r>
        <w:rPr>
          <w:rFonts w:ascii="Calibri" w:eastAsia="Calibri"/>
          <w:b/>
          <w:bCs/>
          <w:color w:val="1A2B4A"/>
          <w:sz w:val="28"/>
          <w:szCs w:val="28"/>
        </w:rPr>
        <w:t xml:space="preserve">Cross-References</w:t>
      </w:r>
      <w:bookmarkEnd w:id="100125"/>
    </w:p>
    <w:p>
      <w:pPr>
        <w:spacing w:after="120" w:line="312"/>
        <w:ind w:firstLine="0"/>
        <w:jc w:val="both"/>
      </w:pPr>
      <w:r>
        <w:rPr>
          <w:rFonts w:ascii="Calibri" w:eastAsia="Calibri"/>
          <w:color w:val="1F2937"/>
          <w:sz w:val="22"/>
          <w:szCs w:val="22"/>
        </w:rPr>
        <w:t xml:space="preserve">This document suite is designed as a coherent whole. The Charter's objectives (Doc 1 §3.2) flow into User Personas (Doc 2), which drive User Success Journeys (Doc 3), which inform System Architecture (Doc 4), which is operationalized by User/System Flows (Doc 5), supported by DevOps runbooks (Doc 6), and governed by Security &amp; Compliance controls (Doc 7). Specific cross-references appear at the end of each document. The full suite — including the master README with reading paths for executives, PMs, architects, engineers, and auditors — is available alongside this Word document as an animated HTML presentation and as the original Markdown source.</w:t>
      </w:r>
    </w:p>
    <w:p>
      <w:pPr>
        <w:pBdr>
          <w:left w:val="single" w:color="B8860B" w:sz="18" w:space="12"/>
        </w:pBdr>
        <w:shd w:fill="FCEFC7" w:val="clear"/>
        <w:spacing w:after="160" w:before="160" w:line="312"/>
        <w:ind w:left="240"/>
      </w:pPr>
      <w:r>
        <w:rPr>
          <w:rFonts w:ascii="Calibri" w:eastAsia="Calibri"/>
          <w:i/>
          <w:iCs/>
          <w:color w:val="1A2B4A"/>
          <w:sz w:val="22"/>
          <w:szCs w:val="22"/>
        </w:rPr>
        <w:t xml:space="preserve">This documentation suite is the confidential, proprietary work product of Vanta Technologies Ltd. and the Ghana Chamber of Gold Buyers. Distribution is restricted to authorized project stakeholders. Personal names in this document are placeholders pending confirmation by the project's joint Change Control Board.</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spacing w:before="0"/>
      <w:jc w:val="center"/>
    </w:pPr>
    <w:r>
      <w:rPr>
        <w:rFonts w:ascii="Calibri" w:eastAsia="Calibri"/>
        <w:color w:val="6B7280"/>
        <w:sz w:val="16"/>
        <w:szCs w:val="16"/>
      </w:rPr>
      <w:t xml:space="preserve">Confidential  •  </w:t>
    </w:r>
    <w:r>
      <w:rPr>
        <w:rFonts w:ascii="Calibri" w:eastAsia="Calibri"/>
        <w:b/>
        <w:bCs/>
        <w:color w:val="B8860B"/>
        <w:sz w:val="16"/>
        <w:szCs w:val="16"/>
      </w:rPr>
      <w:fldChar w:fldCharType="begin"/>
      <w:instrText xml:space="preserve">PAGE</w:instrText>
      <w:fldChar w:fldCharType="separate"/>
      <w:fldChar w:fldCharType="end"/>
    </w:r>
    <w:r>
      <w:rPr>
        <w:rFonts w:ascii="Calibri" w:eastAsia="Calibri"/>
        <w:color w:val="6B7280"/>
        <w:sz w:val="16"/>
        <w:szCs w:val="16"/>
      </w:rPr>
      <w:t xml:space="preserve">  •  Project Aurum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spacing w:after="0"/>
      <w:jc w:val="right"/>
    </w:pPr>
    <w:r>
      <w:rPr>
        <w:rFonts w:ascii="Calibri" w:eastAsia="Calibri"/>
        <w:i/>
        <w:iCs/>
        <w:color w:val="6B7280"/>
        <w:sz w:val="16"/>
        <w:szCs w:val="16"/>
      </w:rPr>
      <w:t xml:space="preserve">AurumX  •  Ghana Gold Exchange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F2937"/>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12"/>
      <w:outlineLvl w:val="0"/>
    </w:pPr>
    <w:rPr>
      <w:rFonts w:ascii="Calibri" w:eastAsia="Calibri"/>
      <w:b/>
      <w:bCs/>
      <w:color w:val="1A2B4A"/>
      <w:sz w:val="36"/>
      <w:szCs w:val="36"/>
    </w:rPr>
  </w:style>
  <w:style w:type="paragraph" w:styleId="Heading2">
    <w:name w:val="Heading 2"/>
    <w:basedOn w:val="Normal"/>
    <w:next w:val="Normal"/>
    <w:qFormat/>
    <w:pPr>
      <w:spacing w:after="160" w:before="360" w:line="312"/>
      <w:outlineLvl w:val="1"/>
    </w:pPr>
    <w:rPr>
      <w:rFonts w:ascii="Calibri" w:eastAsia="Calibri"/>
      <w:b/>
      <w:bCs/>
      <w:color w:val="1A2B4A"/>
      <w:sz w:val="28"/>
      <w:szCs w:val="28"/>
    </w:rPr>
  </w:style>
  <w:style w:type="paragraph" w:styleId="Heading3">
    <w:name w:val="Heading 3"/>
    <w:basedOn w:val="Normal"/>
    <w:next w:val="Normal"/>
    <w:qFormat/>
    <w:pPr>
      <w:spacing w:after="120" w:before="240" w:line="312"/>
      <w:outlineLvl w:val="2"/>
    </w:pPr>
    <w:rPr>
      <w:rFonts w:ascii="Calibri" w:eastAsia="Calibri"/>
      <w:b/>
      <w:bCs/>
      <w:color w:val="1A2B4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AurumX — Ghana Gold Exchange Platform Documentation Suite</dc:title>
  <dc:creator>Vanta Technologies Ltd.</dc:creator>
  <dc:description>Project Documentation Suite for the Ghana Gold Exchange Platform (AurumX)</dc:description>
  <cp:lastModifiedBy>Un-named</cp:lastModifiedBy>
  <cp:revision>1</cp:revision>
  <dcterms:created xsi:type="dcterms:W3CDTF">2026-08-12T12:08:00.365Z</dcterms:created>
  <dcterms:modified xsi:type="dcterms:W3CDTF">2026-08-12T12:08:00.365Z</dcterms:modified>
</cp:coreProperties>
</file>

<file path=docProps/custom.xml><?xml version="1.0" encoding="utf-8"?>
<Properties xmlns="http://schemas.openxmlformats.org/officeDocument/2006/custom-properties" xmlns:vt="http://schemas.openxmlformats.org/officeDocument/2006/docPropsVTypes"/>
</file>