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9C6F1E"/>
          <w:spacing w:val="40"/>
          <w:sz w:val="20"/>
          <w:szCs w:val="20"/>
        </w:rPr>
        <w:t xml:space="preserve">PROPOSAL</w:t>
      </w:r>
    </w:p>
    <w:p>
      <w:pPr>
        <w:spacing w:after="300"/>
        <w:jc w:val="center"/>
      </w:pPr>
      <w:r>
        <w:rPr>
          <w:color w:val="222222"/>
          <w:sz w:val="30"/>
          <w:szCs w:val="30"/>
        </w:rPr>
        <w:t xml:space="preserve">A Digital Trading Platform for the</w:t>
      </w:r>
    </w:p>
    <w:p>
      <w:pPr>
        <w:spacing w:after="600"/>
        <w:jc w:val="center"/>
      </w:pPr>
      <w:r>
        <w:rPr>
          <w:b/>
          <w:bCs/>
          <w:color w:val="9C6F1E"/>
          <w:sz w:val="44"/>
          <w:szCs w:val="44"/>
        </w:rPr>
        <w:t xml:space="preserve">Ghana Chamber of Gold Buyers</w:t>
      </w:r>
    </w:p>
    <w:p>
      <w:pPr>
        <w:spacing w:after="3000"/>
        <w:jc w:val="center"/>
      </w:pPr>
      <w:r>
        <w:rPr>
          <w:i/>
          <w:iCs/>
          <w:color w:val="222222"/>
          <w:sz w:val="24"/>
          <w:szCs w:val="24"/>
        </w:rPr>
        <w:t xml:space="preserve">Building a Controlled, Compliant B2B Exchange for Tier 1 and Tier 2 Gold Trading</w:t>
      </w:r>
    </w:p>
    <w:p>
      <w:pPr>
        <w:pBdr>
          <w:top w:val="single" w:color="9C6F1E" w:sz="6" w:space="8"/>
        </w:pBdr>
        <w:spacing w:after="100" w:before="3600"/>
        <w:jc w:val="center"/>
      </w:pPr>
      <w:r>
        <w:rPr>
          <w:color w:val="222222"/>
          <w:sz w:val="20"/>
          <w:szCs w:val="20"/>
        </w:rPr>
        <w:t xml:space="preserve">Prepared for the Ghana Chamber of Gold Buyers</w:t>
      </w:r>
    </w:p>
    <w:p>
      <w:pPr>
        <w:jc w:val="center"/>
      </w:pPr>
      <w:r>
        <w:rPr>
          <w:color w:val="666666"/>
          <w:sz w:val="20"/>
          <w:szCs w:val="20"/>
        </w:rPr>
        <w:t xml:space="preserve">August 2026</w:t>
      </w:r>
    </w:p>
    <w:p>
      <w:pPr>
        <w:sectPr>
          <w:pgSz w:w="12240" w:h="15840" w:orient="portrait"/>
          <w:pgMar w:top="1440" w:right="1440" w:bottom="1440" w:left="1440" w:header="708" w:footer="708" w:gutter="0"/>
          <w:pgNumType/>
          <w:docGrid w:linePitch="360"/>
        </w:sectPr>
      </w:pPr>
    </w:p>
    <w:p>
      <w:pPr>
        <w:pStyle w:val="Heading1"/>
        <w:pBdr>
          <w:bottom w:val="single" w:color="9C6F1E" w:sz="6" w:space="4"/>
        </w:pBdr>
        <w:spacing w:after="160" w:before="360"/>
      </w:pPr>
      <w:r>
        <w:rPr>
          <w:b/>
          <w:bCs/>
          <w:color w:val="9C6F1E"/>
          <w:sz w:val="28"/>
          <w:szCs w:val="28"/>
        </w:rPr>
        <w:t xml:space="preserve">1. Purpose of This Proposal</w:t>
      </w:r>
    </w:p>
    <w:p>
      <w:pPr>
        <w:spacing w:after="160" w:line="276"/>
      </w:pPr>
      <w:r>
        <w:rPr>
          <w:sz w:val="22"/>
          <w:szCs w:val="22"/>
        </w:rPr>
        <w:t xml:space="preserve">This document sets out a recommended approach for a digital trading platform to serve the Ghana Chamber of Gold Buyers and its members — Tier 1 Buyers (large refiners, bullion banks, international traders) and Tier 2 Buyers (licensed local exporters, aggregators, jewelers, and manufacturers).</w:t>
      </w:r>
    </w:p>
    <w:p>
      <w:pPr>
        <w:spacing w:after="160" w:line="276"/>
      </w:pPr>
      <w:r>
        <w:rPr>
          <w:sz w:val="22"/>
          <w:szCs w:val="22"/>
        </w:rPr>
        <w:t xml:space="preserve">Its purpose is to give the Chamber a clear view of what kind of platform best fits the gold trade, how it would operate, what it could generate in recurring revenue, and how a technology partnership could be structured so the Chamber bears little to no upfront cost.</w:t>
      </w:r>
    </w:p>
    <w:p>
      <w:pPr>
        <w:pStyle w:val="Heading1"/>
        <w:pBdr>
          <w:bottom w:val="single" w:color="9C6F1E" w:sz="6" w:space="4"/>
        </w:pBdr>
        <w:spacing w:after="160" w:before="360"/>
      </w:pPr>
      <w:r>
        <w:rPr>
          <w:b/>
          <w:bCs/>
          <w:color w:val="9C6F1E"/>
          <w:sz w:val="28"/>
          <w:szCs w:val="28"/>
        </w:rPr>
        <w:t xml:space="preserve">2. Recommended Approach</w:t>
      </w:r>
    </w:p>
    <w:p>
      <w:pPr>
        <w:spacing w:after="160" w:line="276"/>
      </w:pPr>
      <w:r>
        <w:rPr>
          <w:sz w:val="22"/>
          <w:szCs w:val="22"/>
        </w:rPr>
        <w:t xml:space="preserve">Gold trading is high-value and heavily regulated, which makes an open marketplace model — the Alibaba style of "list and buy" — a poor fit. The Chamber's platform should instead operate as a controlled exchange: a system built around verified membership, Requests for Quote (RFQs), negotiated trading, and optional auctions, with every transaction traceable and subject to Chamber oversight.</w:t>
      </w:r>
    </w:p>
    <w:p>
      <w:pPr>
        <w:spacing w:after="160" w:line="276"/>
      </w:pPr>
      <w:r>
        <w:rPr>
          <w:sz w:val="22"/>
          <w:szCs w:val="22"/>
        </w:rPr>
        <w:t xml:space="preserve">Trading is only one part of the platform. Positioned well, it becomes the foundation of a broader member-services ecosystem — one that helps the Chamber manage its members, formalize trading processes, and build new, recurring sources of income that hold up even when trading volumes fluctuate.</w:t>
      </w:r>
    </w:p>
    <w:p>
      <w:pPr>
        <w:pStyle w:val="Heading1"/>
        <w:pBdr>
          <w:bottom w:val="single" w:color="9C6F1E" w:sz="6" w:space="4"/>
        </w:pBdr>
        <w:spacing w:after="160" w:before="360"/>
      </w:pPr>
      <w:r>
        <w:rPr>
          <w:b/>
          <w:bCs/>
          <w:color w:val="9C6F1E"/>
          <w:sz w:val="28"/>
          <w:szCs w:val="28"/>
        </w:rPr>
        <w:t xml:space="preserve">3. How the Platform Would Operate</w:t>
      </w:r>
    </w:p>
    <w:p>
      <w:pPr>
        <w:spacing w:after="160" w:line="276"/>
      </w:pPr>
      <w:r>
        <w:rPr>
          <w:sz w:val="22"/>
          <w:szCs w:val="22"/>
        </w:rPr>
        <w:t xml:space="preserve">Every participant — buyer or seller — is verified and licensed before being granted access to the platform. From there, a trade moves through a controlled sequence rather than a simple listing-and-checkout process:</w:t>
      </w:r>
    </w:p>
    <w:p>
      <w:pPr>
        <w:spacing w:after="80"/>
      </w:pPr>
      <w:r>
        <w:rPr>
          <w:b/>
          <w:bCs/>
          <w:color w:val="9C6F1E"/>
          <w:sz w:val="22"/>
          <w:szCs w:val="22"/>
        </w:rPr>
        <w:t xml:space="preserve">1. </w:t>
      </w:r>
      <w:r>
        <w:rPr>
          <w:sz w:val="22"/>
          <w:szCs w:val="22"/>
        </w:rPr>
        <w:t xml:space="preserve">A seller lists an available gold lot on the platform.</w:t>
      </w:r>
    </w:p>
    <w:p>
      <w:pPr>
        <w:spacing w:after="80"/>
      </w:pPr>
      <w:r>
        <w:rPr>
          <w:b/>
          <w:bCs/>
          <w:color w:val="9C6F1E"/>
          <w:sz w:val="22"/>
          <w:szCs w:val="22"/>
        </w:rPr>
        <w:t xml:space="preserve">2. </w:t>
      </w:r>
      <w:r>
        <w:rPr>
          <w:sz w:val="22"/>
          <w:szCs w:val="22"/>
        </w:rPr>
        <w:t xml:space="preserve">Tier 1 and Tier 2 buyers submit bids or RFQ responses.</w:t>
      </w:r>
    </w:p>
    <w:p>
      <w:pPr>
        <w:spacing w:after="80"/>
      </w:pPr>
      <w:r>
        <w:rPr>
          <w:b/>
          <w:bCs/>
          <w:color w:val="9C6F1E"/>
          <w:sz w:val="22"/>
          <w:szCs w:val="22"/>
        </w:rPr>
        <w:t xml:space="preserve">3. </w:t>
      </w:r>
      <w:r>
        <w:rPr>
          <w:sz w:val="22"/>
          <w:szCs w:val="22"/>
        </w:rPr>
        <w:t xml:space="preserve">The seller compares the offers received.</w:t>
      </w:r>
    </w:p>
    <w:p>
      <w:pPr>
        <w:spacing w:after="80"/>
      </w:pPr>
      <w:r>
        <w:rPr>
          <w:b/>
          <w:bCs/>
          <w:color w:val="9C6F1E"/>
          <w:sz w:val="22"/>
          <w:szCs w:val="22"/>
        </w:rPr>
        <w:t xml:space="preserve">4. </w:t>
      </w:r>
      <w:r>
        <w:rPr>
          <w:sz w:val="22"/>
          <w:szCs w:val="22"/>
        </w:rPr>
        <w:t xml:space="preserve">Buyer and seller negotiate terms.</w:t>
      </w:r>
    </w:p>
    <w:p>
      <w:pPr>
        <w:spacing w:after="80"/>
      </w:pPr>
      <w:r>
        <w:rPr>
          <w:b/>
          <w:bCs/>
          <w:color w:val="9C6F1E"/>
          <w:sz w:val="22"/>
          <w:szCs w:val="22"/>
        </w:rPr>
        <w:t xml:space="preserve">5. </w:t>
      </w:r>
      <w:r>
        <w:rPr>
          <w:sz w:val="22"/>
          <w:szCs w:val="22"/>
        </w:rPr>
        <w:t xml:space="preserve">The Chamber reviews and approves the transaction.</w:t>
      </w:r>
    </w:p>
    <w:p>
      <w:pPr>
        <w:spacing w:after="80"/>
      </w:pPr>
      <w:r>
        <w:rPr>
          <w:b/>
          <w:bCs/>
          <w:color w:val="9C6F1E"/>
          <w:sz w:val="22"/>
          <w:szCs w:val="22"/>
        </w:rPr>
        <w:t xml:space="preserve">6. </w:t>
      </w:r>
      <w:r>
        <w:rPr>
          <w:sz w:val="22"/>
          <w:szCs w:val="22"/>
        </w:rPr>
        <w:t xml:space="preserve">Payment is placed into escrow.</w:t>
      </w:r>
    </w:p>
    <w:p>
      <w:pPr>
        <w:spacing w:after="80"/>
      </w:pPr>
      <w:r>
        <w:rPr>
          <w:b/>
          <w:bCs/>
          <w:color w:val="9C6F1E"/>
          <w:sz w:val="22"/>
          <w:szCs w:val="22"/>
        </w:rPr>
        <w:t xml:space="preserve">7. </w:t>
      </w:r>
      <w:r>
        <w:rPr>
          <w:sz w:val="22"/>
          <w:szCs w:val="22"/>
        </w:rPr>
        <w:t xml:space="preserve">The gold is delivered.</w:t>
      </w:r>
    </w:p>
    <w:p>
      <w:pPr>
        <w:spacing w:after="80"/>
      </w:pPr>
      <w:r>
        <w:rPr>
          <w:b/>
          <w:bCs/>
          <w:color w:val="9C6F1E"/>
          <w:sz w:val="22"/>
          <w:szCs w:val="22"/>
        </w:rPr>
        <w:t xml:space="preserve">8. </w:t>
      </w:r>
      <w:r>
        <w:rPr>
          <w:sz w:val="22"/>
          <w:szCs w:val="22"/>
        </w:rPr>
        <w:t xml:space="preserve">Ownership formally transfers.</w:t>
      </w:r>
    </w:p>
    <w:p>
      <w:pPr>
        <w:spacing w:after="160" w:line="276"/>
      </w:pPr>
      <w:r>
        <w:rPr>
          <w:sz w:val="22"/>
          <w:szCs w:val="22"/>
        </w:rPr>
        <w:t xml:space="preserve">For high-demand lots, an auction module — timed, reverse, or sealed-bid — can run alongside the RFQ system, with the highest qualified bidder winning.</w:t>
      </w:r>
    </w:p>
    <w:p>
      <w:pPr>
        <w:pStyle w:val="Heading2"/>
        <w:spacing w:after="120" w:before="260"/>
      </w:pPr>
      <w:r>
        <w:rPr>
          <w:b/>
          <w:bCs/>
          <w:color w:val="222222"/>
          <w:sz w:val="24"/>
          <w:szCs w:val="24"/>
        </w:rPr>
        <w:t xml:space="preserve">Core platform capabilities</w:t>
      </w:r>
    </w:p>
    <w:p>
      <w:pPr>
        <w:pStyle w:val="ListParagraph"/>
        <w:numPr>
          <w:ilvl w:val="0"/>
          <w:numId w:val="2"/>
        </w:numPr>
        <w:spacing w:after="80"/>
      </w:pPr>
      <w:r>
        <w:rPr>
          <w:sz w:val="22"/>
          <w:szCs w:val="22"/>
        </w:rPr>
        <w:t xml:space="preserve">Identity, licensing, and KYC/AML verification for every member</w:t>
      </w:r>
    </w:p>
    <w:p>
      <w:pPr>
        <w:pStyle w:val="ListParagraph"/>
        <w:numPr>
          <w:ilvl w:val="0"/>
          <w:numId w:val="2"/>
        </w:numPr>
        <w:spacing w:after="80"/>
      </w:pPr>
      <w:r>
        <w:rPr>
          <w:sz w:val="22"/>
          <w:szCs w:val="22"/>
        </w:rPr>
        <w:t xml:space="preserve">Buyer and seller account management</w:t>
      </w:r>
    </w:p>
    <w:p>
      <w:pPr>
        <w:pStyle w:val="ListParagraph"/>
        <w:numPr>
          <w:ilvl w:val="0"/>
          <w:numId w:val="2"/>
        </w:numPr>
        <w:spacing w:after="80"/>
      </w:pPr>
      <w:r>
        <w:rPr>
          <w:sz w:val="22"/>
          <w:szCs w:val="22"/>
        </w:rPr>
        <w:t xml:space="preserve">Gold lot management, including weight, purity, and serial numbers</w:t>
      </w:r>
    </w:p>
    <w:p>
      <w:pPr>
        <w:pStyle w:val="ListParagraph"/>
        <w:numPr>
          <w:ilvl w:val="0"/>
          <w:numId w:val="2"/>
        </w:numPr>
        <w:spacing w:after="80"/>
      </w:pPr>
      <w:r>
        <w:rPr>
          <w:sz w:val="22"/>
          <w:szCs w:val="22"/>
        </w:rPr>
        <w:t xml:space="preserve">RFQ and auction engines with negotiation and counter-offers</w:t>
      </w:r>
    </w:p>
    <w:p>
      <w:pPr>
        <w:pStyle w:val="ListParagraph"/>
        <w:numPr>
          <w:ilvl w:val="0"/>
          <w:numId w:val="2"/>
        </w:numPr>
        <w:spacing w:after="80"/>
      </w:pPr>
      <w:r>
        <w:rPr>
          <w:sz w:val="22"/>
          <w:szCs w:val="22"/>
        </w:rPr>
        <w:t xml:space="preserve">Digital contracts and escrow management</w:t>
      </w:r>
    </w:p>
    <w:p>
      <w:pPr>
        <w:pStyle w:val="ListParagraph"/>
        <w:numPr>
          <w:ilvl w:val="0"/>
          <w:numId w:val="2"/>
        </w:numPr>
        <w:spacing w:after="80"/>
      </w:pPr>
      <w:r>
        <w:rPr>
          <w:sz w:val="22"/>
          <w:szCs w:val="22"/>
        </w:rPr>
        <w:t xml:space="preserve">Payment integration and delivery tracking</w:t>
      </w:r>
    </w:p>
    <w:p>
      <w:pPr>
        <w:pStyle w:val="ListParagraph"/>
        <w:numPr>
          <w:ilvl w:val="0"/>
          <w:numId w:val="2"/>
        </w:numPr>
        <w:spacing w:after="80"/>
      </w:pPr>
      <w:r>
        <w:rPr>
          <w:sz w:val="22"/>
          <w:szCs w:val="22"/>
        </w:rPr>
        <w:t xml:space="preserve">Vault management and assay integration</w:t>
      </w:r>
    </w:p>
    <w:p>
      <w:pPr>
        <w:pStyle w:val="ListParagraph"/>
        <w:numPr>
          <w:ilvl w:val="0"/>
          <w:numId w:val="2"/>
        </w:numPr>
        <w:spacing w:after="80"/>
      </w:pPr>
      <w:r>
        <w:rPr>
          <w:sz w:val="22"/>
          <w:szCs w:val="22"/>
        </w:rPr>
        <w:t xml:space="preserve">Export workflow, compliance checks, and audit trails</w:t>
      </w:r>
    </w:p>
    <w:p>
      <w:pPr>
        <w:pStyle w:val="ListParagraph"/>
        <w:numPr>
          <w:ilvl w:val="0"/>
          <w:numId w:val="2"/>
        </w:numPr>
        <w:spacing w:after="80"/>
      </w:pPr>
      <w:r>
        <w:rPr>
          <w:sz w:val="22"/>
          <w:szCs w:val="22"/>
        </w:rPr>
        <w:t xml:space="preserve">Analytics dashboards for market and member activity</w:t>
      </w:r>
    </w:p>
    <w:p>
      <w:pPr>
        <w:pStyle w:val="Heading2"/>
        <w:spacing w:after="120" w:before="260"/>
      </w:pPr>
      <w:r>
        <w:rPr>
          <w:b/>
          <w:bCs/>
          <w:color w:val="222222"/>
          <w:sz w:val="24"/>
          <w:szCs w:val="24"/>
        </w:rPr>
        <w:t xml:space="preserve">Where artificial intelligence adds value</w:t>
      </w:r>
    </w:p>
    <w:p>
      <w:pPr>
        <w:pStyle w:val="ListParagraph"/>
        <w:numPr>
          <w:ilvl w:val="0"/>
          <w:numId w:val="2"/>
        </w:numPr>
        <w:spacing w:after="80"/>
      </w:pPr>
      <w:r>
        <w:rPr>
          <w:sz w:val="22"/>
          <w:szCs w:val="22"/>
        </w:rPr>
        <w:t xml:space="preserve">Matching buyers with suitable lots automatically</w:t>
      </w:r>
    </w:p>
    <w:p>
      <w:pPr>
        <w:pStyle w:val="ListParagraph"/>
        <w:numPr>
          <w:ilvl w:val="0"/>
          <w:numId w:val="2"/>
        </w:numPr>
        <w:spacing w:after="80"/>
      </w:pPr>
      <w:r>
        <w:rPr>
          <w:sz w:val="22"/>
          <w:szCs w:val="22"/>
        </w:rPr>
        <w:t xml:space="preserve">Predicting likely bid prices from current market conditions</w:t>
      </w:r>
    </w:p>
    <w:p>
      <w:pPr>
        <w:pStyle w:val="ListParagraph"/>
        <w:numPr>
          <w:ilvl w:val="0"/>
          <w:numId w:val="2"/>
        </w:numPr>
        <w:spacing w:after="80"/>
      </w:pPr>
      <w:r>
        <w:rPr>
          <w:sz w:val="22"/>
          <w:szCs w:val="22"/>
        </w:rPr>
        <w:t xml:space="preserve">Flagging suspicious trading patterns, collusion, or fraud</w:t>
      </w:r>
    </w:p>
    <w:p>
      <w:pPr>
        <w:pStyle w:val="ListParagraph"/>
        <w:numPr>
          <w:ilvl w:val="0"/>
          <w:numId w:val="2"/>
        </w:numPr>
        <w:spacing w:after="80"/>
      </w:pPr>
      <w:r>
        <w:rPr>
          <w:sz w:val="22"/>
          <w:szCs w:val="22"/>
        </w:rPr>
        <w:t xml:space="preserve">Forecasting regional demand</w:t>
      </w:r>
    </w:p>
    <w:p>
      <w:pPr>
        <w:pStyle w:val="ListParagraph"/>
        <w:numPr>
          <w:ilvl w:val="0"/>
          <w:numId w:val="2"/>
        </w:numPr>
        <w:spacing w:after="80"/>
      </w:pPr>
      <w:r>
        <w:rPr>
          <w:sz w:val="22"/>
          <w:szCs w:val="22"/>
        </w:rPr>
        <w:t xml:space="preserve">Recommending optimal timing for a sale</w:t>
      </w:r>
    </w:p>
    <w:p>
      <w:pPr>
        <w:pStyle w:val="Heading1"/>
        <w:pBdr>
          <w:bottom w:val="single" w:color="9C6F1E" w:sz="6" w:space="4"/>
        </w:pBdr>
        <w:spacing w:after="160" w:before="360"/>
      </w:pPr>
      <w:r>
        <w:rPr>
          <w:b/>
          <w:bCs/>
          <w:color w:val="9C6F1E"/>
          <w:sz w:val="28"/>
          <w:szCs w:val="28"/>
        </w:rPr>
        <w:t xml:space="preserve">4. Services That Build Trust and Add Revenue</w:t>
      </w:r>
    </w:p>
    <w:p>
      <w:pPr>
        <w:spacing w:after="160" w:line="276"/>
      </w:pPr>
      <w:r>
        <w:rPr>
          <w:sz w:val="22"/>
          <w:szCs w:val="22"/>
        </w:rPr>
        <w:t xml:space="preserve">Beyond the core trading engine, the platform can host several value-added services that increase confidence in the system while opening additional income streams for the Chamber: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200"/>
        <w:gridCol w:w="6220"/>
      </w:tblGrid>
      <w:tr>
        <w:trPr>
          <w:tblHeader/>
        </w:trPr>
        <w:tc>
          <w:tcPr>
            <w:tcW w:type="dxa" w:w="3200"/>
            <w:shd w:fill="9C6F1E" w:val="clear"/>
            <w:tcMar>
              <w:top w:type="dxa" w:w="100"/>
              <w:left w:type="dxa" w:w="120"/>
              <w:bottom w:type="dxa" w:w="100"/>
              <w:right w:type="dxa" w:w="120"/>
            </w:tcMar>
          </w:tcPr>
          <w:p>
            <w:pPr>
              <w:jc w:val="left"/>
            </w:pPr>
            <w:r>
              <w:rPr>
                <w:b/>
                <w:bCs/>
                <w:color w:val="FFFFFF"/>
                <w:sz w:val="20"/>
                <w:szCs w:val="20"/>
              </w:rPr>
              <w:t xml:space="preserve">Service</w:t>
            </w:r>
          </w:p>
        </w:tc>
        <w:tc>
          <w:tcPr>
            <w:tcW w:type="dxa" w:w="6220"/>
            <w:shd w:fill="9C6F1E" w:val="clear"/>
            <w:tcMar>
              <w:top w:type="dxa" w:w="100"/>
              <w:left w:type="dxa" w:w="120"/>
              <w:bottom w:type="dxa" w:w="100"/>
              <w:right w:type="dxa" w:w="120"/>
            </w:tcMar>
          </w:tcPr>
          <w:p>
            <w:pPr>
              <w:jc w:val="left"/>
            </w:pPr>
            <w:r>
              <w:rPr>
                <w:b/>
                <w:bCs/>
                <w:color w:val="FFFFFF"/>
                <w:sz w:val="20"/>
                <w:szCs w:val="20"/>
              </w:rPr>
              <w:t xml:space="preserve">What It Covers</w:t>
            </w:r>
          </w:p>
        </w:tc>
      </w:tr>
      <w:tr>
        <w:tc>
          <w:tcPr>
            <w:tcW w:type="dxa" w:w="3200"/>
            <w:shd w:fill="F5EFDF" w:val="clear"/>
            <w:tcMar>
              <w:top w:type="dxa" w:w="100"/>
              <w:left w:type="dxa" w:w="120"/>
              <w:bottom w:type="dxa" w:w="100"/>
              <w:right w:type="dxa" w:w="120"/>
            </w:tcMar>
          </w:tcPr>
          <w:p>
            <w:pPr>
              <w:jc w:val="left"/>
            </w:pPr>
            <w:r>
              <w:rPr>
                <w:b w:val="false"/>
                <w:bCs w:val="false"/>
                <w:color w:val="222222"/>
                <w:sz w:val="20"/>
                <w:szCs w:val="20"/>
              </w:rPr>
              <w:t xml:space="preserve">Escrow</w:t>
            </w:r>
          </w:p>
        </w:tc>
        <w:tc>
          <w:tcPr>
            <w:tcW w:type="dxa" w:w="6220"/>
            <w:shd w:fill="F5EFDF" w:val="clear"/>
            <w:tcMar>
              <w:top w:type="dxa" w:w="100"/>
              <w:left w:type="dxa" w:w="120"/>
              <w:bottom w:type="dxa" w:w="100"/>
              <w:right w:type="dxa" w:w="120"/>
            </w:tcMar>
          </w:tcPr>
          <w:p>
            <w:pPr>
              <w:jc w:val="left"/>
            </w:pPr>
            <w:r>
              <w:rPr>
                <w:b w:val="false"/>
                <w:bCs w:val="false"/>
                <w:color w:val="222222"/>
                <w:sz w:val="20"/>
                <w:szCs w:val="20"/>
              </w:rPr>
              <w:t xml:space="preserve">Holding buyer funds, gold title, and delivery confirmation until a trade is complete</w:t>
            </w:r>
          </w:p>
        </w:tc>
      </w:tr>
      <w:tr>
        <w:tc>
          <w:tcPr>
            <w:tcW w:type="dxa" w:w="3200"/>
            <w:shd w:fill="FFFFFF" w:val="clear"/>
            <w:tcMar>
              <w:top w:type="dxa" w:w="100"/>
              <w:left w:type="dxa" w:w="120"/>
              <w:bottom w:type="dxa" w:w="100"/>
              <w:right w:type="dxa" w:w="120"/>
            </w:tcMar>
          </w:tcPr>
          <w:p>
            <w:pPr>
              <w:jc w:val="left"/>
            </w:pPr>
            <w:r>
              <w:rPr>
                <w:b w:val="false"/>
                <w:bCs w:val="false"/>
                <w:color w:val="222222"/>
                <w:sz w:val="20"/>
                <w:szCs w:val="20"/>
              </w:rPr>
              <w:t xml:space="preserve">Logistics</w:t>
            </w:r>
          </w:p>
        </w:tc>
        <w:tc>
          <w:tcPr>
            <w:tcW w:type="dxa" w:w="6220"/>
            <w:shd w:fill="FFFFFF" w:val="clear"/>
            <w:tcMar>
              <w:top w:type="dxa" w:w="100"/>
              <w:left w:type="dxa" w:w="120"/>
              <w:bottom w:type="dxa" w:w="100"/>
              <w:right w:type="dxa" w:w="120"/>
            </w:tcMar>
          </w:tcPr>
          <w:p>
            <w:pPr>
              <w:jc w:val="left"/>
            </w:pPr>
            <w:r>
              <w:rPr>
                <w:b w:val="false"/>
                <w:bCs w:val="false"/>
                <w:color w:val="222222"/>
                <w:sz w:val="20"/>
                <w:szCs w:val="20"/>
              </w:rPr>
              <w:t xml:space="preserve">Armored transport, vault storage, airport logistics, export documentation</w:t>
            </w:r>
          </w:p>
        </w:tc>
      </w:tr>
      <w:tr>
        <w:tc>
          <w:tcPr>
            <w:tcW w:type="dxa" w:w="3200"/>
            <w:shd w:fill="F5EFDF" w:val="clear"/>
            <w:tcMar>
              <w:top w:type="dxa" w:w="100"/>
              <w:left w:type="dxa" w:w="120"/>
              <w:bottom w:type="dxa" w:w="100"/>
              <w:right w:type="dxa" w:w="120"/>
            </w:tcMar>
          </w:tcPr>
          <w:p>
            <w:pPr>
              <w:jc w:val="left"/>
            </w:pPr>
            <w:r>
              <w:rPr>
                <w:b w:val="false"/>
                <w:bCs w:val="false"/>
                <w:color w:val="222222"/>
                <w:sz w:val="20"/>
                <w:szCs w:val="20"/>
              </w:rPr>
              <w:t xml:space="preserve">Assay &amp; Certification</w:t>
            </w:r>
          </w:p>
        </w:tc>
        <w:tc>
          <w:tcPr>
            <w:tcW w:type="dxa" w:w="6220"/>
            <w:shd w:fill="F5EFDF" w:val="clear"/>
            <w:tcMar>
              <w:top w:type="dxa" w:w="100"/>
              <w:left w:type="dxa" w:w="120"/>
              <w:bottom w:type="dxa" w:w="100"/>
              <w:right w:type="dxa" w:w="120"/>
            </w:tcMar>
          </w:tcPr>
          <w:p>
            <w:pPr>
              <w:jc w:val="left"/>
            </w:pPr>
            <w:r>
              <w:rPr>
                <w:b w:val="false"/>
                <w:bCs w:val="false"/>
                <w:color w:val="222222"/>
                <w:sz w:val="20"/>
                <w:szCs w:val="20"/>
              </w:rPr>
              <w:t xml:space="preserve">Purity verification, assay certificates, digital and export certificates</w:t>
            </w:r>
          </w:p>
        </w:tc>
      </w:tr>
      <w:tr>
        <w:tc>
          <w:tcPr>
            <w:tcW w:type="dxa" w:w="3200"/>
            <w:shd w:fill="FFFFFF" w:val="clear"/>
            <w:tcMar>
              <w:top w:type="dxa" w:w="100"/>
              <w:left w:type="dxa" w:w="120"/>
              <w:bottom w:type="dxa" w:w="100"/>
              <w:right w:type="dxa" w:w="120"/>
            </w:tcMar>
          </w:tcPr>
          <w:p>
            <w:pPr>
              <w:jc w:val="left"/>
            </w:pPr>
            <w:r>
              <w:rPr>
                <w:b w:val="false"/>
                <w:bCs w:val="false"/>
                <w:color w:val="222222"/>
                <w:sz w:val="20"/>
                <w:szCs w:val="20"/>
              </w:rPr>
              <w:t xml:space="preserve">Market Intelligence</w:t>
            </w:r>
          </w:p>
        </w:tc>
        <w:tc>
          <w:tcPr>
            <w:tcW w:type="dxa" w:w="6220"/>
            <w:shd w:fill="FFFFFF" w:val="clear"/>
            <w:tcMar>
              <w:top w:type="dxa" w:w="100"/>
              <w:left w:type="dxa" w:w="120"/>
              <w:bottom w:type="dxa" w:w="100"/>
              <w:right w:type="dxa" w:w="120"/>
            </w:tcMar>
          </w:tcPr>
          <w:p>
            <w:pPr>
              <w:jc w:val="left"/>
            </w:pPr>
            <w:r>
              <w:rPr>
                <w:b w:val="false"/>
                <w:bCs w:val="false"/>
                <w:color w:val="222222"/>
                <w:sz w:val="20"/>
                <w:szCs w:val="20"/>
              </w:rPr>
              <w:t xml:space="preserve">Daily prices, demand by country, historical trade data, buyer trend analysis</w:t>
            </w:r>
          </w:p>
        </w:tc>
      </w:tr>
    </w:tbl>
    <w:p>
      <w:pPr>
        <w:pStyle w:val="Heading1"/>
        <w:pBdr>
          <w:bottom w:val="single" w:color="9C6F1E" w:sz="6" w:space="4"/>
        </w:pBdr>
        <w:spacing w:after="160" w:before="360"/>
      </w:pPr>
      <w:r>
        <w:rPr>
          <w:b/>
          <w:bCs/>
          <w:color w:val="9C6F1E"/>
          <w:sz w:val="28"/>
          <w:szCs w:val="28"/>
        </w:rPr>
        <w:t xml:space="preserve">5. A Phased Rollout</w:t>
      </w:r>
    </w:p>
    <w:p>
      <w:pPr>
        <w:spacing w:after="160" w:line="276"/>
      </w:pPr>
      <w:r>
        <w:rPr>
          <w:sz w:val="22"/>
          <w:szCs w:val="22"/>
        </w:rPr>
        <w:t xml:space="preserve">Rather than launching every capability at once, the platform can be introduced in stages, allowing the Chamber and its members to adapt gradually:</w:t>
      </w:r>
    </w:p>
    <w:p>
      <w:pPr>
        <w:pStyle w:val="Heading2"/>
        <w:spacing w:after="120" w:before="260"/>
      </w:pPr>
      <w:r>
        <w:rPr>
          <w:b/>
          <w:bCs/>
          <w:color w:val="222222"/>
          <w:sz w:val="24"/>
          <w:szCs w:val="24"/>
        </w:rPr>
        <w:t xml:space="preserve">Phase 1 — Digital Member Portal</w:t>
      </w:r>
    </w:p>
    <w:p>
      <w:pPr>
        <w:spacing w:after="160" w:line="276"/>
      </w:pPr>
      <w:r>
        <w:rPr>
          <w:sz w:val="22"/>
          <w:szCs w:val="22"/>
        </w:rPr>
        <w:t xml:space="preserve">Member registration and verification, license management, digital profiles, notifications, document repository, and messaging.</w:t>
      </w:r>
    </w:p>
    <w:p>
      <w:pPr>
        <w:pStyle w:val="Heading2"/>
        <w:spacing w:after="120" w:before="260"/>
      </w:pPr>
      <w:r>
        <w:rPr>
          <w:b/>
          <w:bCs/>
          <w:color w:val="222222"/>
          <w:sz w:val="24"/>
          <w:szCs w:val="24"/>
        </w:rPr>
        <w:t xml:space="preserve">Phase 2 — Trading Platform</w:t>
      </w:r>
    </w:p>
    <w:p>
      <w:pPr>
        <w:spacing w:after="160" w:line="276"/>
      </w:pPr>
      <w:r>
        <w:rPr>
          <w:sz w:val="22"/>
          <w:szCs w:val="22"/>
        </w:rPr>
        <w:t xml:space="preserve">Gold lot creation, RFQs, negotiation and counter-offers, deal acceptance, and digital contracts.</w:t>
      </w:r>
    </w:p>
    <w:p>
      <w:pPr>
        <w:pStyle w:val="Heading2"/>
        <w:spacing w:after="120" w:before="260"/>
      </w:pPr>
      <w:r>
        <w:rPr>
          <w:b/>
          <w:bCs/>
          <w:color w:val="222222"/>
          <w:sz w:val="24"/>
          <w:szCs w:val="24"/>
        </w:rPr>
        <w:t xml:space="preserve">Phase 3 — Value-Added Services</w:t>
      </w:r>
    </w:p>
    <w:p>
      <w:pPr>
        <w:spacing w:after="160" w:line="276"/>
      </w:pPr>
      <w:r>
        <w:rPr>
          <w:sz w:val="22"/>
          <w:szCs w:val="22"/>
        </w:rPr>
        <w:t xml:space="preserve">Assay requests, logistics coordination, insurance requests, export documentation, payment confirmation, and vault management.</w:t>
      </w:r>
    </w:p>
    <w:p>
      <w:pPr>
        <w:pStyle w:val="Heading2"/>
        <w:spacing w:after="120" w:before="260"/>
      </w:pPr>
      <w:r>
        <w:rPr>
          <w:b/>
          <w:bCs/>
          <w:color w:val="222222"/>
          <w:sz w:val="24"/>
          <w:szCs w:val="24"/>
        </w:rPr>
        <w:t xml:space="preserve">Phase 4 — Analytics</w:t>
      </w:r>
    </w:p>
    <w:p>
      <w:pPr>
        <w:spacing w:after="160" w:line="276"/>
      </w:pPr>
      <w:r>
        <w:rPr>
          <w:sz w:val="22"/>
          <w:szCs w:val="22"/>
        </w:rPr>
        <w:t xml:space="preserve">Market dashboards, gold prices, trading volumes, buyer activity, regional demand, and compliance reporting.</w:t>
      </w:r>
    </w:p>
    <w:p>
      <w:pPr>
        <w:pStyle w:val="Heading1"/>
        <w:pBdr>
          <w:bottom w:val="single" w:color="9C6F1E" w:sz="6" w:space="4"/>
        </w:pBdr>
        <w:spacing w:after="160" w:before="360"/>
      </w:pPr>
      <w:r>
        <w:rPr>
          <w:b/>
          <w:bCs/>
          <w:color w:val="9C6F1E"/>
          <w:sz w:val="28"/>
          <w:szCs w:val="28"/>
        </w:rPr>
        <w:t xml:space="preserve">6. Commercial Structure</w:t>
      </w:r>
    </w:p>
    <w:p>
      <w:pPr>
        <w:spacing w:after="160" w:line="276"/>
      </w:pPr>
      <w:r>
        <w:rPr>
          <w:sz w:val="22"/>
          <w:szCs w:val="22"/>
        </w:rPr>
        <w:t xml:space="preserve">Two broad models are available for how the Chamber and a technology partner could structure this platform financially.</w:t>
      </w:r>
    </w:p>
    <w:p>
      <w:pPr>
        <w:pStyle w:val="Heading2"/>
        <w:spacing w:after="120" w:before="260"/>
      </w:pPr>
      <w:r>
        <w:rPr>
          <w:b/>
          <w:bCs/>
          <w:color w:val="222222"/>
          <w:sz w:val="24"/>
          <w:szCs w:val="24"/>
        </w:rPr>
        <w:t xml:space="preserve">Option A — Direct Licensing</w:t>
      </w:r>
    </w:p>
    <w:p>
      <w:pPr>
        <w:spacing w:after="160" w:line="276"/>
      </w:pPr>
      <w:r>
        <w:rPr>
          <w:sz w:val="22"/>
          <w:szCs w:val="22"/>
        </w:rPr>
        <w:t xml:space="preserve">Under this model, the Chamber funds the platform directly and retains full control over how it is priced and governed.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5000"/>
        <w:gridCol w:w="4420"/>
      </w:tblGrid>
      <w:tr>
        <w:trPr>
          <w:tblHeader/>
        </w:trPr>
        <w:tc>
          <w:tcPr>
            <w:tcW w:type="dxa" w:w="5000"/>
            <w:shd w:fill="9C6F1E" w:val="clear"/>
            <w:tcMar>
              <w:top w:type="dxa" w:w="100"/>
              <w:left w:type="dxa" w:w="120"/>
              <w:bottom w:type="dxa" w:w="100"/>
              <w:right w:type="dxa" w:w="120"/>
            </w:tcMar>
          </w:tcPr>
          <w:p>
            <w:pPr>
              <w:jc w:val="left"/>
            </w:pPr>
            <w:r>
              <w:rPr>
                <w:b/>
                <w:bCs/>
                <w:color w:val="FFFFFF"/>
                <w:sz w:val="20"/>
                <w:szCs w:val="20"/>
              </w:rPr>
              <w:t xml:space="preserve">Item</w:t>
            </w:r>
          </w:p>
        </w:tc>
        <w:tc>
          <w:tcPr>
            <w:tcW w:type="dxa" w:w="4420"/>
            <w:shd w:fill="9C6F1E" w:val="clear"/>
            <w:tcMar>
              <w:top w:type="dxa" w:w="100"/>
              <w:left w:type="dxa" w:w="120"/>
              <w:bottom w:type="dxa" w:w="100"/>
              <w:right w:type="dxa" w:w="120"/>
            </w:tcMar>
          </w:tcPr>
          <w:p>
            <w:pPr>
              <w:jc w:val="left"/>
            </w:pPr>
            <w:r>
              <w:rPr>
                <w:b/>
                <w:bCs/>
                <w:color w:val="FFFFFF"/>
                <w:sz w:val="20"/>
                <w:szCs w:val="20"/>
              </w:rPr>
              <w:t xml:space="preserve">Estimated Range</w:t>
            </w:r>
          </w:p>
        </w:tc>
      </w:tr>
      <w:tr>
        <w:tc>
          <w:tcPr>
            <w:tcW w:type="dxa" w:w="5000"/>
            <w:shd w:fill="F5EFDF" w:val="clear"/>
            <w:tcMar>
              <w:top w:type="dxa" w:w="100"/>
              <w:left w:type="dxa" w:w="120"/>
              <w:bottom w:type="dxa" w:w="100"/>
              <w:right w:type="dxa" w:w="120"/>
            </w:tcMar>
          </w:tcPr>
          <w:p>
            <w:pPr>
              <w:jc w:val="left"/>
            </w:pPr>
            <w:r>
              <w:rPr>
                <w:b w:val="false"/>
                <w:bCs w:val="false"/>
                <w:color w:val="222222"/>
                <w:sz w:val="20"/>
                <w:szCs w:val="20"/>
              </w:rPr>
              <w:t xml:space="preserve">Platform development (one-time)</w:t>
            </w:r>
          </w:p>
        </w:tc>
        <w:tc>
          <w:tcPr>
            <w:tcW w:type="dxa" w:w="4420"/>
            <w:shd w:fill="F5EFDF" w:val="clear"/>
            <w:tcMar>
              <w:top w:type="dxa" w:w="100"/>
              <w:left w:type="dxa" w:w="120"/>
              <w:bottom w:type="dxa" w:w="100"/>
              <w:right w:type="dxa" w:w="120"/>
            </w:tcMar>
          </w:tcPr>
          <w:p>
            <w:pPr>
              <w:jc w:val="left"/>
            </w:pPr>
            <w:r>
              <w:rPr>
                <w:b w:val="false"/>
                <w:bCs w:val="false"/>
                <w:color w:val="222222"/>
                <w:sz w:val="20"/>
                <w:szCs w:val="20"/>
              </w:rPr>
              <w:t xml:space="preserve">US$150,000 – 300,000</w:t>
            </w:r>
          </w:p>
        </w:tc>
      </w:tr>
      <w:tr>
        <w:tc>
          <w:tcPr>
            <w:tcW w:type="dxa" w:w="5000"/>
            <w:shd w:fill="FFFFFF" w:val="clear"/>
            <w:tcMar>
              <w:top w:type="dxa" w:w="100"/>
              <w:left w:type="dxa" w:w="120"/>
              <w:bottom w:type="dxa" w:w="100"/>
              <w:right w:type="dxa" w:w="120"/>
            </w:tcMar>
          </w:tcPr>
          <w:p>
            <w:pPr>
              <w:jc w:val="left"/>
            </w:pPr>
            <w:r>
              <w:rPr>
                <w:b w:val="false"/>
                <w:bCs w:val="false"/>
                <w:color w:val="222222"/>
                <w:sz w:val="20"/>
                <w:szCs w:val="20"/>
              </w:rPr>
              <w:t xml:space="preserve">Annual platform license</w:t>
            </w:r>
          </w:p>
        </w:tc>
        <w:tc>
          <w:tcPr>
            <w:tcW w:type="dxa" w:w="4420"/>
            <w:shd w:fill="FFFFFF" w:val="clear"/>
            <w:tcMar>
              <w:top w:type="dxa" w:w="100"/>
              <w:left w:type="dxa" w:w="120"/>
              <w:bottom w:type="dxa" w:w="100"/>
              <w:right w:type="dxa" w:w="120"/>
            </w:tcMar>
          </w:tcPr>
          <w:p>
            <w:pPr>
              <w:jc w:val="left"/>
            </w:pPr>
            <w:r>
              <w:rPr>
                <w:b w:val="false"/>
                <w:bCs w:val="false"/>
                <w:color w:val="222222"/>
                <w:sz w:val="20"/>
                <w:szCs w:val="20"/>
              </w:rPr>
              <w:t xml:space="preserve">US$30,000 – 60,000</w:t>
            </w:r>
          </w:p>
        </w:tc>
      </w:tr>
      <w:tr>
        <w:tc>
          <w:tcPr>
            <w:tcW w:type="dxa" w:w="5000"/>
            <w:shd w:fill="F5EFDF" w:val="clear"/>
            <w:tcMar>
              <w:top w:type="dxa" w:w="100"/>
              <w:left w:type="dxa" w:w="120"/>
              <w:bottom w:type="dxa" w:w="100"/>
              <w:right w:type="dxa" w:w="120"/>
            </w:tcMar>
          </w:tcPr>
          <w:p>
            <w:pPr>
              <w:jc w:val="left"/>
            </w:pPr>
            <w:r>
              <w:rPr>
                <w:b w:val="false"/>
                <w:bCs w:val="false"/>
                <w:color w:val="222222"/>
                <w:sz w:val="20"/>
                <w:szCs w:val="20"/>
              </w:rPr>
              <w:t xml:space="preserve">Support &amp; maintenance</w:t>
            </w:r>
          </w:p>
        </w:tc>
        <w:tc>
          <w:tcPr>
            <w:tcW w:type="dxa" w:w="4420"/>
            <w:shd w:fill="F5EFDF" w:val="clear"/>
            <w:tcMar>
              <w:top w:type="dxa" w:w="100"/>
              <w:left w:type="dxa" w:w="120"/>
              <w:bottom w:type="dxa" w:w="100"/>
              <w:right w:type="dxa" w:w="120"/>
            </w:tcMar>
          </w:tcPr>
          <w:p>
            <w:pPr>
              <w:jc w:val="left"/>
            </w:pPr>
            <w:r>
              <w:rPr>
                <w:b w:val="false"/>
                <w:bCs w:val="false"/>
                <w:color w:val="222222"/>
                <w:sz w:val="20"/>
                <w:szCs w:val="20"/>
              </w:rPr>
              <w:t xml:space="preserve">15–20% of development cost per year</w:t>
            </w:r>
          </w:p>
        </w:tc>
      </w:tr>
      <w:tr>
        <w:tc>
          <w:tcPr>
            <w:tcW w:type="dxa" w:w="5000"/>
            <w:shd w:fill="FFFFFF" w:val="clear"/>
            <w:tcMar>
              <w:top w:type="dxa" w:w="100"/>
              <w:left w:type="dxa" w:w="120"/>
              <w:bottom w:type="dxa" w:w="100"/>
              <w:right w:type="dxa" w:w="120"/>
            </w:tcMar>
          </w:tcPr>
          <w:p>
            <w:pPr>
              <w:jc w:val="left"/>
            </w:pPr>
            <w:r>
              <w:rPr>
                <w:b w:val="false"/>
                <w:bCs w:val="false"/>
                <w:color w:val="222222"/>
                <w:sz w:val="20"/>
                <w:szCs w:val="20"/>
              </w:rPr>
              <w:t xml:space="preserve">Enhancements</w:t>
            </w:r>
          </w:p>
        </w:tc>
        <w:tc>
          <w:tcPr>
            <w:tcW w:type="dxa" w:w="4420"/>
            <w:shd w:fill="FFFFFF" w:val="clear"/>
            <w:tcMar>
              <w:top w:type="dxa" w:w="100"/>
              <w:left w:type="dxa" w:w="120"/>
              <w:bottom w:type="dxa" w:w="100"/>
              <w:right w:type="dxa" w:w="120"/>
            </w:tcMar>
          </w:tcPr>
          <w:p>
            <w:pPr>
              <w:jc w:val="left"/>
            </w:pPr>
            <w:r>
              <w:rPr>
                <w:b w:val="false"/>
                <w:bCs w:val="false"/>
                <w:color w:val="222222"/>
                <w:sz w:val="20"/>
                <w:szCs w:val="20"/>
              </w:rPr>
              <w:t xml:space="preserve">Time-and-materials or fixed-price</w:t>
            </w:r>
          </w:p>
        </w:tc>
      </w:tr>
      <w:tr>
        <w:tc>
          <w:tcPr>
            <w:tcW w:type="dxa" w:w="5000"/>
            <w:shd w:fill="F5EFDF" w:val="clear"/>
            <w:tcMar>
              <w:top w:type="dxa" w:w="100"/>
              <w:left w:type="dxa" w:w="120"/>
              <w:bottom w:type="dxa" w:w="100"/>
              <w:right w:type="dxa" w:w="120"/>
            </w:tcMar>
          </w:tcPr>
          <w:p>
            <w:pPr>
              <w:jc w:val="left"/>
            </w:pPr>
            <w:r>
              <w:rPr>
                <w:b w:val="false"/>
                <w:bCs w:val="false"/>
                <w:color w:val="222222"/>
                <w:sz w:val="20"/>
                <w:szCs w:val="20"/>
              </w:rPr>
              <w:t xml:space="preserve">Cloud hosting</w:t>
            </w:r>
          </w:p>
        </w:tc>
        <w:tc>
          <w:tcPr>
            <w:tcW w:type="dxa" w:w="4420"/>
            <w:shd w:fill="F5EFDF" w:val="clear"/>
            <w:tcMar>
              <w:top w:type="dxa" w:w="100"/>
              <w:left w:type="dxa" w:w="120"/>
              <w:bottom w:type="dxa" w:w="100"/>
              <w:right w:type="dxa" w:w="120"/>
            </w:tcMar>
          </w:tcPr>
          <w:p>
            <w:pPr>
              <w:jc w:val="left"/>
            </w:pPr>
            <w:r>
              <w:rPr>
                <w:b w:val="false"/>
                <w:bCs w:val="false"/>
                <w:color w:val="222222"/>
                <w:sz w:val="20"/>
                <w:szCs w:val="20"/>
              </w:rPr>
              <w:t xml:space="preserve">Passed through at cost, plus management fee</w:t>
            </w:r>
          </w:p>
        </w:tc>
      </w:tr>
    </w:tbl>
    <w:p>
      <w:pPr>
        <w:spacing w:after="160" w:line="276"/>
      </w:pPr>
      <w:r>
        <w:rPr>
          <w:sz w:val="22"/>
          <w:szCs w:val="22"/>
        </w:rPr>
        <w:t xml:space="preserve">This model gives the Chamber full ownership from day one but requires upfront capital before the platform has proven its value.</w:t>
      </w:r>
    </w:p>
    <w:p>
      <w:pPr>
        <w:pStyle w:val="Heading2"/>
        <w:spacing w:after="120" w:before="260"/>
      </w:pPr>
      <w:r>
        <w:rPr>
          <w:b/>
          <w:bCs/>
          <w:color w:val="222222"/>
          <w:sz w:val="24"/>
          <w:szCs w:val="24"/>
        </w:rPr>
        <w:t xml:space="preserve">Option B — Revenue-Sharing Partnership (Recommended)</w:t>
      </w:r>
    </w:p>
    <w:p>
      <w:pPr>
        <w:spacing w:after="160" w:line="276"/>
      </w:pPr>
      <w:r>
        <w:rPr>
          <w:sz w:val="22"/>
          <w:szCs w:val="22"/>
        </w:rPr>
        <w:t xml:space="preserve">This is typically the easier path to adoption, because it requires no upfront investment from the Chamber. The technology partner assumes the development and hosting risk, and both parties share in the platform's success as usage grows.</w:t>
      </w:r>
    </w:p>
    <w:p>
      <w:pPr>
        <w:spacing w:after="160" w:line="276"/>
      </w:pPr>
      <w:r>
        <w:rPr>
          <w:sz w:val="22"/>
          <w:szCs w:val="22"/>
        </w:rPr>
        <w:t xml:space="preserve">Under this structure, the Chamber contributes its brand, credibility, member access, marketing, governance, and verification standards. The technology partner contributes development, hosting, security, support, and ongoing enhancements. Revenue is then generated from platform users — not billed to the Chamber directly: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5200"/>
        <w:gridCol w:w="4220"/>
      </w:tblGrid>
      <w:tr>
        <w:trPr>
          <w:tblHeader/>
        </w:trPr>
        <w:tc>
          <w:tcPr>
            <w:tcW w:type="dxa" w:w="5200"/>
            <w:shd w:fill="9C6F1E" w:val="clear"/>
            <w:tcMar>
              <w:top w:type="dxa" w:w="100"/>
              <w:left w:type="dxa" w:w="120"/>
              <w:bottom w:type="dxa" w:w="100"/>
              <w:right w:type="dxa" w:w="120"/>
            </w:tcMar>
          </w:tcPr>
          <w:p>
            <w:pPr>
              <w:jc w:val="left"/>
            </w:pPr>
            <w:r>
              <w:rPr>
                <w:b/>
                <w:bCs/>
                <w:color w:val="FFFFFF"/>
                <w:sz w:val="20"/>
                <w:szCs w:val="20"/>
              </w:rPr>
              <w:t xml:space="preserve">Revenue Source</w:t>
            </w:r>
          </w:p>
        </w:tc>
        <w:tc>
          <w:tcPr>
            <w:tcW w:type="dxa" w:w="4220"/>
            <w:shd w:fill="9C6F1E" w:val="clear"/>
            <w:tcMar>
              <w:top w:type="dxa" w:w="100"/>
              <w:left w:type="dxa" w:w="120"/>
              <w:bottom w:type="dxa" w:w="100"/>
              <w:right w:type="dxa" w:w="120"/>
            </w:tcMar>
          </w:tcPr>
          <w:p>
            <w:pPr>
              <w:jc w:val="left"/>
            </w:pPr>
            <w:r>
              <w:rPr>
                <w:b/>
                <w:bCs/>
                <w:color w:val="FFFFFF"/>
                <w:sz w:val="20"/>
                <w:szCs w:val="20"/>
              </w:rPr>
              <w:t xml:space="preserve">Charged To</w:t>
            </w:r>
          </w:p>
        </w:tc>
      </w:tr>
      <w:tr>
        <w:tc>
          <w:tcPr>
            <w:tcW w:type="dxa" w:w="5200"/>
            <w:shd w:fill="F5EFDF" w:val="clear"/>
            <w:tcMar>
              <w:top w:type="dxa" w:w="100"/>
              <w:left w:type="dxa" w:w="120"/>
              <w:bottom w:type="dxa" w:w="100"/>
              <w:right w:type="dxa" w:w="120"/>
            </w:tcMar>
          </w:tcPr>
          <w:p>
            <w:pPr>
              <w:jc w:val="left"/>
            </w:pPr>
            <w:r>
              <w:rPr>
                <w:b w:val="false"/>
                <w:bCs w:val="false"/>
                <w:color w:val="222222"/>
                <w:sz w:val="20"/>
                <w:szCs w:val="20"/>
              </w:rPr>
              <w:t xml:space="preserve">Buyer transaction fee</w:t>
            </w:r>
          </w:p>
        </w:tc>
        <w:tc>
          <w:tcPr>
            <w:tcW w:type="dxa" w:w="4220"/>
            <w:shd w:fill="F5EFDF" w:val="clear"/>
            <w:tcMar>
              <w:top w:type="dxa" w:w="100"/>
              <w:left w:type="dxa" w:w="120"/>
              <w:bottom w:type="dxa" w:w="100"/>
              <w:right w:type="dxa" w:w="120"/>
            </w:tcMar>
          </w:tcPr>
          <w:p>
            <w:pPr>
              <w:jc w:val="left"/>
            </w:pPr>
            <w:r>
              <w:rPr>
                <w:b w:val="false"/>
                <w:bCs w:val="false"/>
                <w:color w:val="222222"/>
                <w:sz w:val="20"/>
                <w:szCs w:val="20"/>
              </w:rPr>
              <w:t xml:space="preserve">Buyer</w:t>
            </w:r>
          </w:p>
        </w:tc>
      </w:tr>
      <w:tr>
        <w:tc>
          <w:tcPr>
            <w:tcW w:type="dxa" w:w="5200"/>
            <w:shd w:fill="FFFFFF" w:val="clear"/>
            <w:tcMar>
              <w:top w:type="dxa" w:w="100"/>
              <w:left w:type="dxa" w:w="120"/>
              <w:bottom w:type="dxa" w:w="100"/>
              <w:right w:type="dxa" w:w="120"/>
            </w:tcMar>
          </w:tcPr>
          <w:p>
            <w:pPr>
              <w:jc w:val="left"/>
            </w:pPr>
            <w:r>
              <w:rPr>
                <w:b w:val="false"/>
                <w:bCs w:val="false"/>
                <w:color w:val="222222"/>
                <w:sz w:val="20"/>
                <w:szCs w:val="20"/>
              </w:rPr>
              <w:t xml:space="preserve">Seller transaction fee</w:t>
            </w:r>
          </w:p>
        </w:tc>
        <w:tc>
          <w:tcPr>
            <w:tcW w:type="dxa" w:w="4220"/>
            <w:shd w:fill="FFFFFF" w:val="clear"/>
            <w:tcMar>
              <w:top w:type="dxa" w:w="100"/>
              <w:left w:type="dxa" w:w="120"/>
              <w:bottom w:type="dxa" w:w="100"/>
              <w:right w:type="dxa" w:w="120"/>
            </w:tcMar>
          </w:tcPr>
          <w:p>
            <w:pPr>
              <w:jc w:val="left"/>
            </w:pPr>
            <w:r>
              <w:rPr>
                <w:b w:val="false"/>
                <w:bCs w:val="false"/>
                <w:color w:val="222222"/>
                <w:sz w:val="20"/>
                <w:szCs w:val="20"/>
              </w:rPr>
              <w:t xml:space="preserve">Seller</w:t>
            </w:r>
          </w:p>
        </w:tc>
      </w:tr>
      <w:tr>
        <w:tc>
          <w:tcPr>
            <w:tcW w:type="dxa" w:w="5200"/>
            <w:shd w:fill="F5EFDF" w:val="clear"/>
            <w:tcMar>
              <w:top w:type="dxa" w:w="100"/>
              <w:left w:type="dxa" w:w="120"/>
              <w:bottom w:type="dxa" w:w="100"/>
              <w:right w:type="dxa" w:w="120"/>
            </w:tcMar>
          </w:tcPr>
          <w:p>
            <w:pPr>
              <w:jc w:val="left"/>
            </w:pPr>
            <w:r>
              <w:rPr>
                <w:b w:val="false"/>
                <w:bCs w:val="false"/>
                <w:color w:val="222222"/>
                <w:sz w:val="20"/>
                <w:szCs w:val="20"/>
              </w:rPr>
              <w:t xml:space="preserve">Platform service fee</w:t>
            </w:r>
          </w:p>
        </w:tc>
        <w:tc>
          <w:tcPr>
            <w:tcW w:type="dxa" w:w="4220"/>
            <w:shd w:fill="F5EFDF" w:val="clear"/>
            <w:tcMar>
              <w:top w:type="dxa" w:w="100"/>
              <w:left w:type="dxa" w:w="120"/>
              <w:bottom w:type="dxa" w:w="100"/>
              <w:right w:type="dxa" w:w="120"/>
            </w:tcMar>
          </w:tcPr>
          <w:p>
            <w:pPr>
              <w:jc w:val="left"/>
            </w:pPr>
            <w:r>
              <w:rPr>
                <w:b w:val="false"/>
                <w:bCs w:val="false"/>
                <w:color w:val="222222"/>
                <w:sz w:val="20"/>
                <w:szCs w:val="20"/>
              </w:rPr>
              <w:t xml:space="preserve">Both parties</w:t>
            </w:r>
          </w:p>
        </w:tc>
      </w:tr>
      <w:tr>
        <w:tc>
          <w:tcPr>
            <w:tcW w:type="dxa" w:w="5200"/>
            <w:shd w:fill="FFFFFF" w:val="clear"/>
            <w:tcMar>
              <w:top w:type="dxa" w:w="100"/>
              <w:left w:type="dxa" w:w="120"/>
              <w:bottom w:type="dxa" w:w="100"/>
              <w:right w:type="dxa" w:w="120"/>
            </w:tcMar>
          </w:tcPr>
          <w:p>
            <w:pPr>
              <w:jc w:val="left"/>
            </w:pPr>
            <w:r>
              <w:rPr>
                <w:b w:val="false"/>
                <w:bCs w:val="false"/>
                <w:color w:val="222222"/>
                <w:sz w:val="20"/>
                <w:szCs w:val="20"/>
              </w:rPr>
              <w:t xml:space="preserve">Premium membership</w:t>
            </w:r>
          </w:p>
        </w:tc>
        <w:tc>
          <w:tcPr>
            <w:tcW w:type="dxa" w:w="4220"/>
            <w:shd w:fill="FFFFFF" w:val="clear"/>
            <w:tcMar>
              <w:top w:type="dxa" w:w="100"/>
              <w:left w:type="dxa" w:w="120"/>
              <w:bottom w:type="dxa" w:w="100"/>
              <w:right w:type="dxa" w:w="120"/>
            </w:tcMar>
          </w:tcPr>
          <w:p>
            <w:pPr>
              <w:jc w:val="left"/>
            </w:pPr>
            <w:r>
              <w:rPr>
                <w:b w:val="false"/>
                <w:bCs w:val="false"/>
                <w:color w:val="222222"/>
                <w:sz w:val="20"/>
                <w:szCs w:val="20"/>
              </w:rPr>
              <w:t xml:space="preserve">Businesses</w:t>
            </w:r>
          </w:p>
        </w:tc>
      </w:tr>
      <w:tr>
        <w:tc>
          <w:tcPr>
            <w:tcW w:type="dxa" w:w="5200"/>
            <w:shd w:fill="F5EFDF" w:val="clear"/>
            <w:tcMar>
              <w:top w:type="dxa" w:w="100"/>
              <w:left w:type="dxa" w:w="120"/>
              <w:bottom w:type="dxa" w:w="100"/>
              <w:right w:type="dxa" w:w="120"/>
            </w:tcMar>
          </w:tcPr>
          <w:p>
            <w:pPr>
              <w:jc w:val="left"/>
            </w:pPr>
            <w:r>
              <w:rPr>
                <w:b w:val="false"/>
                <w:bCs w:val="false"/>
                <w:color w:val="222222"/>
                <w:sz w:val="20"/>
                <w:szCs w:val="20"/>
              </w:rPr>
              <w:t xml:space="preserve">Featured supplier listings</w:t>
            </w:r>
          </w:p>
        </w:tc>
        <w:tc>
          <w:tcPr>
            <w:tcW w:type="dxa" w:w="4220"/>
            <w:shd w:fill="F5EFDF" w:val="clear"/>
            <w:tcMar>
              <w:top w:type="dxa" w:w="100"/>
              <w:left w:type="dxa" w:w="120"/>
              <w:bottom w:type="dxa" w:w="100"/>
              <w:right w:type="dxa" w:w="120"/>
            </w:tcMar>
          </w:tcPr>
          <w:p>
            <w:pPr>
              <w:jc w:val="left"/>
            </w:pPr>
            <w:r>
              <w:rPr>
                <w:b w:val="false"/>
                <w:bCs w:val="false"/>
                <w:color w:val="222222"/>
                <w:sz w:val="20"/>
                <w:szCs w:val="20"/>
              </w:rPr>
              <w:t xml:space="preserve">Sellers</w:t>
            </w:r>
          </w:p>
        </w:tc>
      </w:tr>
      <w:tr>
        <w:tc>
          <w:tcPr>
            <w:tcW w:type="dxa" w:w="5200"/>
            <w:shd w:fill="FFFFFF" w:val="clear"/>
            <w:tcMar>
              <w:top w:type="dxa" w:w="100"/>
              <w:left w:type="dxa" w:w="120"/>
              <w:bottom w:type="dxa" w:w="100"/>
              <w:right w:type="dxa" w:w="120"/>
            </w:tcMar>
          </w:tcPr>
          <w:p>
            <w:pPr>
              <w:jc w:val="left"/>
            </w:pPr>
            <w:r>
              <w:rPr>
                <w:b w:val="false"/>
                <w:bCs w:val="false"/>
                <w:color w:val="222222"/>
                <w:sz w:val="20"/>
                <w:szCs w:val="20"/>
              </w:rPr>
              <w:t xml:space="preserve">RFQ submission fee (optional)</w:t>
            </w:r>
          </w:p>
        </w:tc>
        <w:tc>
          <w:tcPr>
            <w:tcW w:type="dxa" w:w="4220"/>
            <w:shd w:fill="FFFFFF" w:val="clear"/>
            <w:tcMar>
              <w:top w:type="dxa" w:w="100"/>
              <w:left w:type="dxa" w:w="120"/>
              <w:bottom w:type="dxa" w:w="100"/>
              <w:right w:type="dxa" w:w="120"/>
            </w:tcMar>
          </w:tcPr>
          <w:p>
            <w:pPr>
              <w:jc w:val="left"/>
            </w:pPr>
            <w:r>
              <w:rPr>
                <w:b w:val="false"/>
                <w:bCs w:val="false"/>
                <w:color w:val="222222"/>
                <w:sz w:val="20"/>
                <w:szCs w:val="20"/>
              </w:rPr>
              <w:t xml:space="preserve">Buyers</w:t>
            </w:r>
          </w:p>
        </w:tc>
      </w:tr>
      <w:tr>
        <w:tc>
          <w:tcPr>
            <w:tcW w:type="dxa" w:w="5200"/>
            <w:shd w:fill="F5EFDF" w:val="clear"/>
            <w:tcMar>
              <w:top w:type="dxa" w:w="100"/>
              <w:left w:type="dxa" w:w="120"/>
              <w:bottom w:type="dxa" w:w="100"/>
              <w:right w:type="dxa" w:w="120"/>
            </w:tcMar>
          </w:tcPr>
          <w:p>
            <w:pPr>
              <w:jc w:val="left"/>
            </w:pPr>
            <w:r>
              <w:rPr>
                <w:b w:val="false"/>
                <w:bCs w:val="false"/>
                <w:color w:val="222222"/>
                <w:sz w:val="20"/>
                <w:szCs w:val="20"/>
              </w:rPr>
              <w:t xml:space="preserve">Digital contract fee</w:t>
            </w:r>
          </w:p>
        </w:tc>
        <w:tc>
          <w:tcPr>
            <w:tcW w:type="dxa" w:w="4220"/>
            <w:shd w:fill="F5EFDF" w:val="clear"/>
            <w:tcMar>
              <w:top w:type="dxa" w:w="100"/>
              <w:left w:type="dxa" w:w="120"/>
              <w:bottom w:type="dxa" w:w="100"/>
              <w:right w:type="dxa" w:w="120"/>
            </w:tcMar>
          </w:tcPr>
          <w:p>
            <w:pPr>
              <w:jc w:val="left"/>
            </w:pPr>
            <w:r>
              <w:rPr>
                <w:b w:val="false"/>
                <w:bCs w:val="false"/>
                <w:color w:val="222222"/>
                <w:sz w:val="20"/>
                <w:szCs w:val="20"/>
              </w:rPr>
              <w:t xml:space="preserve">Transaction parties</w:t>
            </w:r>
          </w:p>
        </w:tc>
      </w:tr>
      <w:tr>
        <w:tc>
          <w:tcPr>
            <w:tcW w:type="dxa" w:w="5200"/>
            <w:shd w:fill="FFFFFF" w:val="clear"/>
            <w:tcMar>
              <w:top w:type="dxa" w:w="100"/>
              <w:left w:type="dxa" w:w="120"/>
              <w:bottom w:type="dxa" w:w="100"/>
              <w:right w:type="dxa" w:w="120"/>
            </w:tcMar>
          </w:tcPr>
          <w:p>
            <w:pPr>
              <w:jc w:val="left"/>
            </w:pPr>
            <w:r>
              <w:rPr>
                <w:b w:val="false"/>
                <w:bCs w:val="false"/>
                <w:color w:val="222222"/>
                <w:sz w:val="20"/>
                <w:szCs w:val="20"/>
              </w:rPr>
              <w:t xml:space="preserve">Escrow fee</w:t>
            </w:r>
          </w:p>
        </w:tc>
        <w:tc>
          <w:tcPr>
            <w:tcW w:type="dxa" w:w="4220"/>
            <w:shd w:fill="FFFFFF" w:val="clear"/>
            <w:tcMar>
              <w:top w:type="dxa" w:w="100"/>
              <w:left w:type="dxa" w:w="120"/>
              <w:bottom w:type="dxa" w:w="100"/>
              <w:right w:type="dxa" w:w="120"/>
            </w:tcMar>
          </w:tcPr>
          <w:p>
            <w:pPr>
              <w:jc w:val="left"/>
            </w:pPr>
            <w:r>
              <w:rPr>
                <w:b w:val="false"/>
                <w:bCs w:val="false"/>
                <w:color w:val="222222"/>
                <w:sz w:val="20"/>
                <w:szCs w:val="20"/>
              </w:rPr>
              <w:t xml:space="preserve">Transaction parties</w:t>
            </w:r>
          </w:p>
        </w:tc>
      </w:tr>
      <w:tr>
        <w:tc>
          <w:tcPr>
            <w:tcW w:type="dxa" w:w="5200"/>
            <w:shd w:fill="F5EFDF" w:val="clear"/>
            <w:tcMar>
              <w:top w:type="dxa" w:w="100"/>
              <w:left w:type="dxa" w:w="120"/>
              <w:bottom w:type="dxa" w:w="100"/>
              <w:right w:type="dxa" w:w="120"/>
            </w:tcMar>
          </w:tcPr>
          <w:p>
            <w:pPr>
              <w:jc w:val="left"/>
            </w:pPr>
            <w:r>
              <w:rPr>
                <w:b w:val="false"/>
                <w:bCs w:val="false"/>
                <w:color w:val="222222"/>
                <w:sz w:val="20"/>
                <w:szCs w:val="20"/>
              </w:rPr>
              <w:t xml:space="preserve">Logistics coordination fee</w:t>
            </w:r>
          </w:p>
        </w:tc>
        <w:tc>
          <w:tcPr>
            <w:tcW w:type="dxa" w:w="4220"/>
            <w:shd w:fill="F5EFDF" w:val="clear"/>
            <w:tcMar>
              <w:top w:type="dxa" w:w="100"/>
              <w:left w:type="dxa" w:w="120"/>
              <w:bottom w:type="dxa" w:w="100"/>
              <w:right w:type="dxa" w:w="120"/>
            </w:tcMar>
          </w:tcPr>
          <w:p>
            <w:pPr>
              <w:jc w:val="left"/>
            </w:pPr>
            <w:r>
              <w:rPr>
                <w:b w:val="false"/>
                <w:bCs w:val="false"/>
                <w:color w:val="222222"/>
                <w:sz w:val="20"/>
                <w:szCs w:val="20"/>
              </w:rPr>
              <w:t xml:space="preserve">Opt-in users</w:t>
            </w:r>
          </w:p>
        </w:tc>
      </w:tr>
      <w:tr>
        <w:tc>
          <w:tcPr>
            <w:tcW w:type="dxa" w:w="5200"/>
            <w:shd w:fill="FFFFFF" w:val="clear"/>
            <w:tcMar>
              <w:top w:type="dxa" w:w="100"/>
              <w:left w:type="dxa" w:w="120"/>
              <w:bottom w:type="dxa" w:w="100"/>
              <w:right w:type="dxa" w:w="120"/>
            </w:tcMar>
          </w:tcPr>
          <w:p>
            <w:pPr>
              <w:jc w:val="left"/>
            </w:pPr>
            <w:r>
              <w:rPr>
                <w:b w:val="false"/>
                <w:bCs w:val="false"/>
                <w:color w:val="222222"/>
                <w:sz w:val="20"/>
                <w:szCs w:val="20"/>
              </w:rPr>
              <w:t xml:space="preserve">Trade finance / insurance referral commission</w:t>
            </w:r>
          </w:p>
        </w:tc>
        <w:tc>
          <w:tcPr>
            <w:tcW w:type="dxa" w:w="4220"/>
            <w:shd w:fill="FFFFFF" w:val="clear"/>
            <w:tcMar>
              <w:top w:type="dxa" w:w="100"/>
              <w:left w:type="dxa" w:w="120"/>
              <w:bottom w:type="dxa" w:w="100"/>
              <w:right w:type="dxa" w:w="120"/>
            </w:tcMar>
          </w:tcPr>
          <w:p>
            <w:pPr>
              <w:jc w:val="left"/>
            </w:pPr>
            <w:r>
              <w:rPr>
                <w:b w:val="false"/>
                <w:bCs w:val="false"/>
                <w:color w:val="222222"/>
                <w:sz w:val="20"/>
                <w:szCs w:val="20"/>
              </w:rPr>
              <w:t xml:space="preserve">Financial institutions / insurers</w:t>
            </w:r>
          </w:p>
        </w:tc>
      </w:tr>
    </w:tbl>
    <w:p>
      <w:pPr>
        <w:spacing w:after="160" w:line="276"/>
      </w:pPr>
      <w:r>
        <w:rPr>
          <w:sz w:val="22"/>
          <w:szCs w:val="22"/>
        </w:rPr>
        <w:t xml:space="preserve">Worked example: a buyer purchases 10 kg of gold valued at US$1,000,000. At a 0.10% fee charged to each side, the platform earns US$1,000 from the buyer and US$1,000 from the seller — US$2,000 in total. Under a 70/30 revenue split favoring the technology partner (who bears the platform costs), that would mean roughly US$600 to the Chamber and US$1,400 to the technology partner per transaction of this size.</w:t>
      </w:r>
    </w:p>
    <w:p>
      <w:pPr>
        <w:pStyle w:val="Heading2"/>
        <w:spacing w:after="120" w:before="260"/>
      </w:pPr>
      <w:r>
        <w:rPr>
          <w:b/>
          <w:bCs/>
          <w:color w:val="222222"/>
          <w:sz w:val="24"/>
          <w:szCs w:val="24"/>
        </w:rPr>
        <w:t xml:space="preserve">Optional subscription tiers</w:t>
      </w:r>
    </w:p>
    <w:p>
      <w:pPr>
        <w:spacing w:after="160" w:line="276"/>
      </w:pPr>
      <w:r>
        <w:rPr>
          <w:sz w:val="22"/>
          <w:szCs w:val="22"/>
        </w:rPr>
        <w:t xml:space="preserve">To create revenue that does not depend solely on trading volume, the platform can also offer optional monthly plans: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20"/>
      </w:tblGrid>
      <w:tr>
        <w:trPr>
          <w:tblHeader/>
        </w:trPr>
        <w:tc>
          <w:tcPr>
            <w:tcW w:type="dxa" w:w="2400"/>
            <w:shd w:fill="9C6F1E" w:val="clear"/>
            <w:tcMar>
              <w:top w:type="dxa" w:w="100"/>
              <w:left w:type="dxa" w:w="120"/>
              <w:bottom w:type="dxa" w:w="100"/>
              <w:right w:type="dxa" w:w="120"/>
            </w:tcMar>
          </w:tcPr>
          <w:p>
            <w:pPr>
              <w:jc w:val="left"/>
            </w:pPr>
            <w:r>
              <w:rPr>
                <w:b/>
                <w:bCs/>
                <w:color w:val="FFFFFF"/>
                <w:sz w:val="20"/>
                <w:szCs w:val="20"/>
              </w:rPr>
              <w:t xml:space="preserve">Plan</w:t>
            </w:r>
          </w:p>
        </w:tc>
        <w:tc>
          <w:tcPr>
            <w:tcW w:type="dxa" w:w="2000"/>
            <w:shd w:fill="9C6F1E" w:val="clear"/>
            <w:tcMar>
              <w:top w:type="dxa" w:w="100"/>
              <w:left w:type="dxa" w:w="120"/>
              <w:bottom w:type="dxa" w:w="100"/>
              <w:right w:type="dxa" w:w="120"/>
            </w:tcMar>
          </w:tcPr>
          <w:p>
            <w:pPr>
              <w:jc w:val="left"/>
            </w:pPr>
            <w:r>
              <w:rPr>
                <w:b/>
                <w:bCs/>
                <w:color w:val="FFFFFF"/>
                <w:sz w:val="20"/>
                <w:szCs w:val="20"/>
              </w:rPr>
              <w:t xml:space="preserve">Monthly Fee</w:t>
            </w:r>
          </w:p>
        </w:tc>
        <w:tc>
          <w:tcPr>
            <w:tcW w:type="dxa" w:w="5020"/>
            <w:shd w:fill="9C6F1E" w:val="clear"/>
            <w:tcMar>
              <w:top w:type="dxa" w:w="100"/>
              <w:left w:type="dxa" w:w="120"/>
              <w:bottom w:type="dxa" w:w="100"/>
              <w:right w:type="dxa" w:w="120"/>
            </w:tcMar>
          </w:tcPr>
          <w:p>
            <w:pPr>
              <w:jc w:val="left"/>
            </w:pPr>
            <w:r>
              <w:rPr>
                <w:b/>
                <w:bCs/>
                <w:color w:val="FFFFFF"/>
                <w:sz w:val="20"/>
                <w:szCs w:val="20"/>
              </w:rPr>
              <w:t xml:space="preserve">Features</w:t>
            </w:r>
          </w:p>
        </w:tc>
      </w:tr>
      <w:tr>
        <w:tc>
          <w:tcPr>
            <w:tcW w:type="dxa" w:w="2400"/>
            <w:shd w:fill="F5EFDF" w:val="clear"/>
            <w:tcMar>
              <w:top w:type="dxa" w:w="100"/>
              <w:left w:type="dxa" w:w="120"/>
              <w:bottom w:type="dxa" w:w="100"/>
              <w:right w:type="dxa" w:w="120"/>
            </w:tcMar>
          </w:tcPr>
          <w:p>
            <w:pPr>
              <w:jc w:val="left"/>
            </w:pPr>
            <w:r>
              <w:rPr>
                <w:b w:val="false"/>
                <w:bCs w:val="false"/>
                <w:color w:val="222222"/>
                <w:sz w:val="20"/>
                <w:szCs w:val="20"/>
              </w:rPr>
              <w:t xml:space="preserve">Free</w:t>
            </w:r>
          </w:p>
        </w:tc>
        <w:tc>
          <w:tcPr>
            <w:tcW w:type="dxa" w:w="2000"/>
            <w:shd w:fill="F5EFDF" w:val="clear"/>
            <w:tcMar>
              <w:top w:type="dxa" w:w="100"/>
              <w:left w:type="dxa" w:w="120"/>
              <w:bottom w:type="dxa" w:w="100"/>
              <w:right w:type="dxa" w:w="120"/>
            </w:tcMar>
          </w:tcPr>
          <w:p>
            <w:pPr>
              <w:jc w:val="left"/>
            </w:pPr>
            <w:r>
              <w:rPr>
                <w:b w:val="false"/>
                <w:bCs w:val="false"/>
                <w:color w:val="222222"/>
                <w:sz w:val="20"/>
                <w:szCs w:val="20"/>
              </w:rPr>
              <w:t xml:space="preserve">US$0</w:t>
            </w:r>
          </w:p>
        </w:tc>
        <w:tc>
          <w:tcPr>
            <w:tcW w:type="dxa" w:w="5020"/>
            <w:shd w:fill="F5EFDF" w:val="clear"/>
            <w:tcMar>
              <w:top w:type="dxa" w:w="100"/>
              <w:left w:type="dxa" w:w="120"/>
              <w:bottom w:type="dxa" w:w="100"/>
              <w:right w:type="dxa" w:w="120"/>
            </w:tcMar>
          </w:tcPr>
          <w:p>
            <w:pPr>
              <w:jc w:val="left"/>
            </w:pPr>
            <w:r>
              <w:rPr>
                <w:b w:val="false"/>
                <w:bCs w:val="false"/>
                <w:color w:val="222222"/>
                <w:sz w:val="20"/>
                <w:szCs w:val="20"/>
              </w:rPr>
              <w:t xml:space="preserve">Basic access</w:t>
            </w:r>
          </w:p>
        </w:tc>
      </w:tr>
      <w:tr>
        <w:tc>
          <w:tcPr>
            <w:tcW w:type="dxa" w:w="2400"/>
            <w:shd w:fill="FFFFFF" w:val="clear"/>
            <w:tcMar>
              <w:top w:type="dxa" w:w="100"/>
              <w:left w:type="dxa" w:w="120"/>
              <w:bottom w:type="dxa" w:w="100"/>
              <w:right w:type="dxa" w:w="120"/>
            </w:tcMar>
          </w:tcPr>
          <w:p>
            <w:pPr>
              <w:jc w:val="left"/>
            </w:pPr>
            <w:r>
              <w:rPr>
                <w:b w:val="false"/>
                <w:bCs w:val="false"/>
                <w:color w:val="222222"/>
                <w:sz w:val="20"/>
                <w:szCs w:val="20"/>
              </w:rPr>
              <w:t xml:space="preserve">Professional</w:t>
            </w:r>
          </w:p>
        </w:tc>
        <w:tc>
          <w:tcPr>
            <w:tcW w:type="dxa" w:w="2000"/>
            <w:shd w:fill="FFFFFF" w:val="clear"/>
            <w:tcMar>
              <w:top w:type="dxa" w:w="100"/>
              <w:left w:type="dxa" w:w="120"/>
              <w:bottom w:type="dxa" w:w="100"/>
              <w:right w:type="dxa" w:w="120"/>
            </w:tcMar>
          </w:tcPr>
          <w:p>
            <w:pPr>
              <w:jc w:val="left"/>
            </w:pPr>
            <w:r>
              <w:rPr>
                <w:b w:val="false"/>
                <w:bCs w:val="false"/>
                <w:color w:val="222222"/>
                <w:sz w:val="20"/>
                <w:szCs w:val="20"/>
              </w:rPr>
              <w:t xml:space="preserve">US$100</w:t>
            </w:r>
          </w:p>
        </w:tc>
        <w:tc>
          <w:tcPr>
            <w:tcW w:type="dxa" w:w="5020"/>
            <w:shd w:fill="FFFFFF" w:val="clear"/>
            <w:tcMar>
              <w:top w:type="dxa" w:w="100"/>
              <w:left w:type="dxa" w:w="120"/>
              <w:bottom w:type="dxa" w:w="100"/>
              <w:right w:type="dxa" w:w="120"/>
            </w:tcMar>
          </w:tcPr>
          <w:p>
            <w:pPr>
              <w:jc w:val="left"/>
            </w:pPr>
            <w:r>
              <w:rPr>
                <w:b w:val="false"/>
                <w:bCs w:val="false"/>
                <w:color w:val="222222"/>
                <w:sz w:val="20"/>
                <w:szCs w:val="20"/>
              </w:rPr>
              <w:t xml:space="preserve">More RFQs, analytics, priority support</w:t>
            </w:r>
          </w:p>
        </w:tc>
      </w:tr>
      <w:tr>
        <w:tc>
          <w:tcPr>
            <w:tcW w:type="dxa" w:w="2400"/>
            <w:shd w:fill="F5EFDF" w:val="clear"/>
            <w:tcMar>
              <w:top w:type="dxa" w:w="100"/>
              <w:left w:type="dxa" w:w="120"/>
              <w:bottom w:type="dxa" w:w="100"/>
              <w:right w:type="dxa" w:w="120"/>
            </w:tcMar>
          </w:tcPr>
          <w:p>
            <w:pPr>
              <w:jc w:val="left"/>
            </w:pPr>
            <w:r>
              <w:rPr>
                <w:b w:val="false"/>
                <w:bCs w:val="false"/>
                <w:color w:val="222222"/>
                <w:sz w:val="20"/>
                <w:szCs w:val="20"/>
              </w:rPr>
              <w:t xml:space="preserve">Enterprise</w:t>
            </w:r>
          </w:p>
        </w:tc>
        <w:tc>
          <w:tcPr>
            <w:tcW w:type="dxa" w:w="2000"/>
            <w:shd w:fill="F5EFDF" w:val="clear"/>
            <w:tcMar>
              <w:top w:type="dxa" w:w="100"/>
              <w:left w:type="dxa" w:w="120"/>
              <w:bottom w:type="dxa" w:w="100"/>
              <w:right w:type="dxa" w:w="120"/>
            </w:tcMar>
          </w:tcPr>
          <w:p>
            <w:pPr>
              <w:jc w:val="left"/>
            </w:pPr>
            <w:r>
              <w:rPr>
                <w:b w:val="false"/>
                <w:bCs w:val="false"/>
                <w:color w:val="222222"/>
                <w:sz w:val="20"/>
                <w:szCs w:val="20"/>
              </w:rPr>
              <w:t xml:space="preserve">US$500+</w:t>
            </w:r>
          </w:p>
        </w:tc>
        <w:tc>
          <w:tcPr>
            <w:tcW w:type="dxa" w:w="5020"/>
            <w:shd w:fill="F5EFDF" w:val="clear"/>
            <w:tcMar>
              <w:top w:type="dxa" w:w="100"/>
              <w:left w:type="dxa" w:w="120"/>
              <w:bottom w:type="dxa" w:w="100"/>
              <w:right w:type="dxa" w:w="120"/>
            </w:tcMar>
          </w:tcPr>
          <w:p>
            <w:pPr>
              <w:jc w:val="left"/>
            </w:pPr>
            <w:r>
              <w:rPr>
                <w:b w:val="false"/>
                <w:bCs w:val="false"/>
                <w:color w:val="222222"/>
                <w:sz w:val="20"/>
                <w:szCs w:val="20"/>
              </w:rPr>
              <w:t xml:space="preserve">API access, integrations, advanced reporting</w:t>
            </w:r>
          </w:p>
        </w:tc>
      </w:tr>
    </w:tbl>
    <w:p>
      <w:pPr>
        <w:pStyle w:val="Heading2"/>
        <w:spacing w:after="120" w:before="260"/>
      </w:pPr>
      <w:r>
        <w:rPr>
          <w:b/>
          <w:bCs/>
          <w:color w:val="222222"/>
          <w:sz w:val="24"/>
          <w:szCs w:val="24"/>
        </w:rPr>
        <w:t xml:space="preserve">Suggested division of responsibility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200"/>
        <w:gridCol w:w="2610"/>
        <w:gridCol w:w="2610"/>
      </w:tblGrid>
      <w:tr>
        <w:trPr>
          <w:tblHeader/>
        </w:trPr>
        <w:tc>
          <w:tcPr>
            <w:tcW w:type="dxa" w:w="4200"/>
            <w:shd w:fill="9C6F1E" w:val="clear"/>
            <w:tcMar>
              <w:top w:type="dxa" w:w="100"/>
              <w:left w:type="dxa" w:w="120"/>
              <w:bottom w:type="dxa" w:w="100"/>
              <w:right w:type="dxa" w:w="120"/>
            </w:tcMar>
          </w:tcPr>
          <w:p>
            <w:pPr>
              <w:jc w:val="left"/>
            </w:pPr>
            <w:r>
              <w:rPr>
                <w:b/>
                <w:bCs/>
                <w:color w:val="FFFFFF"/>
                <w:sz w:val="20"/>
                <w:szCs w:val="20"/>
              </w:rPr>
              <w:t xml:space="preserve">Responsibility</w:t>
            </w:r>
          </w:p>
        </w:tc>
        <w:tc>
          <w:tcPr>
            <w:tcW w:type="dxa" w:w="2610"/>
            <w:shd w:fill="9C6F1E" w:val="clear"/>
            <w:tcMar>
              <w:top w:type="dxa" w:w="100"/>
              <w:left w:type="dxa" w:w="120"/>
              <w:bottom w:type="dxa" w:w="100"/>
              <w:right w:type="dxa" w:w="120"/>
            </w:tcMar>
          </w:tcPr>
          <w:p>
            <w:pPr>
              <w:jc w:val="left"/>
            </w:pPr>
            <w:r>
              <w:rPr>
                <w:b/>
                <w:bCs/>
                <w:color w:val="FFFFFF"/>
                <w:sz w:val="20"/>
                <w:szCs w:val="20"/>
              </w:rPr>
              <w:t xml:space="preserve">Chamber</w:t>
            </w:r>
          </w:p>
        </w:tc>
        <w:tc>
          <w:tcPr>
            <w:tcW w:type="dxa" w:w="2610"/>
            <w:shd w:fill="9C6F1E" w:val="clear"/>
            <w:tcMar>
              <w:top w:type="dxa" w:w="100"/>
              <w:left w:type="dxa" w:w="120"/>
              <w:bottom w:type="dxa" w:w="100"/>
              <w:right w:type="dxa" w:w="120"/>
            </w:tcMar>
          </w:tcPr>
          <w:p>
            <w:pPr>
              <w:jc w:val="left"/>
            </w:pPr>
            <w:r>
              <w:rPr>
                <w:b/>
                <w:bCs/>
                <w:color w:val="FFFFFF"/>
                <w:sz w:val="20"/>
                <w:szCs w:val="20"/>
              </w:rPr>
              <w:t xml:space="preserve">Technology Partner</w:t>
            </w:r>
          </w:p>
        </w:tc>
      </w:tr>
      <w:tr>
        <w:tc>
          <w:tcPr>
            <w:tcW w:type="dxa" w:w="4200"/>
            <w:shd w:fill="F5EFDF" w:val="clear"/>
            <w:tcMar>
              <w:top w:type="dxa" w:w="100"/>
              <w:left w:type="dxa" w:w="120"/>
              <w:bottom w:type="dxa" w:w="100"/>
              <w:right w:type="dxa" w:w="120"/>
            </w:tcMar>
          </w:tcPr>
          <w:p>
            <w:pPr>
              <w:jc w:val="left"/>
            </w:pPr>
            <w:r>
              <w:rPr>
                <w:b w:val="false"/>
                <w:bCs w:val="false"/>
                <w:color w:val="222222"/>
                <w:sz w:val="20"/>
                <w:szCs w:val="20"/>
              </w:rPr>
              <w:t xml:space="preserve">Member acquisition</w:t>
            </w:r>
          </w:p>
        </w:tc>
        <w:tc>
          <w:tcPr>
            <w:tcW w:type="dxa" w:w="2610"/>
            <w:shd w:fill="F5EFDF" w:val="clear"/>
            <w:tcMar>
              <w:top w:type="dxa" w:w="100"/>
              <w:left w:type="dxa" w:w="120"/>
              <w:bottom w:type="dxa" w:w="100"/>
              <w:right w:type="dxa" w:w="120"/>
            </w:tcMar>
          </w:tcPr>
          <w:p>
            <w:pPr>
              <w:jc w:val="left"/>
            </w:pPr>
            <w:r>
              <w:rPr>
                <w:b w:val="false"/>
                <w:bCs w:val="false"/>
                <w:color w:val="222222"/>
                <w:sz w:val="20"/>
                <w:szCs w:val="20"/>
              </w:rPr>
              <w:t xml:space="preserve">✓</w:t>
            </w:r>
          </w:p>
        </w:tc>
        <w:tc>
          <w:tcPr>
            <w:tcW w:type="dxa" w:w="2610"/>
            <w:shd w:fill="F5EFDF" w:val="clear"/>
            <w:tcMar>
              <w:top w:type="dxa" w:w="100"/>
              <w:left w:type="dxa" w:w="120"/>
              <w:bottom w:type="dxa" w:w="100"/>
              <w:right w:type="dxa" w:w="120"/>
            </w:tcMar>
          </w:tcPr>
          <w:p>
            <w:pPr>
              <w:jc w:val="left"/>
            </w:pPr>
            <w:r>
              <w:rPr>
                <w:b w:val="false"/>
                <w:bCs w:val="false"/>
                <w:color w:val="222222"/>
                <w:sz w:val="20"/>
                <w:szCs w:val="20"/>
              </w:rPr>
              <w:t xml:space="preserve"/>
            </w:r>
          </w:p>
        </w:tc>
      </w:tr>
      <w:tr>
        <w:tc>
          <w:tcPr>
            <w:tcW w:type="dxa" w:w="4200"/>
            <w:shd w:fill="FFFFFF" w:val="clear"/>
            <w:tcMar>
              <w:top w:type="dxa" w:w="100"/>
              <w:left w:type="dxa" w:w="120"/>
              <w:bottom w:type="dxa" w:w="100"/>
              <w:right w:type="dxa" w:w="120"/>
            </w:tcMar>
          </w:tcPr>
          <w:p>
            <w:pPr>
              <w:jc w:val="left"/>
            </w:pPr>
            <w:r>
              <w:rPr>
                <w:b w:val="false"/>
                <w:bCs w:val="false"/>
                <w:color w:val="222222"/>
                <w:sz w:val="20"/>
                <w:szCs w:val="20"/>
              </w:rPr>
              <w:t xml:space="preserve">Industry governance</w:t>
            </w:r>
          </w:p>
        </w:tc>
        <w:tc>
          <w:tcPr>
            <w:tcW w:type="dxa" w:w="2610"/>
            <w:shd w:fill="FFFFFF" w:val="clear"/>
            <w:tcMar>
              <w:top w:type="dxa" w:w="100"/>
              <w:left w:type="dxa" w:w="120"/>
              <w:bottom w:type="dxa" w:w="100"/>
              <w:right w:type="dxa" w:w="120"/>
            </w:tcMar>
          </w:tcPr>
          <w:p>
            <w:pPr>
              <w:jc w:val="left"/>
            </w:pPr>
            <w:r>
              <w:rPr>
                <w:b w:val="false"/>
                <w:bCs w:val="false"/>
                <w:color w:val="222222"/>
                <w:sz w:val="20"/>
                <w:szCs w:val="20"/>
              </w:rPr>
              <w:t xml:space="preserve">✓</w:t>
            </w:r>
          </w:p>
        </w:tc>
        <w:tc>
          <w:tcPr>
            <w:tcW w:type="dxa" w:w="2610"/>
            <w:shd w:fill="FFFFFF" w:val="clear"/>
            <w:tcMar>
              <w:top w:type="dxa" w:w="100"/>
              <w:left w:type="dxa" w:w="120"/>
              <w:bottom w:type="dxa" w:w="100"/>
              <w:right w:type="dxa" w:w="120"/>
            </w:tcMar>
          </w:tcPr>
          <w:p>
            <w:pPr>
              <w:jc w:val="left"/>
            </w:pPr>
            <w:r>
              <w:rPr>
                <w:b w:val="false"/>
                <w:bCs w:val="false"/>
                <w:color w:val="222222"/>
                <w:sz w:val="20"/>
                <w:szCs w:val="20"/>
              </w:rPr>
              <w:t xml:space="preserve"/>
            </w:r>
          </w:p>
        </w:tc>
      </w:tr>
      <w:tr>
        <w:tc>
          <w:tcPr>
            <w:tcW w:type="dxa" w:w="4200"/>
            <w:shd w:fill="F5EFDF" w:val="clear"/>
            <w:tcMar>
              <w:top w:type="dxa" w:w="100"/>
              <w:left w:type="dxa" w:w="120"/>
              <w:bottom w:type="dxa" w:w="100"/>
              <w:right w:type="dxa" w:w="120"/>
            </w:tcMar>
          </w:tcPr>
          <w:p>
            <w:pPr>
              <w:jc w:val="left"/>
            </w:pPr>
            <w:r>
              <w:rPr>
                <w:b w:val="false"/>
                <w:bCs w:val="false"/>
                <w:color w:val="222222"/>
                <w:sz w:val="20"/>
                <w:szCs w:val="20"/>
              </w:rPr>
              <w:t xml:space="preserve">Technology</w:t>
            </w:r>
          </w:p>
        </w:tc>
        <w:tc>
          <w:tcPr>
            <w:tcW w:type="dxa" w:w="2610"/>
            <w:shd w:fill="F5EFDF" w:val="clear"/>
            <w:tcMar>
              <w:top w:type="dxa" w:w="100"/>
              <w:left w:type="dxa" w:w="120"/>
              <w:bottom w:type="dxa" w:w="100"/>
              <w:right w:type="dxa" w:w="120"/>
            </w:tcMar>
          </w:tcPr>
          <w:p>
            <w:pPr>
              <w:jc w:val="left"/>
            </w:pPr>
            <w:r>
              <w:rPr>
                <w:b w:val="false"/>
                <w:bCs w:val="false"/>
                <w:color w:val="222222"/>
                <w:sz w:val="20"/>
                <w:szCs w:val="20"/>
              </w:rPr>
              <w:t xml:space="preserve"/>
            </w:r>
          </w:p>
        </w:tc>
        <w:tc>
          <w:tcPr>
            <w:tcW w:type="dxa" w:w="2610"/>
            <w:shd w:fill="F5EFDF" w:val="clear"/>
            <w:tcMar>
              <w:top w:type="dxa" w:w="100"/>
              <w:left w:type="dxa" w:w="120"/>
              <w:bottom w:type="dxa" w:w="100"/>
              <w:right w:type="dxa" w:w="120"/>
            </w:tcMar>
          </w:tcPr>
          <w:p>
            <w:pPr>
              <w:jc w:val="left"/>
            </w:pPr>
            <w:r>
              <w:rPr>
                <w:b w:val="false"/>
                <w:bCs w:val="false"/>
                <w:color w:val="222222"/>
                <w:sz w:val="20"/>
                <w:szCs w:val="20"/>
              </w:rPr>
              <w:t xml:space="preserve">✓</w:t>
            </w:r>
          </w:p>
        </w:tc>
      </w:tr>
      <w:tr>
        <w:tc>
          <w:tcPr>
            <w:tcW w:type="dxa" w:w="4200"/>
            <w:shd w:fill="FFFFFF" w:val="clear"/>
            <w:tcMar>
              <w:top w:type="dxa" w:w="100"/>
              <w:left w:type="dxa" w:w="120"/>
              <w:bottom w:type="dxa" w:w="100"/>
              <w:right w:type="dxa" w:w="120"/>
            </w:tcMar>
          </w:tcPr>
          <w:p>
            <w:pPr>
              <w:jc w:val="left"/>
            </w:pPr>
            <w:r>
              <w:rPr>
                <w:b w:val="false"/>
                <w:bCs w:val="false"/>
                <w:color w:val="222222"/>
                <w:sz w:val="20"/>
                <w:szCs w:val="20"/>
              </w:rPr>
              <w:t xml:space="preserve">Hosting</w:t>
            </w:r>
          </w:p>
        </w:tc>
        <w:tc>
          <w:tcPr>
            <w:tcW w:type="dxa" w:w="2610"/>
            <w:shd w:fill="FFFFFF" w:val="clear"/>
            <w:tcMar>
              <w:top w:type="dxa" w:w="100"/>
              <w:left w:type="dxa" w:w="120"/>
              <w:bottom w:type="dxa" w:w="100"/>
              <w:right w:type="dxa" w:w="120"/>
            </w:tcMar>
          </w:tcPr>
          <w:p>
            <w:pPr>
              <w:jc w:val="left"/>
            </w:pPr>
            <w:r>
              <w:rPr>
                <w:b w:val="false"/>
                <w:bCs w:val="false"/>
                <w:color w:val="222222"/>
                <w:sz w:val="20"/>
                <w:szCs w:val="20"/>
              </w:rPr>
              <w:t xml:space="preserve"/>
            </w:r>
          </w:p>
        </w:tc>
        <w:tc>
          <w:tcPr>
            <w:tcW w:type="dxa" w:w="2610"/>
            <w:shd w:fill="FFFFFF" w:val="clear"/>
            <w:tcMar>
              <w:top w:type="dxa" w:w="100"/>
              <w:left w:type="dxa" w:w="120"/>
              <w:bottom w:type="dxa" w:w="100"/>
              <w:right w:type="dxa" w:w="120"/>
            </w:tcMar>
          </w:tcPr>
          <w:p>
            <w:pPr>
              <w:jc w:val="left"/>
            </w:pPr>
            <w:r>
              <w:rPr>
                <w:b w:val="false"/>
                <w:bCs w:val="false"/>
                <w:color w:val="222222"/>
                <w:sz w:val="20"/>
                <w:szCs w:val="20"/>
              </w:rPr>
              <w:t xml:space="preserve">✓</w:t>
            </w:r>
          </w:p>
        </w:tc>
      </w:tr>
      <w:tr>
        <w:tc>
          <w:tcPr>
            <w:tcW w:type="dxa" w:w="4200"/>
            <w:shd w:fill="F5EFDF" w:val="clear"/>
            <w:tcMar>
              <w:top w:type="dxa" w:w="100"/>
              <w:left w:type="dxa" w:w="120"/>
              <w:bottom w:type="dxa" w:w="100"/>
              <w:right w:type="dxa" w:w="120"/>
            </w:tcMar>
          </w:tcPr>
          <w:p>
            <w:pPr>
              <w:jc w:val="left"/>
            </w:pPr>
            <w:r>
              <w:rPr>
                <w:b w:val="false"/>
                <w:bCs w:val="false"/>
                <w:color w:val="222222"/>
                <w:sz w:val="20"/>
                <w:szCs w:val="20"/>
              </w:rPr>
              <w:t xml:space="preserve">Support</w:t>
            </w:r>
          </w:p>
        </w:tc>
        <w:tc>
          <w:tcPr>
            <w:tcW w:type="dxa" w:w="2610"/>
            <w:shd w:fill="F5EFDF" w:val="clear"/>
            <w:tcMar>
              <w:top w:type="dxa" w:w="100"/>
              <w:left w:type="dxa" w:w="120"/>
              <w:bottom w:type="dxa" w:w="100"/>
              <w:right w:type="dxa" w:w="120"/>
            </w:tcMar>
          </w:tcPr>
          <w:p>
            <w:pPr>
              <w:jc w:val="left"/>
            </w:pPr>
            <w:r>
              <w:rPr>
                <w:b w:val="false"/>
                <w:bCs w:val="false"/>
                <w:color w:val="222222"/>
                <w:sz w:val="20"/>
                <w:szCs w:val="20"/>
              </w:rPr>
              <w:t xml:space="preserve"/>
            </w:r>
          </w:p>
        </w:tc>
        <w:tc>
          <w:tcPr>
            <w:tcW w:type="dxa" w:w="2610"/>
            <w:shd w:fill="F5EFDF" w:val="clear"/>
            <w:tcMar>
              <w:top w:type="dxa" w:w="100"/>
              <w:left w:type="dxa" w:w="120"/>
              <w:bottom w:type="dxa" w:w="100"/>
              <w:right w:type="dxa" w:w="120"/>
            </w:tcMar>
          </w:tcPr>
          <w:p>
            <w:pPr>
              <w:jc w:val="left"/>
            </w:pPr>
            <w:r>
              <w:rPr>
                <w:b w:val="false"/>
                <w:bCs w:val="false"/>
                <w:color w:val="222222"/>
                <w:sz w:val="20"/>
                <w:szCs w:val="20"/>
              </w:rPr>
              <w:t xml:space="preserve">✓</w:t>
            </w:r>
          </w:p>
        </w:tc>
      </w:tr>
      <w:tr>
        <w:tc>
          <w:tcPr>
            <w:tcW w:type="dxa" w:w="4200"/>
            <w:shd w:fill="FFFFFF" w:val="clear"/>
            <w:tcMar>
              <w:top w:type="dxa" w:w="100"/>
              <w:left w:type="dxa" w:w="120"/>
              <w:bottom w:type="dxa" w:w="100"/>
              <w:right w:type="dxa" w:w="120"/>
            </w:tcMar>
          </w:tcPr>
          <w:p>
            <w:pPr>
              <w:jc w:val="left"/>
            </w:pPr>
            <w:r>
              <w:rPr>
                <w:b w:val="false"/>
                <w:bCs w:val="false"/>
                <w:color w:val="222222"/>
                <w:sz w:val="20"/>
                <w:szCs w:val="20"/>
              </w:rPr>
              <w:t xml:space="preserve">Marketing</w:t>
            </w:r>
          </w:p>
        </w:tc>
        <w:tc>
          <w:tcPr>
            <w:tcW w:type="dxa" w:w="2610"/>
            <w:shd w:fill="FFFFFF" w:val="clear"/>
            <w:tcMar>
              <w:top w:type="dxa" w:w="100"/>
              <w:left w:type="dxa" w:w="120"/>
              <w:bottom w:type="dxa" w:w="100"/>
              <w:right w:type="dxa" w:w="120"/>
            </w:tcMar>
          </w:tcPr>
          <w:p>
            <w:pPr>
              <w:jc w:val="left"/>
            </w:pPr>
            <w:r>
              <w:rPr>
                <w:b w:val="false"/>
                <w:bCs w:val="false"/>
                <w:color w:val="222222"/>
                <w:sz w:val="20"/>
                <w:szCs w:val="20"/>
              </w:rPr>
              <w:t xml:space="preserve">✓</w:t>
            </w:r>
          </w:p>
        </w:tc>
        <w:tc>
          <w:tcPr>
            <w:tcW w:type="dxa" w:w="2610"/>
            <w:shd w:fill="FFFFFF" w:val="clear"/>
            <w:tcMar>
              <w:top w:type="dxa" w:w="100"/>
              <w:left w:type="dxa" w:w="120"/>
              <w:bottom w:type="dxa" w:w="100"/>
              <w:right w:type="dxa" w:w="120"/>
            </w:tcMar>
          </w:tcPr>
          <w:p>
            <w:pPr>
              <w:jc w:val="left"/>
            </w:pPr>
            <w:r>
              <w:rPr>
                <w:b w:val="false"/>
                <w:bCs w:val="false"/>
                <w:color w:val="222222"/>
                <w:sz w:val="20"/>
                <w:szCs w:val="20"/>
              </w:rPr>
              <w:t xml:space="preserve">✓</w:t>
            </w:r>
          </w:p>
        </w:tc>
      </w:tr>
      <w:tr>
        <w:tc>
          <w:tcPr>
            <w:tcW w:type="dxa" w:w="4200"/>
            <w:shd w:fill="F5EFDF" w:val="clear"/>
            <w:tcMar>
              <w:top w:type="dxa" w:w="100"/>
              <w:left w:type="dxa" w:w="120"/>
              <w:bottom w:type="dxa" w:w="100"/>
              <w:right w:type="dxa" w:w="120"/>
            </w:tcMar>
          </w:tcPr>
          <w:p>
            <w:pPr>
              <w:jc w:val="left"/>
            </w:pPr>
            <w:r>
              <w:rPr>
                <w:b w:val="false"/>
                <w:bCs w:val="false"/>
                <w:color w:val="222222"/>
                <w:sz w:val="20"/>
                <w:szCs w:val="20"/>
              </w:rPr>
              <w:t xml:space="preserve">Suggested revenue share</w:t>
            </w:r>
          </w:p>
        </w:tc>
        <w:tc>
          <w:tcPr>
            <w:tcW w:type="dxa" w:w="2610"/>
            <w:shd w:fill="F5EFDF" w:val="clear"/>
            <w:tcMar>
              <w:top w:type="dxa" w:w="100"/>
              <w:left w:type="dxa" w:w="120"/>
              <w:bottom w:type="dxa" w:w="100"/>
              <w:right w:type="dxa" w:w="120"/>
            </w:tcMar>
          </w:tcPr>
          <w:p>
            <w:pPr>
              <w:jc w:val="left"/>
            </w:pPr>
            <w:r>
              <w:rPr>
                <w:b w:val="false"/>
                <w:bCs w:val="false"/>
                <w:color w:val="222222"/>
                <w:sz w:val="20"/>
                <w:szCs w:val="20"/>
              </w:rPr>
              <w:t xml:space="preserve">30%</w:t>
            </w:r>
          </w:p>
        </w:tc>
        <w:tc>
          <w:tcPr>
            <w:tcW w:type="dxa" w:w="2610"/>
            <w:shd w:fill="F5EFDF" w:val="clear"/>
            <w:tcMar>
              <w:top w:type="dxa" w:w="100"/>
              <w:left w:type="dxa" w:w="120"/>
              <w:bottom w:type="dxa" w:w="100"/>
              <w:right w:type="dxa" w:w="120"/>
            </w:tcMar>
          </w:tcPr>
          <w:p>
            <w:pPr>
              <w:jc w:val="left"/>
            </w:pPr>
            <w:r>
              <w:rPr>
                <w:b w:val="false"/>
                <w:bCs w:val="false"/>
                <w:color w:val="222222"/>
                <w:sz w:val="20"/>
                <w:szCs w:val="20"/>
              </w:rPr>
              <w:t xml:space="preserve">70%</w:t>
            </w:r>
          </w:p>
        </w:tc>
      </w:tr>
    </w:tbl>
    <w:p>
      <w:pPr>
        <w:spacing w:after="160" w:line="276"/>
      </w:pPr>
      <w:r>
        <w:rPr>
          <w:sz w:val="22"/>
          <w:szCs w:val="22"/>
        </w:rPr>
        <w:t xml:space="preserve">The exact split should reflect who bears the greater share of cost and operational responsibility, and is a matter for negotiation between the Chamber and its chosen technology partner.</w:t>
      </w:r>
    </w:p>
    <w:p>
      <w:pPr>
        <w:pStyle w:val="Heading1"/>
        <w:pBdr>
          <w:bottom w:val="single" w:color="9C6F1E" w:sz="6" w:space="4"/>
        </w:pBdr>
        <w:spacing w:after="160" w:before="360"/>
      </w:pPr>
      <w:r>
        <w:rPr>
          <w:b/>
          <w:bCs/>
          <w:color w:val="9C6F1E"/>
          <w:sz w:val="28"/>
          <w:szCs w:val="28"/>
        </w:rPr>
        <w:t xml:space="preserve">7. Getting the Fee Structure Right</w:t>
      </w:r>
    </w:p>
    <w:p>
      <w:pPr>
        <w:spacing w:after="160" w:line="276"/>
      </w:pPr>
      <w:r>
        <w:rPr>
          <w:sz w:val="22"/>
          <w:szCs w:val="22"/>
        </w:rPr>
        <w:t xml:space="preserve">Because individual trades can involve very large sums, fee design needs care. A high percentage commission on a multi-hundred-thousand-dollar trade can discourage members from using the platform at all. More sustainable alternatives include a small fixed fee per transaction, a small fee per kilogram traded, or a percentage capped at a maximum amount.</w:t>
      </w:r>
    </w:p>
    <w:p>
      <w:pPr>
        <w:spacing w:after="160" w:line="276"/>
      </w:pPr>
      <w:r>
        <w:rPr>
          <w:sz w:val="22"/>
          <w:szCs w:val="22"/>
        </w:rPr>
        <w:t xml:space="preserve">A hybrid structure tends to work best for a Chamber-led platform: free access for verified members, low transaction fees, optional premium subscriptions, and value-added services layered on top. This keeps the barrier to joining low while still building multiple, growing sources of income over time.</w:t>
      </w:r>
    </w:p>
    <w:p>
      <w:pPr>
        <w:pStyle w:val="Heading1"/>
        <w:pBdr>
          <w:bottom w:val="single" w:color="9C6F1E" w:sz="6" w:space="4"/>
        </w:pBdr>
        <w:spacing w:after="160" w:before="360"/>
      </w:pPr>
      <w:r>
        <w:rPr>
          <w:b/>
          <w:bCs/>
          <w:color w:val="9C6F1E"/>
          <w:sz w:val="28"/>
          <w:szCs w:val="28"/>
        </w:rPr>
        <w:t xml:space="preserve">8. Future Expansion</w:t>
      </w:r>
    </w:p>
    <w:p>
      <w:pPr>
        <w:spacing w:after="160" w:line="276"/>
      </w:pPr>
      <w:r>
        <w:rPr>
          <w:sz w:val="22"/>
          <w:szCs w:val="22"/>
        </w:rPr>
        <w:t xml:space="preserve">Once the core platform is established and adopted, it can be extended into additional areas that further serve members and generate revenue:</w:t>
      </w:r>
    </w:p>
    <w:p>
      <w:pPr>
        <w:pStyle w:val="ListParagraph"/>
        <w:numPr>
          <w:ilvl w:val="0"/>
          <w:numId w:val="2"/>
        </w:numPr>
        <w:spacing w:after="80"/>
      </w:pPr>
      <w:r>
        <w:rPr>
          <w:sz w:val="22"/>
          <w:szCs w:val="22"/>
        </w:rPr>
        <w:t xml:space="preserve">Mobile apps and business intelligence dashboards</w:t>
      </w:r>
    </w:p>
    <w:p>
      <w:pPr>
        <w:pStyle w:val="ListParagraph"/>
        <w:numPr>
          <w:ilvl w:val="0"/>
          <w:numId w:val="2"/>
        </w:numPr>
        <w:spacing w:after="80"/>
      </w:pPr>
      <w:r>
        <w:rPr>
          <w:sz w:val="22"/>
          <w:szCs w:val="22"/>
        </w:rPr>
        <w:t xml:space="preserve">AI-powered pricing and market insights</w:t>
      </w:r>
    </w:p>
    <w:p>
      <w:pPr>
        <w:pStyle w:val="ListParagraph"/>
        <w:numPr>
          <w:ilvl w:val="0"/>
          <w:numId w:val="2"/>
        </w:numPr>
        <w:spacing w:after="80"/>
      </w:pPr>
      <w:r>
        <w:rPr>
          <w:sz w:val="22"/>
          <w:szCs w:val="22"/>
        </w:rPr>
        <w:t xml:space="preserve">ERP and payment gateway integration</w:t>
      </w:r>
    </w:p>
    <w:p>
      <w:pPr>
        <w:pStyle w:val="ListParagraph"/>
        <w:numPr>
          <w:ilvl w:val="0"/>
          <w:numId w:val="2"/>
        </w:numPr>
        <w:spacing w:after="80"/>
      </w:pPr>
      <w:r>
        <w:rPr>
          <w:sz w:val="22"/>
          <w:szCs w:val="22"/>
        </w:rPr>
        <w:t xml:space="preserve">Compliance and audit modules</w:t>
      </w:r>
    </w:p>
    <w:p>
      <w:pPr>
        <w:pStyle w:val="ListParagraph"/>
        <w:numPr>
          <w:ilvl w:val="0"/>
          <w:numId w:val="2"/>
        </w:numPr>
        <w:spacing w:after="80"/>
      </w:pPr>
      <w:r>
        <w:rPr>
          <w:sz w:val="22"/>
          <w:szCs w:val="22"/>
        </w:rPr>
        <w:t xml:space="preserve">API services for banks and refineries</w:t>
      </w:r>
    </w:p>
    <w:p>
      <w:pPr>
        <w:pStyle w:val="ListParagraph"/>
        <w:numPr>
          <w:ilvl w:val="0"/>
          <w:numId w:val="2"/>
        </w:numPr>
        <w:spacing w:after="80"/>
      </w:pPr>
      <w:r>
        <w:rPr>
          <w:sz w:val="22"/>
          <w:szCs w:val="22"/>
        </w:rPr>
        <w:t xml:space="preserve">White-label versions for other commodity associations, such as cocoa, timber, or diamonds</w:t>
      </w:r>
    </w:p>
    <w:p>
      <w:pPr>
        <w:pStyle w:val="Heading1"/>
        <w:pBdr>
          <w:bottom w:val="single" w:color="9C6F1E" w:sz="6" w:space="4"/>
        </w:pBdr>
        <w:spacing w:after="160" w:before="360"/>
      </w:pPr>
      <w:r>
        <w:rPr>
          <w:b/>
          <w:bCs/>
          <w:color w:val="9C6F1E"/>
          <w:sz w:val="28"/>
          <w:szCs w:val="28"/>
        </w:rPr>
        <w:t xml:space="preserve">9. Summary</w:t>
      </w:r>
    </w:p>
    <w:p>
      <w:pPr>
        <w:spacing w:after="160" w:line="276"/>
      </w:pPr>
      <w:r>
        <w:rPr>
          <w:sz w:val="22"/>
          <w:szCs w:val="22"/>
        </w:rPr>
        <w:t xml:space="preserve">The recommended path is a regulated exchange rather than an open marketplace — membership-gated, built around RFQs and negotiated trading, with escrow, logistics, and certification services layered on top. Structuring the commercial relationship as a revenue-sharing partnership removes the Chamber's upfront cost barrier, aligns incentives around platform growth, and creates a long-term relationship in which both the Chamber and its technology partner benefit as adoption increases.</w:t>
      </w:r>
    </w:p>
    <w:p>
      <w:pPr>
        <w:spacing w:after="160" w:line="276"/>
      </w:pPr>
      <w:r>
        <w:rPr>
          <w:i/>
          <w:iCs/>
          <w:color w:val="555555"/>
          <w:sz w:val="22"/>
          <w:szCs w:val="22"/>
        </w:rPr>
        <w:t xml:space="preserve">This proposal is intended as a starting point for discussion. The Chamber's specific licensing rules, member structure, and regulatory requirements should shape the final design of the platform and its commercial terms.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6F1E" w:sz="4" w:space="4"/>
      </w:pBdr>
      <w:jc w:val="right"/>
    </w:pPr>
    <w:r>
      <w:rPr>
        <w:color w:val="888888"/>
        <w:sz w:val="16"/>
        <w:szCs w:val="16"/>
      </w:rPr>
      <w:t xml:space="preserve">Ghana Chamber of Gold Buyers — Digital Trading Platform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2026-08-12T10:43:24.950Z</dcterms:created>
  <dcterms:modified xsi:type="dcterms:W3CDTF">2026-08-12T10:43:24.966Z</dcterms:modified>
</cp:coreProperties>
</file>

<file path=docProps/custom.xml><?xml version="1.0" encoding="utf-8"?>
<Properties xmlns="http://schemas.openxmlformats.org/officeDocument/2006/custom-properties" xmlns:vt="http://schemas.openxmlformats.org/officeDocument/2006/docPropsVTypes"/>
</file>